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tiff" ContentType="image/tiff"/>
  <Default Extension="rels" ContentType="application/vnd.openxmlformats-package.relationships+xml"/>
  <Default Extension="wmf" ContentType="image/x-wm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FFA" w:rsidRDefault="00311A6C" w:rsidP="00311A6C">
      <w:pPr>
        <w:jc w:val="center"/>
      </w:pPr>
      <w:bookmarkStart w:id="0" w:name="_GoBack"/>
      <w:bookmarkEnd w:id="0"/>
      <w:r>
        <w:rPr>
          <w:noProof/>
        </w:rPr>
        <w:drawing>
          <wp:anchor distT="0" distB="0" distL="114300" distR="114300" simplePos="0" relativeHeight="251659264" behindDoc="0" locked="0" layoutInCell="1" allowOverlap="1">
            <wp:simplePos x="0" y="0"/>
            <wp:positionH relativeFrom="margin">
              <wp:posOffset>1137285</wp:posOffset>
            </wp:positionH>
            <wp:positionV relativeFrom="margin">
              <wp:posOffset>41910</wp:posOffset>
            </wp:positionV>
            <wp:extent cx="3913505" cy="384937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63_CadmusRepCoverArt.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13505" cy="3849370"/>
                    </a:xfrm>
                    <a:prstGeom prst="rect">
                      <a:avLst/>
                    </a:prstGeom>
                  </pic:spPr>
                </pic:pic>
              </a:graphicData>
            </a:graphic>
          </wp:anchor>
        </w:drawing>
      </w:r>
    </w:p>
    <w:p w:rsidR="00A1444B" w:rsidRDefault="00A1444B" w:rsidP="00950DD4">
      <w:pPr>
        <w:pStyle w:val="CoverPage-title"/>
        <w:ind w:left="0" w:right="0"/>
        <w:rPr>
          <w:caps w:val="0"/>
        </w:rPr>
      </w:pPr>
      <w:r>
        <w:rPr>
          <w:caps w:val="0"/>
        </w:rPr>
        <w:t xml:space="preserve">REVIEW </w:t>
      </w:r>
      <w:r w:rsidR="00B46854" w:rsidRPr="00B46854">
        <w:rPr>
          <w:caps w:val="0"/>
        </w:rPr>
        <w:t xml:space="preserve">DRAFT </w:t>
      </w:r>
    </w:p>
    <w:p w:rsidR="002B7FFA" w:rsidRPr="00A1444B" w:rsidRDefault="00B46854" w:rsidP="00950DD4">
      <w:pPr>
        <w:pStyle w:val="CoverPage-title"/>
        <w:ind w:left="0" w:right="0"/>
        <w:rPr>
          <w:caps w:val="0"/>
          <w:sz w:val="52"/>
        </w:rPr>
      </w:pPr>
      <w:r w:rsidRPr="00A1444B">
        <w:rPr>
          <w:caps w:val="0"/>
          <w:sz w:val="52"/>
        </w:rPr>
        <w:t>Impact Evaluation: Home Energy Services</w:t>
      </w:r>
      <w:r w:rsidR="00153083">
        <w:rPr>
          <w:caps w:val="0"/>
          <w:sz w:val="52"/>
        </w:rPr>
        <w:t>—</w:t>
      </w:r>
      <w:r w:rsidR="00DD306F" w:rsidRPr="00A1444B">
        <w:rPr>
          <w:caps w:val="0"/>
          <w:sz w:val="52"/>
        </w:rPr>
        <w:t>Income-</w:t>
      </w:r>
      <w:r w:rsidRPr="00A1444B">
        <w:rPr>
          <w:caps w:val="0"/>
          <w:sz w:val="52"/>
        </w:rPr>
        <w:t>Eligible and Home Energy Services Programs</w:t>
      </w:r>
      <w:r w:rsidR="007257B4" w:rsidRPr="00A1444B">
        <w:rPr>
          <w:caps w:val="0"/>
          <w:sz w:val="52"/>
        </w:rPr>
        <w:t>:</w:t>
      </w:r>
      <w:r w:rsidR="00AF07EA" w:rsidRPr="00A1444B">
        <w:rPr>
          <w:caps w:val="0"/>
          <w:sz w:val="52"/>
        </w:rPr>
        <w:t xml:space="preserve"> Volume </w:t>
      </w:r>
      <w:r w:rsidR="000E6167">
        <w:rPr>
          <w:caps w:val="0"/>
          <w:sz w:val="52"/>
        </w:rPr>
        <w:t>2</w:t>
      </w:r>
      <w:r w:rsidR="00A1444B" w:rsidRPr="00A1444B">
        <w:rPr>
          <w:caps w:val="0"/>
          <w:sz w:val="52"/>
        </w:rPr>
        <w:t xml:space="preserve"> (R16)</w:t>
      </w:r>
    </w:p>
    <w:p w:rsidR="00861518" w:rsidRDefault="00D67F1F" w:rsidP="00861518">
      <w:pPr>
        <w:pStyle w:val="CoverPage-date"/>
      </w:pPr>
      <w:r>
        <w:t>June</w:t>
      </w:r>
      <w:r w:rsidR="00B46854">
        <w:t xml:space="preserve"> </w:t>
      </w:r>
      <w:r>
        <w:t>2</w:t>
      </w:r>
      <w:r w:rsidR="00B46854">
        <w:t>, 2014</w:t>
      </w:r>
    </w:p>
    <w:p w:rsidR="00861518" w:rsidRDefault="00861518" w:rsidP="00861518"/>
    <w:p w:rsidR="00861518" w:rsidRPr="00861518" w:rsidRDefault="00B46854" w:rsidP="00861518">
      <w:pPr>
        <w:pStyle w:val="CoverPage-clientinfo"/>
      </w:pPr>
      <w:r>
        <w:t>Connecticut Energy Efficiency Fund</w:t>
      </w:r>
    </w:p>
    <w:p w:rsidR="002B7FFA" w:rsidRDefault="002B7FFA" w:rsidP="003C1539"/>
    <w:p w:rsidR="00950DD4" w:rsidRDefault="00950DD4" w:rsidP="003C1539"/>
    <w:p w:rsidR="002B7FFA" w:rsidRDefault="00950DD4" w:rsidP="00950DD4">
      <w:pPr>
        <w:jc w:val="center"/>
        <w:sectPr w:rsidR="002B7FFA">
          <w:footerReference w:type="even" r:id="rId10"/>
          <w:footerReference w:type="default" r:id="rId11"/>
          <w:pgSz w:w="12240" w:h="15840"/>
          <w:pgMar w:top="1440" w:right="1440" w:bottom="1440" w:left="1440" w:header="720" w:footer="720" w:gutter="0"/>
          <w:cols w:space="720"/>
          <w:docGrid w:linePitch="360"/>
        </w:sectPr>
      </w:pPr>
      <w:r>
        <w:rPr>
          <w:noProof/>
        </w:rPr>
        <w:drawing>
          <wp:inline distT="0" distB="0" distL="0" distR="0">
            <wp:extent cx="2006063" cy="645091"/>
            <wp:effectExtent l="0" t="0" r="0" b="3175"/>
            <wp:docPr id="10" name="Picture 10" descr="NMRlogofinT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RlogofinTeal"/>
                    <pic:cNvPicPr>
                      <a:picLocks noChangeAspect="1" noChangeArrowheads="1"/>
                    </pic:cNvPicPr>
                  </pic:nvPicPr>
                  <pic:blipFill>
                    <a:blip r:embed="rId12" cstate="print"/>
                    <a:stretch>
                      <a:fillRect/>
                    </a:stretch>
                  </pic:blipFill>
                  <pic:spPr bwMode="auto">
                    <a:xfrm>
                      <a:off x="0" y="0"/>
                      <a:ext cx="2008417" cy="645848"/>
                    </a:xfrm>
                    <a:prstGeom prst="rect">
                      <a:avLst/>
                    </a:prstGeom>
                    <a:noFill/>
                    <a:ln w="9525">
                      <a:noFill/>
                      <a:miter lim="800000"/>
                      <a:headEnd/>
                      <a:tailEnd/>
                    </a:ln>
                  </pic:spPr>
                </pic:pic>
              </a:graphicData>
            </a:graphic>
          </wp:inline>
        </w:drawing>
      </w:r>
    </w:p>
    <w:p w:rsidR="002B7FFA" w:rsidRDefault="002B7FFA" w:rsidP="00C72B01">
      <w:pPr>
        <w:tabs>
          <w:tab w:val="left" w:pos="3103"/>
        </w:tabs>
      </w:pPr>
    </w:p>
    <w:p w:rsidR="007A7914" w:rsidRDefault="007A7914" w:rsidP="003C1539"/>
    <w:p w:rsidR="007A7914" w:rsidRDefault="007A7914" w:rsidP="003C1539"/>
    <w:p w:rsidR="007A7914" w:rsidRDefault="007A7914" w:rsidP="003C1539"/>
    <w:p w:rsidR="007A7914" w:rsidRDefault="007A7914" w:rsidP="003C1539"/>
    <w:p w:rsidR="007A7914" w:rsidRDefault="007A7914" w:rsidP="003C1539"/>
    <w:p w:rsidR="007A7914" w:rsidRDefault="007A7914" w:rsidP="003C1539"/>
    <w:p w:rsidR="007A7914" w:rsidRDefault="007A7914" w:rsidP="003C1539"/>
    <w:p w:rsidR="007A7914" w:rsidRDefault="007A7914" w:rsidP="003C1539"/>
    <w:p w:rsidR="007A7914" w:rsidRDefault="007A7914" w:rsidP="003C1539"/>
    <w:p w:rsidR="007A7914" w:rsidRDefault="007A7914" w:rsidP="003C1539"/>
    <w:p w:rsidR="007A7914" w:rsidRDefault="007A7914" w:rsidP="003C1539"/>
    <w:p w:rsidR="007A7914" w:rsidRDefault="007A7914" w:rsidP="006E4335">
      <w:pPr>
        <w:pStyle w:val="NormalCenter"/>
      </w:pPr>
      <w:r>
        <w:t>This page left blank.</w:t>
      </w:r>
    </w:p>
    <w:p w:rsidR="007A7914" w:rsidRDefault="007A7914" w:rsidP="003C1539"/>
    <w:p w:rsidR="007A7914" w:rsidRDefault="007A7914" w:rsidP="003C1539">
      <w:pPr>
        <w:sectPr w:rsidR="007A7914" w:rsidSect="00752036">
          <w:headerReference w:type="even" r:id="rId13"/>
          <w:headerReference w:type="default" r:id="rId14"/>
          <w:footerReference w:type="default" r:id="rId15"/>
          <w:pgSz w:w="12240" w:h="15840"/>
          <w:pgMar w:top="1440" w:right="1440" w:bottom="1440" w:left="1440" w:header="720" w:footer="720" w:gutter="0"/>
          <w:cols w:space="720"/>
          <w:docGrid w:linePitch="360"/>
        </w:sectPr>
      </w:pPr>
    </w:p>
    <w:p w:rsidR="002B7FFA" w:rsidRDefault="002B7FFA" w:rsidP="007A7914">
      <w:pPr>
        <w:pStyle w:val="Signaturepage"/>
      </w:pPr>
    </w:p>
    <w:p w:rsidR="007A7914" w:rsidRDefault="007A7914" w:rsidP="007A7914">
      <w:pPr>
        <w:pStyle w:val="Signaturepage"/>
      </w:pPr>
    </w:p>
    <w:p w:rsidR="007A7914" w:rsidRDefault="007A7914" w:rsidP="007A7914">
      <w:pPr>
        <w:pStyle w:val="Signaturepage"/>
      </w:pPr>
    </w:p>
    <w:p w:rsidR="007A7914" w:rsidRDefault="007A7914" w:rsidP="007A7914">
      <w:pPr>
        <w:pStyle w:val="Signaturepage"/>
      </w:pPr>
    </w:p>
    <w:p w:rsidR="007A7914" w:rsidRDefault="007A7914" w:rsidP="007A7914">
      <w:pPr>
        <w:pStyle w:val="Signaturepage"/>
      </w:pPr>
    </w:p>
    <w:p w:rsidR="007A7914" w:rsidRDefault="007A7914" w:rsidP="007A7914">
      <w:pPr>
        <w:pStyle w:val="Signaturepage"/>
      </w:pPr>
    </w:p>
    <w:p w:rsidR="007A7914" w:rsidRDefault="007A7914" w:rsidP="007A7914">
      <w:pPr>
        <w:pStyle w:val="Signaturepage"/>
      </w:pPr>
    </w:p>
    <w:p w:rsidR="007A7914" w:rsidRDefault="007A7914" w:rsidP="007A7914">
      <w:pPr>
        <w:pStyle w:val="Signaturepage"/>
      </w:pPr>
    </w:p>
    <w:p w:rsidR="007A7914" w:rsidRDefault="007A7914" w:rsidP="007A7914">
      <w:pPr>
        <w:pStyle w:val="Signaturepage"/>
      </w:pPr>
      <w:r>
        <w:t>Prepared by:</w:t>
      </w:r>
    </w:p>
    <w:p w:rsidR="007A7914" w:rsidRDefault="00B46854" w:rsidP="007A7914">
      <w:pPr>
        <w:pStyle w:val="Signaturepage"/>
      </w:pPr>
      <w:r>
        <w:t>Scott Reeves</w:t>
      </w:r>
    </w:p>
    <w:p w:rsidR="007A7914" w:rsidRDefault="00B46854" w:rsidP="007A7914">
      <w:pPr>
        <w:pStyle w:val="Signaturepage"/>
      </w:pPr>
      <w:r>
        <w:t>Bryan Ward</w:t>
      </w:r>
    </w:p>
    <w:p w:rsidR="007A7914" w:rsidRDefault="00B46854" w:rsidP="00AE793E">
      <w:pPr>
        <w:pStyle w:val="Signaturepage"/>
      </w:pPr>
      <w:r>
        <w:t>Matei Perussi</w:t>
      </w:r>
    </w:p>
    <w:p w:rsidR="000E6167" w:rsidRDefault="000E6167" w:rsidP="00AE793E">
      <w:pPr>
        <w:pStyle w:val="Signaturepage"/>
      </w:pPr>
      <w:r>
        <w:t>Eli Caudill</w:t>
      </w:r>
    </w:p>
    <w:p w:rsidR="000E6167" w:rsidRDefault="000E6167" w:rsidP="00AE793E">
      <w:pPr>
        <w:pStyle w:val="Signaturepage"/>
      </w:pPr>
      <w:r>
        <w:t>Andrew Rietz</w:t>
      </w:r>
    </w:p>
    <w:p w:rsidR="007A7914" w:rsidRDefault="007A7914" w:rsidP="007A7914">
      <w:pPr>
        <w:pStyle w:val="Signaturepage"/>
      </w:pPr>
      <w:r>
        <w:t>Cadmus</w:t>
      </w:r>
    </w:p>
    <w:p w:rsidR="007A7914" w:rsidRDefault="007A7914" w:rsidP="007A7914">
      <w:pPr>
        <w:pStyle w:val="Signaturepage"/>
      </w:pPr>
    </w:p>
    <w:p w:rsidR="007A7914" w:rsidRDefault="00AE793E" w:rsidP="007A7914">
      <w:pPr>
        <w:pStyle w:val="Signaturepage"/>
      </w:pPr>
      <w:r>
        <w:t>Lisa Wilson-Wright</w:t>
      </w:r>
    </w:p>
    <w:p w:rsidR="00AE793E" w:rsidRDefault="00AE793E" w:rsidP="007A7914">
      <w:pPr>
        <w:pStyle w:val="Signaturepage"/>
      </w:pPr>
      <w:r>
        <w:t>NMR Group, Inc.</w:t>
      </w:r>
    </w:p>
    <w:p w:rsidR="007A7914" w:rsidRDefault="007A7914" w:rsidP="007A7914">
      <w:pPr>
        <w:pStyle w:val="Signaturepage"/>
      </w:pPr>
    </w:p>
    <w:p w:rsidR="007A7914" w:rsidRDefault="007A7914" w:rsidP="007A7914">
      <w:pPr>
        <w:pStyle w:val="Signaturepage"/>
      </w:pPr>
    </w:p>
    <w:p w:rsidR="007A7914" w:rsidRDefault="007A7914" w:rsidP="007A7914">
      <w:pPr>
        <w:pStyle w:val="Signaturepage"/>
      </w:pPr>
    </w:p>
    <w:p w:rsidR="007A7914" w:rsidRDefault="007A7914" w:rsidP="007A7914">
      <w:pPr>
        <w:pStyle w:val="Signaturepage"/>
      </w:pPr>
    </w:p>
    <w:p w:rsidR="007A7914" w:rsidRDefault="007A7914" w:rsidP="003C1539">
      <w:pPr>
        <w:sectPr w:rsidR="007A7914">
          <w:pgSz w:w="12240" w:h="15840"/>
          <w:pgMar w:top="1440" w:right="1440" w:bottom="1440" w:left="1440" w:header="720" w:footer="720" w:gutter="0"/>
          <w:cols w:space="720"/>
          <w:docGrid w:linePitch="360"/>
        </w:sectPr>
      </w:pPr>
    </w:p>
    <w:p w:rsidR="007A7914" w:rsidRDefault="007A7914" w:rsidP="007A7914"/>
    <w:p w:rsidR="007A7914" w:rsidRDefault="007A7914" w:rsidP="007A7914"/>
    <w:p w:rsidR="007A7914" w:rsidRDefault="007A7914" w:rsidP="007A7914"/>
    <w:p w:rsidR="007A7914" w:rsidRDefault="007A7914" w:rsidP="007A7914"/>
    <w:p w:rsidR="007A7914" w:rsidRDefault="007A7914" w:rsidP="00C72B01"/>
    <w:p w:rsidR="007A7914" w:rsidRDefault="007A7914" w:rsidP="007A7914"/>
    <w:p w:rsidR="007A7914" w:rsidRDefault="007A7914" w:rsidP="007A7914"/>
    <w:p w:rsidR="007A7914" w:rsidRDefault="007A7914" w:rsidP="007A7914"/>
    <w:p w:rsidR="007A7914" w:rsidRDefault="007A7914" w:rsidP="007A7914"/>
    <w:p w:rsidR="007A7914" w:rsidRDefault="007A7914" w:rsidP="007A7914"/>
    <w:p w:rsidR="007A7914" w:rsidRDefault="007A7914" w:rsidP="007A7914"/>
    <w:p w:rsidR="007A7914" w:rsidRDefault="007A7914" w:rsidP="007A7914"/>
    <w:p w:rsidR="007A7914" w:rsidRDefault="007A7914" w:rsidP="006E4335">
      <w:pPr>
        <w:pStyle w:val="NormalCenter"/>
      </w:pPr>
      <w:r>
        <w:t xml:space="preserve">This page </w:t>
      </w:r>
      <w:r w:rsidRPr="006E4335">
        <w:t>left</w:t>
      </w:r>
      <w:r>
        <w:t xml:space="preserve"> blank.</w:t>
      </w:r>
    </w:p>
    <w:p w:rsidR="007A7914" w:rsidRDefault="007A7914" w:rsidP="003C1539"/>
    <w:p w:rsidR="007A7914" w:rsidRDefault="007A7914" w:rsidP="003C1539">
      <w:pPr>
        <w:sectPr w:rsidR="007A7914">
          <w:headerReference w:type="even" r:id="rId16"/>
          <w:footerReference w:type="even" r:id="rId17"/>
          <w:pgSz w:w="12240" w:h="15840"/>
          <w:pgMar w:top="1440" w:right="1440" w:bottom="1440" w:left="1440" w:header="720" w:footer="720" w:gutter="0"/>
          <w:cols w:space="720"/>
          <w:docGrid w:linePitch="360"/>
        </w:sectPr>
      </w:pPr>
    </w:p>
    <w:p w:rsidR="007A7914" w:rsidRPr="00F04460" w:rsidRDefault="007A7914" w:rsidP="0004578C">
      <w:pPr>
        <w:pStyle w:val="TOCTitle"/>
      </w:pPr>
      <w:r w:rsidRPr="00F04460">
        <w:lastRenderedPageBreak/>
        <w:t>Table of Contents</w:t>
      </w:r>
    </w:p>
    <w:p w:rsidR="005101AE" w:rsidRDefault="005C2163">
      <w:pPr>
        <w:pStyle w:val="TOC1"/>
        <w:rPr>
          <w:rFonts w:eastAsiaTheme="minorEastAsia"/>
        </w:rPr>
      </w:pPr>
      <w:r>
        <w:fldChar w:fldCharType="begin"/>
      </w:r>
      <w:r w:rsidR="00115728">
        <w:instrText xml:space="preserve"> TOC \o "1-2" \h \z \u </w:instrText>
      </w:r>
      <w:r>
        <w:fldChar w:fldCharType="separate"/>
      </w:r>
      <w:hyperlink w:anchor="_Toc389663826" w:history="1">
        <w:r w:rsidR="005101AE" w:rsidRPr="008155CC">
          <w:rPr>
            <w:rStyle w:val="Hyperlink"/>
          </w:rPr>
          <w:t>Executive Summary: Combined Report</w:t>
        </w:r>
        <w:r w:rsidR="005101AE">
          <w:rPr>
            <w:webHidden/>
          </w:rPr>
          <w:tab/>
        </w:r>
        <w:r>
          <w:rPr>
            <w:webHidden/>
          </w:rPr>
          <w:fldChar w:fldCharType="begin"/>
        </w:r>
        <w:r w:rsidR="005101AE">
          <w:rPr>
            <w:webHidden/>
          </w:rPr>
          <w:instrText xml:space="preserve"> PAGEREF _Toc389663826 \h </w:instrText>
        </w:r>
        <w:r>
          <w:rPr>
            <w:webHidden/>
          </w:rPr>
        </w:r>
        <w:r>
          <w:rPr>
            <w:webHidden/>
          </w:rPr>
          <w:fldChar w:fldCharType="separate"/>
        </w:r>
        <w:r w:rsidR="00CD20CF">
          <w:rPr>
            <w:webHidden/>
          </w:rPr>
          <w:t>1</w:t>
        </w:r>
        <w:r>
          <w:rPr>
            <w:webHidden/>
          </w:rPr>
          <w:fldChar w:fldCharType="end"/>
        </w:r>
      </w:hyperlink>
    </w:p>
    <w:p w:rsidR="005101AE" w:rsidRDefault="002506E1">
      <w:pPr>
        <w:pStyle w:val="TOC1"/>
        <w:rPr>
          <w:rFonts w:eastAsiaTheme="minorEastAsia"/>
        </w:rPr>
      </w:pPr>
      <w:hyperlink w:anchor="_Toc389663827" w:history="1">
        <w:r w:rsidR="005101AE" w:rsidRPr="008155CC">
          <w:rPr>
            <w:rStyle w:val="Hyperlink"/>
          </w:rPr>
          <w:t>Executive Summary: Volume 2</w:t>
        </w:r>
        <w:r w:rsidR="005101AE">
          <w:rPr>
            <w:webHidden/>
          </w:rPr>
          <w:tab/>
        </w:r>
        <w:r w:rsidR="005C2163">
          <w:rPr>
            <w:webHidden/>
          </w:rPr>
          <w:fldChar w:fldCharType="begin"/>
        </w:r>
        <w:r w:rsidR="005101AE">
          <w:rPr>
            <w:webHidden/>
          </w:rPr>
          <w:instrText xml:space="preserve"> PAGEREF _Toc389663827 \h </w:instrText>
        </w:r>
        <w:r w:rsidR="005C2163">
          <w:rPr>
            <w:webHidden/>
          </w:rPr>
        </w:r>
        <w:r w:rsidR="005C2163">
          <w:rPr>
            <w:webHidden/>
          </w:rPr>
          <w:fldChar w:fldCharType="separate"/>
        </w:r>
        <w:r w:rsidR="00CD20CF">
          <w:rPr>
            <w:webHidden/>
          </w:rPr>
          <w:t>3</w:t>
        </w:r>
        <w:r w:rsidR="005C2163">
          <w:rPr>
            <w:webHidden/>
          </w:rPr>
          <w:fldChar w:fldCharType="end"/>
        </w:r>
      </w:hyperlink>
    </w:p>
    <w:p w:rsidR="005101AE" w:rsidRDefault="002506E1">
      <w:pPr>
        <w:pStyle w:val="TOC2"/>
        <w:rPr>
          <w:rFonts w:eastAsiaTheme="minorEastAsia"/>
        </w:rPr>
      </w:pPr>
      <w:hyperlink w:anchor="_Toc389663828" w:history="1">
        <w:r w:rsidR="005101AE" w:rsidRPr="008155CC">
          <w:rPr>
            <w:rStyle w:val="Hyperlink"/>
          </w:rPr>
          <w:t>Program Overview</w:t>
        </w:r>
        <w:r w:rsidR="005101AE">
          <w:rPr>
            <w:webHidden/>
          </w:rPr>
          <w:tab/>
        </w:r>
        <w:r w:rsidR="005C2163">
          <w:rPr>
            <w:webHidden/>
          </w:rPr>
          <w:fldChar w:fldCharType="begin"/>
        </w:r>
        <w:r w:rsidR="005101AE">
          <w:rPr>
            <w:webHidden/>
          </w:rPr>
          <w:instrText xml:space="preserve"> PAGEREF _Toc389663828 \h </w:instrText>
        </w:r>
        <w:r w:rsidR="005C2163">
          <w:rPr>
            <w:webHidden/>
          </w:rPr>
        </w:r>
        <w:r w:rsidR="005C2163">
          <w:rPr>
            <w:webHidden/>
          </w:rPr>
          <w:fldChar w:fldCharType="separate"/>
        </w:r>
        <w:r w:rsidR="00CD20CF">
          <w:rPr>
            <w:webHidden/>
          </w:rPr>
          <w:t>3</w:t>
        </w:r>
        <w:r w:rsidR="005C2163">
          <w:rPr>
            <w:webHidden/>
          </w:rPr>
          <w:fldChar w:fldCharType="end"/>
        </w:r>
      </w:hyperlink>
    </w:p>
    <w:p w:rsidR="005101AE" w:rsidRDefault="002506E1">
      <w:pPr>
        <w:pStyle w:val="TOC2"/>
        <w:rPr>
          <w:rFonts w:eastAsiaTheme="minorEastAsia"/>
        </w:rPr>
      </w:pPr>
      <w:hyperlink w:anchor="_Toc389663829" w:history="1">
        <w:r w:rsidR="005101AE" w:rsidRPr="008155CC">
          <w:rPr>
            <w:rStyle w:val="Hyperlink"/>
          </w:rPr>
          <w:t>Methodology</w:t>
        </w:r>
        <w:r w:rsidR="005101AE">
          <w:rPr>
            <w:webHidden/>
          </w:rPr>
          <w:tab/>
        </w:r>
        <w:r w:rsidR="005C2163">
          <w:rPr>
            <w:webHidden/>
          </w:rPr>
          <w:fldChar w:fldCharType="begin"/>
        </w:r>
        <w:r w:rsidR="005101AE">
          <w:rPr>
            <w:webHidden/>
          </w:rPr>
          <w:instrText xml:space="preserve"> PAGEREF _Toc389663829 \h </w:instrText>
        </w:r>
        <w:r w:rsidR="005C2163">
          <w:rPr>
            <w:webHidden/>
          </w:rPr>
        </w:r>
        <w:r w:rsidR="005C2163">
          <w:rPr>
            <w:webHidden/>
          </w:rPr>
          <w:fldChar w:fldCharType="separate"/>
        </w:r>
        <w:r w:rsidR="00CD20CF">
          <w:rPr>
            <w:webHidden/>
          </w:rPr>
          <w:t>3</w:t>
        </w:r>
        <w:r w:rsidR="005C2163">
          <w:rPr>
            <w:webHidden/>
          </w:rPr>
          <w:fldChar w:fldCharType="end"/>
        </w:r>
      </w:hyperlink>
    </w:p>
    <w:p w:rsidR="005101AE" w:rsidRDefault="002506E1">
      <w:pPr>
        <w:pStyle w:val="TOC2"/>
        <w:rPr>
          <w:rFonts w:eastAsiaTheme="minorEastAsia"/>
        </w:rPr>
      </w:pPr>
      <w:hyperlink w:anchor="_Toc389663830" w:history="1">
        <w:r w:rsidR="005101AE" w:rsidRPr="008155CC">
          <w:rPr>
            <w:rStyle w:val="Hyperlink"/>
          </w:rPr>
          <w:t>Results</w:t>
        </w:r>
        <w:r w:rsidR="005101AE">
          <w:rPr>
            <w:webHidden/>
          </w:rPr>
          <w:tab/>
        </w:r>
        <w:r w:rsidR="005C2163">
          <w:rPr>
            <w:webHidden/>
          </w:rPr>
          <w:fldChar w:fldCharType="begin"/>
        </w:r>
        <w:r w:rsidR="005101AE">
          <w:rPr>
            <w:webHidden/>
          </w:rPr>
          <w:instrText xml:space="preserve"> PAGEREF _Toc389663830 \h </w:instrText>
        </w:r>
        <w:r w:rsidR="005C2163">
          <w:rPr>
            <w:webHidden/>
          </w:rPr>
        </w:r>
        <w:r w:rsidR="005C2163">
          <w:rPr>
            <w:webHidden/>
          </w:rPr>
          <w:fldChar w:fldCharType="separate"/>
        </w:r>
        <w:r w:rsidR="00CD20CF">
          <w:rPr>
            <w:webHidden/>
          </w:rPr>
          <w:t>6</w:t>
        </w:r>
        <w:r w:rsidR="005C2163">
          <w:rPr>
            <w:webHidden/>
          </w:rPr>
          <w:fldChar w:fldCharType="end"/>
        </w:r>
      </w:hyperlink>
    </w:p>
    <w:p w:rsidR="005101AE" w:rsidRDefault="002506E1">
      <w:pPr>
        <w:pStyle w:val="TOC2"/>
        <w:rPr>
          <w:rFonts w:eastAsiaTheme="minorEastAsia"/>
        </w:rPr>
      </w:pPr>
      <w:hyperlink w:anchor="_Toc389663831" w:history="1">
        <w:r w:rsidR="005101AE" w:rsidRPr="008155CC">
          <w:rPr>
            <w:rStyle w:val="Hyperlink"/>
          </w:rPr>
          <w:t>Recommendations</w:t>
        </w:r>
        <w:r w:rsidR="005101AE">
          <w:rPr>
            <w:webHidden/>
          </w:rPr>
          <w:tab/>
        </w:r>
        <w:r w:rsidR="005C2163">
          <w:rPr>
            <w:webHidden/>
          </w:rPr>
          <w:fldChar w:fldCharType="begin"/>
        </w:r>
        <w:r w:rsidR="005101AE">
          <w:rPr>
            <w:webHidden/>
          </w:rPr>
          <w:instrText xml:space="preserve"> PAGEREF _Toc389663831 \h </w:instrText>
        </w:r>
        <w:r w:rsidR="005C2163">
          <w:rPr>
            <w:webHidden/>
          </w:rPr>
        </w:r>
        <w:r w:rsidR="005C2163">
          <w:rPr>
            <w:webHidden/>
          </w:rPr>
          <w:fldChar w:fldCharType="separate"/>
        </w:r>
        <w:r w:rsidR="00CD20CF">
          <w:rPr>
            <w:webHidden/>
          </w:rPr>
          <w:t>10</w:t>
        </w:r>
        <w:r w:rsidR="005C2163">
          <w:rPr>
            <w:webHidden/>
          </w:rPr>
          <w:fldChar w:fldCharType="end"/>
        </w:r>
      </w:hyperlink>
    </w:p>
    <w:p w:rsidR="005101AE" w:rsidRDefault="002506E1">
      <w:pPr>
        <w:pStyle w:val="TOC1"/>
        <w:rPr>
          <w:rFonts w:eastAsiaTheme="minorEastAsia"/>
        </w:rPr>
      </w:pPr>
      <w:hyperlink w:anchor="_Toc389663832" w:history="1">
        <w:r w:rsidR="005101AE" w:rsidRPr="008155CC">
          <w:rPr>
            <w:rStyle w:val="Hyperlink"/>
          </w:rPr>
          <w:t>Introduction</w:t>
        </w:r>
        <w:r w:rsidR="005101AE">
          <w:rPr>
            <w:webHidden/>
          </w:rPr>
          <w:tab/>
        </w:r>
        <w:r w:rsidR="005C2163">
          <w:rPr>
            <w:webHidden/>
          </w:rPr>
          <w:fldChar w:fldCharType="begin"/>
        </w:r>
        <w:r w:rsidR="005101AE">
          <w:rPr>
            <w:webHidden/>
          </w:rPr>
          <w:instrText xml:space="preserve"> PAGEREF _Toc389663832 \h </w:instrText>
        </w:r>
        <w:r w:rsidR="005C2163">
          <w:rPr>
            <w:webHidden/>
          </w:rPr>
        </w:r>
        <w:r w:rsidR="005C2163">
          <w:rPr>
            <w:webHidden/>
          </w:rPr>
          <w:fldChar w:fldCharType="separate"/>
        </w:r>
        <w:r w:rsidR="00CD20CF">
          <w:rPr>
            <w:webHidden/>
          </w:rPr>
          <w:t>13</w:t>
        </w:r>
        <w:r w:rsidR="005C2163">
          <w:rPr>
            <w:webHidden/>
          </w:rPr>
          <w:fldChar w:fldCharType="end"/>
        </w:r>
      </w:hyperlink>
    </w:p>
    <w:p w:rsidR="005101AE" w:rsidRDefault="002506E1">
      <w:pPr>
        <w:pStyle w:val="TOC2"/>
        <w:rPr>
          <w:rFonts w:eastAsiaTheme="minorEastAsia"/>
        </w:rPr>
      </w:pPr>
      <w:hyperlink w:anchor="_Toc389663833" w:history="1">
        <w:r w:rsidR="005101AE" w:rsidRPr="008155CC">
          <w:rPr>
            <w:rStyle w:val="Hyperlink"/>
          </w:rPr>
          <w:t>Program Overview</w:t>
        </w:r>
        <w:r w:rsidR="005101AE">
          <w:rPr>
            <w:webHidden/>
          </w:rPr>
          <w:tab/>
        </w:r>
        <w:r w:rsidR="005C2163">
          <w:rPr>
            <w:webHidden/>
          </w:rPr>
          <w:fldChar w:fldCharType="begin"/>
        </w:r>
        <w:r w:rsidR="005101AE">
          <w:rPr>
            <w:webHidden/>
          </w:rPr>
          <w:instrText xml:space="preserve"> PAGEREF _Toc389663833 \h </w:instrText>
        </w:r>
        <w:r w:rsidR="005C2163">
          <w:rPr>
            <w:webHidden/>
          </w:rPr>
        </w:r>
        <w:r w:rsidR="005C2163">
          <w:rPr>
            <w:webHidden/>
          </w:rPr>
          <w:fldChar w:fldCharType="separate"/>
        </w:r>
        <w:r w:rsidR="00CD20CF">
          <w:rPr>
            <w:webHidden/>
          </w:rPr>
          <w:t>13</w:t>
        </w:r>
        <w:r w:rsidR="005C2163">
          <w:rPr>
            <w:webHidden/>
          </w:rPr>
          <w:fldChar w:fldCharType="end"/>
        </w:r>
      </w:hyperlink>
    </w:p>
    <w:p w:rsidR="005101AE" w:rsidRDefault="002506E1">
      <w:pPr>
        <w:pStyle w:val="TOC2"/>
        <w:rPr>
          <w:rFonts w:eastAsiaTheme="minorEastAsia"/>
        </w:rPr>
      </w:pPr>
      <w:hyperlink w:anchor="_Toc389663834" w:history="1">
        <w:r w:rsidR="005101AE" w:rsidRPr="008155CC">
          <w:rPr>
            <w:rStyle w:val="Hyperlink"/>
          </w:rPr>
          <w:t>Report Organization</w:t>
        </w:r>
        <w:r w:rsidR="005101AE">
          <w:rPr>
            <w:webHidden/>
          </w:rPr>
          <w:tab/>
        </w:r>
        <w:r w:rsidR="005C2163">
          <w:rPr>
            <w:webHidden/>
          </w:rPr>
          <w:fldChar w:fldCharType="begin"/>
        </w:r>
        <w:r w:rsidR="005101AE">
          <w:rPr>
            <w:webHidden/>
          </w:rPr>
          <w:instrText xml:space="preserve"> PAGEREF _Toc389663834 \h </w:instrText>
        </w:r>
        <w:r w:rsidR="005C2163">
          <w:rPr>
            <w:webHidden/>
          </w:rPr>
        </w:r>
        <w:r w:rsidR="005C2163">
          <w:rPr>
            <w:webHidden/>
          </w:rPr>
          <w:fldChar w:fldCharType="separate"/>
        </w:r>
        <w:r w:rsidR="00CD20CF">
          <w:rPr>
            <w:webHidden/>
          </w:rPr>
          <w:t>14</w:t>
        </w:r>
        <w:r w:rsidR="005C2163">
          <w:rPr>
            <w:webHidden/>
          </w:rPr>
          <w:fldChar w:fldCharType="end"/>
        </w:r>
      </w:hyperlink>
    </w:p>
    <w:p w:rsidR="005101AE" w:rsidRDefault="002506E1">
      <w:pPr>
        <w:pStyle w:val="TOC1"/>
        <w:rPr>
          <w:rFonts w:eastAsiaTheme="minorEastAsia"/>
        </w:rPr>
      </w:pPr>
      <w:hyperlink w:anchor="_Toc389663835" w:history="1">
        <w:r w:rsidR="005101AE" w:rsidRPr="008155CC">
          <w:rPr>
            <w:rStyle w:val="Hyperlink"/>
          </w:rPr>
          <w:t>Methodology</w:t>
        </w:r>
        <w:r w:rsidR="005101AE">
          <w:rPr>
            <w:webHidden/>
          </w:rPr>
          <w:tab/>
        </w:r>
        <w:r w:rsidR="005C2163">
          <w:rPr>
            <w:webHidden/>
          </w:rPr>
          <w:fldChar w:fldCharType="begin"/>
        </w:r>
        <w:r w:rsidR="005101AE">
          <w:rPr>
            <w:webHidden/>
          </w:rPr>
          <w:instrText xml:space="preserve"> PAGEREF _Toc389663835 \h </w:instrText>
        </w:r>
        <w:r w:rsidR="005C2163">
          <w:rPr>
            <w:webHidden/>
          </w:rPr>
        </w:r>
        <w:r w:rsidR="005C2163">
          <w:rPr>
            <w:webHidden/>
          </w:rPr>
          <w:fldChar w:fldCharType="separate"/>
        </w:r>
        <w:r w:rsidR="00CD20CF">
          <w:rPr>
            <w:webHidden/>
          </w:rPr>
          <w:t>15</w:t>
        </w:r>
        <w:r w:rsidR="005C2163">
          <w:rPr>
            <w:webHidden/>
          </w:rPr>
          <w:fldChar w:fldCharType="end"/>
        </w:r>
      </w:hyperlink>
    </w:p>
    <w:p w:rsidR="005101AE" w:rsidRDefault="002506E1">
      <w:pPr>
        <w:pStyle w:val="TOC2"/>
        <w:rPr>
          <w:rFonts w:eastAsiaTheme="minorEastAsia"/>
        </w:rPr>
      </w:pPr>
      <w:hyperlink w:anchor="_Toc389663836" w:history="1">
        <w:r w:rsidR="005101AE" w:rsidRPr="008155CC">
          <w:rPr>
            <w:rStyle w:val="Hyperlink"/>
          </w:rPr>
          <w:t>Evaluation Approach: Electric and Natural Gas Measure-Level Impacts</w:t>
        </w:r>
        <w:r w:rsidR="005101AE">
          <w:rPr>
            <w:webHidden/>
          </w:rPr>
          <w:tab/>
        </w:r>
        <w:r w:rsidR="005C2163">
          <w:rPr>
            <w:webHidden/>
          </w:rPr>
          <w:fldChar w:fldCharType="begin"/>
        </w:r>
        <w:r w:rsidR="005101AE">
          <w:rPr>
            <w:webHidden/>
          </w:rPr>
          <w:instrText xml:space="preserve"> PAGEREF _Toc389663836 \h </w:instrText>
        </w:r>
        <w:r w:rsidR="005C2163">
          <w:rPr>
            <w:webHidden/>
          </w:rPr>
        </w:r>
        <w:r w:rsidR="005C2163">
          <w:rPr>
            <w:webHidden/>
          </w:rPr>
          <w:fldChar w:fldCharType="separate"/>
        </w:r>
        <w:r w:rsidR="00CD20CF">
          <w:rPr>
            <w:webHidden/>
          </w:rPr>
          <w:t>15</w:t>
        </w:r>
        <w:r w:rsidR="005C2163">
          <w:rPr>
            <w:webHidden/>
          </w:rPr>
          <w:fldChar w:fldCharType="end"/>
        </w:r>
      </w:hyperlink>
    </w:p>
    <w:p w:rsidR="005101AE" w:rsidRDefault="002506E1">
      <w:pPr>
        <w:pStyle w:val="TOC2"/>
        <w:rPr>
          <w:rFonts w:eastAsiaTheme="minorEastAsia"/>
        </w:rPr>
      </w:pPr>
      <w:hyperlink w:anchor="_Toc389663837" w:history="1">
        <w:r w:rsidR="005101AE" w:rsidRPr="008155CC">
          <w:rPr>
            <w:rStyle w:val="Hyperlink"/>
          </w:rPr>
          <w:t>Data Sources</w:t>
        </w:r>
        <w:r w:rsidR="005101AE">
          <w:rPr>
            <w:webHidden/>
          </w:rPr>
          <w:tab/>
        </w:r>
        <w:r w:rsidR="005C2163">
          <w:rPr>
            <w:webHidden/>
          </w:rPr>
          <w:fldChar w:fldCharType="begin"/>
        </w:r>
        <w:r w:rsidR="005101AE">
          <w:rPr>
            <w:webHidden/>
          </w:rPr>
          <w:instrText xml:space="preserve"> PAGEREF _Toc389663837 \h </w:instrText>
        </w:r>
        <w:r w:rsidR="005C2163">
          <w:rPr>
            <w:webHidden/>
          </w:rPr>
        </w:r>
        <w:r w:rsidR="005C2163">
          <w:rPr>
            <w:webHidden/>
          </w:rPr>
          <w:fldChar w:fldCharType="separate"/>
        </w:r>
        <w:r w:rsidR="00CD20CF">
          <w:rPr>
            <w:webHidden/>
          </w:rPr>
          <w:t>18</w:t>
        </w:r>
        <w:r w:rsidR="005C2163">
          <w:rPr>
            <w:webHidden/>
          </w:rPr>
          <w:fldChar w:fldCharType="end"/>
        </w:r>
      </w:hyperlink>
    </w:p>
    <w:p w:rsidR="005101AE" w:rsidRDefault="002506E1">
      <w:pPr>
        <w:pStyle w:val="TOC2"/>
        <w:rPr>
          <w:rFonts w:eastAsiaTheme="minorEastAsia"/>
        </w:rPr>
      </w:pPr>
      <w:hyperlink w:anchor="_Toc389663838" w:history="1">
        <w:r w:rsidR="005101AE" w:rsidRPr="008155CC">
          <w:rPr>
            <w:rStyle w:val="Hyperlink"/>
          </w:rPr>
          <w:t>Participant Group</w:t>
        </w:r>
        <w:r w:rsidR="005101AE">
          <w:rPr>
            <w:webHidden/>
          </w:rPr>
          <w:tab/>
        </w:r>
        <w:r w:rsidR="005C2163">
          <w:rPr>
            <w:webHidden/>
          </w:rPr>
          <w:fldChar w:fldCharType="begin"/>
        </w:r>
        <w:r w:rsidR="005101AE">
          <w:rPr>
            <w:webHidden/>
          </w:rPr>
          <w:instrText xml:space="preserve"> PAGEREF _Toc389663838 \h </w:instrText>
        </w:r>
        <w:r w:rsidR="005C2163">
          <w:rPr>
            <w:webHidden/>
          </w:rPr>
        </w:r>
        <w:r w:rsidR="005C2163">
          <w:rPr>
            <w:webHidden/>
          </w:rPr>
          <w:fldChar w:fldCharType="separate"/>
        </w:r>
        <w:r w:rsidR="00CD20CF">
          <w:rPr>
            <w:webHidden/>
          </w:rPr>
          <w:t>19</w:t>
        </w:r>
        <w:r w:rsidR="005C2163">
          <w:rPr>
            <w:webHidden/>
          </w:rPr>
          <w:fldChar w:fldCharType="end"/>
        </w:r>
      </w:hyperlink>
    </w:p>
    <w:p w:rsidR="005101AE" w:rsidRDefault="002506E1">
      <w:pPr>
        <w:pStyle w:val="TOC2"/>
        <w:rPr>
          <w:rFonts w:eastAsiaTheme="minorEastAsia"/>
        </w:rPr>
      </w:pPr>
      <w:hyperlink w:anchor="_Toc389663839" w:history="1">
        <w:r w:rsidR="005101AE" w:rsidRPr="008155CC">
          <w:rPr>
            <w:rStyle w:val="Hyperlink"/>
          </w:rPr>
          <w:t>Comparison Group</w:t>
        </w:r>
        <w:r w:rsidR="005101AE">
          <w:rPr>
            <w:webHidden/>
          </w:rPr>
          <w:tab/>
        </w:r>
        <w:r w:rsidR="005C2163">
          <w:rPr>
            <w:webHidden/>
          </w:rPr>
          <w:fldChar w:fldCharType="begin"/>
        </w:r>
        <w:r w:rsidR="005101AE">
          <w:rPr>
            <w:webHidden/>
          </w:rPr>
          <w:instrText xml:space="preserve"> PAGEREF _Toc389663839 \h </w:instrText>
        </w:r>
        <w:r w:rsidR="005C2163">
          <w:rPr>
            <w:webHidden/>
          </w:rPr>
        </w:r>
        <w:r w:rsidR="005C2163">
          <w:rPr>
            <w:webHidden/>
          </w:rPr>
          <w:fldChar w:fldCharType="separate"/>
        </w:r>
        <w:r w:rsidR="00CD20CF">
          <w:rPr>
            <w:webHidden/>
          </w:rPr>
          <w:t>20</w:t>
        </w:r>
        <w:r w:rsidR="005C2163">
          <w:rPr>
            <w:webHidden/>
          </w:rPr>
          <w:fldChar w:fldCharType="end"/>
        </w:r>
      </w:hyperlink>
    </w:p>
    <w:p w:rsidR="005101AE" w:rsidRDefault="002506E1">
      <w:pPr>
        <w:pStyle w:val="TOC2"/>
        <w:rPr>
          <w:rFonts w:eastAsiaTheme="minorEastAsia"/>
        </w:rPr>
      </w:pPr>
      <w:hyperlink w:anchor="_Toc389663840" w:history="1">
        <w:r w:rsidR="005101AE" w:rsidRPr="008155CC">
          <w:rPr>
            <w:rStyle w:val="Hyperlink"/>
          </w:rPr>
          <w:t>Savings Calculation</w:t>
        </w:r>
        <w:r w:rsidR="005101AE">
          <w:rPr>
            <w:webHidden/>
          </w:rPr>
          <w:tab/>
        </w:r>
        <w:r w:rsidR="005C2163">
          <w:rPr>
            <w:webHidden/>
          </w:rPr>
          <w:fldChar w:fldCharType="begin"/>
        </w:r>
        <w:r w:rsidR="005101AE">
          <w:rPr>
            <w:webHidden/>
          </w:rPr>
          <w:instrText xml:space="preserve"> PAGEREF _Toc389663840 \h </w:instrText>
        </w:r>
        <w:r w:rsidR="005C2163">
          <w:rPr>
            <w:webHidden/>
          </w:rPr>
        </w:r>
        <w:r w:rsidR="005C2163">
          <w:rPr>
            <w:webHidden/>
          </w:rPr>
          <w:fldChar w:fldCharType="separate"/>
        </w:r>
        <w:r w:rsidR="00CD20CF">
          <w:rPr>
            <w:webHidden/>
          </w:rPr>
          <w:t>20</w:t>
        </w:r>
        <w:r w:rsidR="005C2163">
          <w:rPr>
            <w:webHidden/>
          </w:rPr>
          <w:fldChar w:fldCharType="end"/>
        </w:r>
      </w:hyperlink>
    </w:p>
    <w:p w:rsidR="005101AE" w:rsidRDefault="002506E1">
      <w:pPr>
        <w:pStyle w:val="TOC2"/>
        <w:rPr>
          <w:rFonts w:eastAsiaTheme="minorEastAsia"/>
        </w:rPr>
      </w:pPr>
      <w:hyperlink w:anchor="_Toc389663841" w:history="1">
        <w:r w:rsidR="005101AE" w:rsidRPr="008155CC">
          <w:rPr>
            <w:rStyle w:val="Hyperlink"/>
          </w:rPr>
          <w:t>Engineering Analysis</w:t>
        </w:r>
        <w:r w:rsidR="005101AE">
          <w:rPr>
            <w:webHidden/>
          </w:rPr>
          <w:tab/>
        </w:r>
        <w:r w:rsidR="005C2163">
          <w:rPr>
            <w:webHidden/>
          </w:rPr>
          <w:fldChar w:fldCharType="begin"/>
        </w:r>
        <w:r w:rsidR="005101AE">
          <w:rPr>
            <w:webHidden/>
          </w:rPr>
          <w:instrText xml:space="preserve"> PAGEREF _Toc389663841 \h </w:instrText>
        </w:r>
        <w:r w:rsidR="005C2163">
          <w:rPr>
            <w:webHidden/>
          </w:rPr>
        </w:r>
        <w:r w:rsidR="005C2163">
          <w:rPr>
            <w:webHidden/>
          </w:rPr>
          <w:fldChar w:fldCharType="separate"/>
        </w:r>
        <w:r w:rsidR="00CD20CF">
          <w:rPr>
            <w:webHidden/>
          </w:rPr>
          <w:t>21</w:t>
        </w:r>
        <w:r w:rsidR="005C2163">
          <w:rPr>
            <w:webHidden/>
          </w:rPr>
          <w:fldChar w:fldCharType="end"/>
        </w:r>
      </w:hyperlink>
    </w:p>
    <w:p w:rsidR="005101AE" w:rsidRDefault="002506E1">
      <w:pPr>
        <w:pStyle w:val="TOC2"/>
        <w:rPr>
          <w:rFonts w:eastAsiaTheme="minorEastAsia"/>
        </w:rPr>
      </w:pPr>
      <w:hyperlink w:anchor="_Toc389663842" w:history="1">
        <w:r w:rsidR="005101AE" w:rsidRPr="008155CC">
          <w:rPr>
            <w:rStyle w:val="Hyperlink"/>
          </w:rPr>
          <w:t>Billing Analysis</w:t>
        </w:r>
        <w:r w:rsidR="005101AE">
          <w:rPr>
            <w:webHidden/>
          </w:rPr>
          <w:tab/>
        </w:r>
        <w:r w:rsidR="005C2163">
          <w:rPr>
            <w:webHidden/>
          </w:rPr>
          <w:fldChar w:fldCharType="begin"/>
        </w:r>
        <w:r w:rsidR="005101AE">
          <w:rPr>
            <w:webHidden/>
          </w:rPr>
          <w:instrText xml:space="preserve"> PAGEREF _Toc389663842 \h </w:instrText>
        </w:r>
        <w:r w:rsidR="005C2163">
          <w:rPr>
            <w:webHidden/>
          </w:rPr>
        </w:r>
        <w:r w:rsidR="005C2163">
          <w:rPr>
            <w:webHidden/>
          </w:rPr>
          <w:fldChar w:fldCharType="separate"/>
        </w:r>
        <w:r w:rsidR="00CD20CF">
          <w:rPr>
            <w:webHidden/>
          </w:rPr>
          <w:t>23</w:t>
        </w:r>
        <w:r w:rsidR="005C2163">
          <w:rPr>
            <w:webHidden/>
          </w:rPr>
          <w:fldChar w:fldCharType="end"/>
        </w:r>
      </w:hyperlink>
    </w:p>
    <w:p w:rsidR="005101AE" w:rsidRDefault="002506E1">
      <w:pPr>
        <w:pStyle w:val="TOC1"/>
        <w:rPr>
          <w:rFonts w:eastAsiaTheme="minorEastAsia"/>
        </w:rPr>
      </w:pPr>
      <w:hyperlink w:anchor="_Toc389663843" w:history="1">
        <w:r w:rsidR="005101AE" w:rsidRPr="008155CC">
          <w:rPr>
            <w:rStyle w:val="Hyperlink"/>
          </w:rPr>
          <w:t>HES Findings</w:t>
        </w:r>
        <w:r w:rsidR="005101AE">
          <w:rPr>
            <w:webHidden/>
          </w:rPr>
          <w:tab/>
        </w:r>
        <w:r w:rsidR="005C2163">
          <w:rPr>
            <w:webHidden/>
          </w:rPr>
          <w:fldChar w:fldCharType="begin"/>
        </w:r>
        <w:r w:rsidR="005101AE">
          <w:rPr>
            <w:webHidden/>
          </w:rPr>
          <w:instrText xml:space="preserve"> PAGEREF _Toc389663843 \h </w:instrText>
        </w:r>
        <w:r w:rsidR="005C2163">
          <w:rPr>
            <w:webHidden/>
          </w:rPr>
        </w:r>
        <w:r w:rsidR="005C2163">
          <w:rPr>
            <w:webHidden/>
          </w:rPr>
          <w:fldChar w:fldCharType="separate"/>
        </w:r>
        <w:r w:rsidR="00CD20CF">
          <w:rPr>
            <w:webHidden/>
          </w:rPr>
          <w:t>25</w:t>
        </w:r>
        <w:r w:rsidR="005C2163">
          <w:rPr>
            <w:webHidden/>
          </w:rPr>
          <w:fldChar w:fldCharType="end"/>
        </w:r>
      </w:hyperlink>
    </w:p>
    <w:p w:rsidR="005101AE" w:rsidRDefault="002506E1">
      <w:pPr>
        <w:pStyle w:val="TOC2"/>
        <w:rPr>
          <w:rFonts w:eastAsiaTheme="minorEastAsia"/>
        </w:rPr>
      </w:pPr>
      <w:hyperlink w:anchor="_Toc389663844" w:history="1">
        <w:r w:rsidR="005101AE" w:rsidRPr="008155CC">
          <w:rPr>
            <w:rStyle w:val="Hyperlink"/>
          </w:rPr>
          <w:t>Program-Level Results</w:t>
        </w:r>
        <w:r w:rsidR="005101AE">
          <w:rPr>
            <w:webHidden/>
          </w:rPr>
          <w:tab/>
        </w:r>
        <w:r w:rsidR="005C2163">
          <w:rPr>
            <w:webHidden/>
          </w:rPr>
          <w:fldChar w:fldCharType="begin"/>
        </w:r>
        <w:r w:rsidR="005101AE">
          <w:rPr>
            <w:webHidden/>
          </w:rPr>
          <w:instrText xml:space="preserve"> PAGEREF _Toc389663844 \h </w:instrText>
        </w:r>
        <w:r w:rsidR="005C2163">
          <w:rPr>
            <w:webHidden/>
          </w:rPr>
        </w:r>
        <w:r w:rsidR="005C2163">
          <w:rPr>
            <w:webHidden/>
          </w:rPr>
          <w:fldChar w:fldCharType="separate"/>
        </w:r>
        <w:r w:rsidR="00CD20CF">
          <w:rPr>
            <w:webHidden/>
          </w:rPr>
          <w:t>25</w:t>
        </w:r>
        <w:r w:rsidR="005C2163">
          <w:rPr>
            <w:webHidden/>
          </w:rPr>
          <w:fldChar w:fldCharType="end"/>
        </w:r>
      </w:hyperlink>
    </w:p>
    <w:p w:rsidR="005101AE" w:rsidRDefault="002506E1">
      <w:pPr>
        <w:pStyle w:val="TOC2"/>
        <w:rPr>
          <w:rFonts w:eastAsiaTheme="minorEastAsia"/>
        </w:rPr>
      </w:pPr>
      <w:hyperlink w:anchor="_Toc389663845" w:history="1">
        <w:r w:rsidR="005101AE" w:rsidRPr="008155CC">
          <w:rPr>
            <w:rStyle w:val="Hyperlink"/>
          </w:rPr>
          <w:t>Measure-Level Savings</w:t>
        </w:r>
        <w:r w:rsidR="005101AE">
          <w:rPr>
            <w:webHidden/>
          </w:rPr>
          <w:tab/>
        </w:r>
        <w:r w:rsidR="005C2163">
          <w:rPr>
            <w:webHidden/>
          </w:rPr>
          <w:fldChar w:fldCharType="begin"/>
        </w:r>
        <w:r w:rsidR="005101AE">
          <w:rPr>
            <w:webHidden/>
          </w:rPr>
          <w:instrText xml:space="preserve"> PAGEREF _Toc389663845 \h </w:instrText>
        </w:r>
        <w:r w:rsidR="005C2163">
          <w:rPr>
            <w:webHidden/>
          </w:rPr>
        </w:r>
        <w:r w:rsidR="005C2163">
          <w:rPr>
            <w:webHidden/>
          </w:rPr>
          <w:fldChar w:fldCharType="separate"/>
        </w:r>
        <w:r w:rsidR="00CD20CF">
          <w:rPr>
            <w:webHidden/>
          </w:rPr>
          <w:t>28</w:t>
        </w:r>
        <w:r w:rsidR="005C2163">
          <w:rPr>
            <w:webHidden/>
          </w:rPr>
          <w:fldChar w:fldCharType="end"/>
        </w:r>
      </w:hyperlink>
    </w:p>
    <w:p w:rsidR="005101AE" w:rsidRDefault="002506E1">
      <w:pPr>
        <w:pStyle w:val="TOC1"/>
        <w:rPr>
          <w:rFonts w:eastAsiaTheme="minorEastAsia"/>
        </w:rPr>
      </w:pPr>
      <w:hyperlink w:anchor="_Toc389663846" w:history="1">
        <w:r w:rsidR="005101AE" w:rsidRPr="008155CC">
          <w:rPr>
            <w:rStyle w:val="Hyperlink"/>
          </w:rPr>
          <w:t>HES-IE Findings</w:t>
        </w:r>
        <w:r w:rsidR="005101AE">
          <w:rPr>
            <w:webHidden/>
          </w:rPr>
          <w:tab/>
        </w:r>
        <w:r w:rsidR="005C2163">
          <w:rPr>
            <w:webHidden/>
          </w:rPr>
          <w:fldChar w:fldCharType="begin"/>
        </w:r>
        <w:r w:rsidR="005101AE">
          <w:rPr>
            <w:webHidden/>
          </w:rPr>
          <w:instrText xml:space="preserve"> PAGEREF _Toc389663846 \h </w:instrText>
        </w:r>
        <w:r w:rsidR="005C2163">
          <w:rPr>
            <w:webHidden/>
          </w:rPr>
        </w:r>
        <w:r w:rsidR="005C2163">
          <w:rPr>
            <w:webHidden/>
          </w:rPr>
          <w:fldChar w:fldCharType="separate"/>
        </w:r>
        <w:r w:rsidR="00CD20CF">
          <w:rPr>
            <w:webHidden/>
          </w:rPr>
          <w:t>44</w:t>
        </w:r>
        <w:r w:rsidR="005C2163">
          <w:rPr>
            <w:webHidden/>
          </w:rPr>
          <w:fldChar w:fldCharType="end"/>
        </w:r>
      </w:hyperlink>
    </w:p>
    <w:p w:rsidR="005101AE" w:rsidRDefault="002506E1">
      <w:pPr>
        <w:pStyle w:val="TOC2"/>
        <w:rPr>
          <w:rFonts w:eastAsiaTheme="minorEastAsia"/>
        </w:rPr>
      </w:pPr>
      <w:hyperlink w:anchor="_Toc389663847" w:history="1">
        <w:r w:rsidR="005101AE" w:rsidRPr="008155CC">
          <w:rPr>
            <w:rStyle w:val="Hyperlink"/>
          </w:rPr>
          <w:t>Program-Level Results</w:t>
        </w:r>
        <w:r w:rsidR="005101AE">
          <w:rPr>
            <w:webHidden/>
          </w:rPr>
          <w:tab/>
        </w:r>
        <w:r w:rsidR="005C2163">
          <w:rPr>
            <w:webHidden/>
          </w:rPr>
          <w:fldChar w:fldCharType="begin"/>
        </w:r>
        <w:r w:rsidR="005101AE">
          <w:rPr>
            <w:webHidden/>
          </w:rPr>
          <w:instrText xml:space="preserve"> PAGEREF _Toc389663847 \h </w:instrText>
        </w:r>
        <w:r w:rsidR="005C2163">
          <w:rPr>
            <w:webHidden/>
          </w:rPr>
        </w:r>
        <w:r w:rsidR="005C2163">
          <w:rPr>
            <w:webHidden/>
          </w:rPr>
          <w:fldChar w:fldCharType="separate"/>
        </w:r>
        <w:r w:rsidR="00CD20CF">
          <w:rPr>
            <w:webHidden/>
          </w:rPr>
          <w:t>44</w:t>
        </w:r>
        <w:r w:rsidR="005C2163">
          <w:rPr>
            <w:webHidden/>
          </w:rPr>
          <w:fldChar w:fldCharType="end"/>
        </w:r>
      </w:hyperlink>
    </w:p>
    <w:p w:rsidR="005101AE" w:rsidRDefault="002506E1">
      <w:pPr>
        <w:pStyle w:val="TOC2"/>
        <w:rPr>
          <w:rFonts w:eastAsiaTheme="minorEastAsia"/>
        </w:rPr>
      </w:pPr>
      <w:hyperlink w:anchor="_Toc389663848" w:history="1">
        <w:r w:rsidR="005101AE" w:rsidRPr="008155CC">
          <w:rPr>
            <w:rStyle w:val="Hyperlink"/>
          </w:rPr>
          <w:t>Measure-Level Savings</w:t>
        </w:r>
        <w:r w:rsidR="005101AE">
          <w:rPr>
            <w:webHidden/>
          </w:rPr>
          <w:tab/>
        </w:r>
        <w:r w:rsidR="005C2163">
          <w:rPr>
            <w:webHidden/>
          </w:rPr>
          <w:fldChar w:fldCharType="begin"/>
        </w:r>
        <w:r w:rsidR="005101AE">
          <w:rPr>
            <w:webHidden/>
          </w:rPr>
          <w:instrText xml:space="preserve"> PAGEREF _Toc389663848 \h </w:instrText>
        </w:r>
        <w:r w:rsidR="005C2163">
          <w:rPr>
            <w:webHidden/>
          </w:rPr>
        </w:r>
        <w:r w:rsidR="005C2163">
          <w:rPr>
            <w:webHidden/>
          </w:rPr>
          <w:fldChar w:fldCharType="separate"/>
        </w:r>
        <w:r w:rsidR="00CD20CF">
          <w:rPr>
            <w:webHidden/>
          </w:rPr>
          <w:t>47</w:t>
        </w:r>
        <w:r w:rsidR="005C2163">
          <w:rPr>
            <w:webHidden/>
          </w:rPr>
          <w:fldChar w:fldCharType="end"/>
        </w:r>
      </w:hyperlink>
    </w:p>
    <w:p w:rsidR="005101AE" w:rsidRDefault="002506E1">
      <w:pPr>
        <w:pStyle w:val="TOC1"/>
        <w:rPr>
          <w:rFonts w:eastAsiaTheme="minorEastAsia"/>
        </w:rPr>
      </w:pPr>
      <w:hyperlink w:anchor="_Toc389663849" w:history="1">
        <w:r w:rsidR="005101AE" w:rsidRPr="008155CC">
          <w:rPr>
            <w:rStyle w:val="Hyperlink"/>
          </w:rPr>
          <w:t>HES-IE Subprograms 1 and 4 Analysis Findings</w:t>
        </w:r>
        <w:r w:rsidR="005101AE">
          <w:rPr>
            <w:webHidden/>
          </w:rPr>
          <w:tab/>
        </w:r>
        <w:r w:rsidR="005C2163">
          <w:rPr>
            <w:webHidden/>
          </w:rPr>
          <w:fldChar w:fldCharType="begin"/>
        </w:r>
        <w:r w:rsidR="005101AE">
          <w:rPr>
            <w:webHidden/>
          </w:rPr>
          <w:instrText xml:space="preserve"> PAGEREF _Toc389663849 \h </w:instrText>
        </w:r>
        <w:r w:rsidR="005C2163">
          <w:rPr>
            <w:webHidden/>
          </w:rPr>
        </w:r>
        <w:r w:rsidR="005C2163">
          <w:rPr>
            <w:webHidden/>
          </w:rPr>
          <w:fldChar w:fldCharType="separate"/>
        </w:r>
        <w:r w:rsidR="00CD20CF">
          <w:rPr>
            <w:webHidden/>
          </w:rPr>
          <w:t>59</w:t>
        </w:r>
        <w:r w:rsidR="005C2163">
          <w:rPr>
            <w:webHidden/>
          </w:rPr>
          <w:fldChar w:fldCharType="end"/>
        </w:r>
      </w:hyperlink>
    </w:p>
    <w:p w:rsidR="005101AE" w:rsidRDefault="002506E1">
      <w:pPr>
        <w:pStyle w:val="TOC2"/>
        <w:rPr>
          <w:rFonts w:eastAsiaTheme="minorEastAsia"/>
        </w:rPr>
      </w:pPr>
      <w:hyperlink w:anchor="_Toc389663850" w:history="1">
        <w:r w:rsidR="005101AE" w:rsidRPr="008155CC">
          <w:rPr>
            <w:rStyle w:val="Hyperlink"/>
          </w:rPr>
          <w:t>Overall Results</w:t>
        </w:r>
        <w:r w:rsidR="005101AE">
          <w:rPr>
            <w:webHidden/>
          </w:rPr>
          <w:tab/>
        </w:r>
        <w:r w:rsidR="005C2163">
          <w:rPr>
            <w:webHidden/>
          </w:rPr>
          <w:fldChar w:fldCharType="begin"/>
        </w:r>
        <w:r w:rsidR="005101AE">
          <w:rPr>
            <w:webHidden/>
          </w:rPr>
          <w:instrText xml:space="preserve"> PAGEREF _Toc389663850 \h </w:instrText>
        </w:r>
        <w:r w:rsidR="005C2163">
          <w:rPr>
            <w:webHidden/>
          </w:rPr>
        </w:r>
        <w:r w:rsidR="005C2163">
          <w:rPr>
            <w:webHidden/>
          </w:rPr>
          <w:fldChar w:fldCharType="separate"/>
        </w:r>
        <w:r w:rsidR="00CD20CF">
          <w:rPr>
            <w:webHidden/>
          </w:rPr>
          <w:t>59</w:t>
        </w:r>
        <w:r w:rsidR="005C2163">
          <w:rPr>
            <w:webHidden/>
          </w:rPr>
          <w:fldChar w:fldCharType="end"/>
        </w:r>
      </w:hyperlink>
    </w:p>
    <w:p w:rsidR="005101AE" w:rsidRDefault="002506E1">
      <w:pPr>
        <w:pStyle w:val="TOC1"/>
        <w:rPr>
          <w:rFonts w:eastAsiaTheme="minorEastAsia"/>
        </w:rPr>
      </w:pPr>
      <w:hyperlink w:anchor="_Toc389663851" w:history="1">
        <w:r w:rsidR="005101AE" w:rsidRPr="008155CC">
          <w:rPr>
            <w:rStyle w:val="Hyperlink"/>
          </w:rPr>
          <w:t>Recommendations</w:t>
        </w:r>
        <w:r w:rsidR="005101AE">
          <w:rPr>
            <w:webHidden/>
          </w:rPr>
          <w:tab/>
        </w:r>
        <w:r w:rsidR="005C2163">
          <w:rPr>
            <w:webHidden/>
          </w:rPr>
          <w:fldChar w:fldCharType="begin"/>
        </w:r>
        <w:r w:rsidR="005101AE">
          <w:rPr>
            <w:webHidden/>
          </w:rPr>
          <w:instrText xml:space="preserve"> PAGEREF _Toc389663851 \h </w:instrText>
        </w:r>
        <w:r w:rsidR="005C2163">
          <w:rPr>
            <w:webHidden/>
          </w:rPr>
        </w:r>
        <w:r w:rsidR="005C2163">
          <w:rPr>
            <w:webHidden/>
          </w:rPr>
          <w:fldChar w:fldCharType="separate"/>
        </w:r>
        <w:r w:rsidR="00CD20CF">
          <w:rPr>
            <w:webHidden/>
          </w:rPr>
          <w:t>66</w:t>
        </w:r>
        <w:r w:rsidR="005C2163">
          <w:rPr>
            <w:webHidden/>
          </w:rPr>
          <w:fldChar w:fldCharType="end"/>
        </w:r>
      </w:hyperlink>
    </w:p>
    <w:p w:rsidR="005101AE" w:rsidRDefault="002506E1">
      <w:pPr>
        <w:pStyle w:val="TOC2"/>
        <w:rPr>
          <w:rFonts w:eastAsiaTheme="minorEastAsia"/>
        </w:rPr>
      </w:pPr>
      <w:hyperlink w:anchor="_Toc389663852" w:history="1">
        <w:r w:rsidR="005101AE" w:rsidRPr="008155CC">
          <w:rPr>
            <w:rStyle w:val="Hyperlink"/>
          </w:rPr>
          <w:t>General</w:t>
        </w:r>
        <w:r w:rsidR="005101AE">
          <w:rPr>
            <w:webHidden/>
          </w:rPr>
          <w:tab/>
        </w:r>
        <w:r w:rsidR="005C2163">
          <w:rPr>
            <w:webHidden/>
          </w:rPr>
          <w:fldChar w:fldCharType="begin"/>
        </w:r>
        <w:r w:rsidR="005101AE">
          <w:rPr>
            <w:webHidden/>
          </w:rPr>
          <w:instrText xml:space="preserve"> PAGEREF _Toc389663852 \h </w:instrText>
        </w:r>
        <w:r w:rsidR="005C2163">
          <w:rPr>
            <w:webHidden/>
          </w:rPr>
        </w:r>
        <w:r w:rsidR="005C2163">
          <w:rPr>
            <w:webHidden/>
          </w:rPr>
          <w:fldChar w:fldCharType="separate"/>
        </w:r>
        <w:r w:rsidR="00CD20CF">
          <w:rPr>
            <w:webHidden/>
          </w:rPr>
          <w:t>66</w:t>
        </w:r>
        <w:r w:rsidR="005C2163">
          <w:rPr>
            <w:webHidden/>
          </w:rPr>
          <w:fldChar w:fldCharType="end"/>
        </w:r>
      </w:hyperlink>
    </w:p>
    <w:p w:rsidR="005101AE" w:rsidRDefault="002506E1">
      <w:pPr>
        <w:pStyle w:val="TOC2"/>
        <w:rPr>
          <w:rFonts w:eastAsiaTheme="minorEastAsia"/>
        </w:rPr>
      </w:pPr>
      <w:hyperlink w:anchor="_Toc389663853" w:history="1">
        <w:r w:rsidR="005101AE" w:rsidRPr="008155CC">
          <w:rPr>
            <w:rStyle w:val="Hyperlink"/>
          </w:rPr>
          <w:t>Measure Specific</w:t>
        </w:r>
        <w:r w:rsidR="005101AE">
          <w:rPr>
            <w:webHidden/>
          </w:rPr>
          <w:tab/>
        </w:r>
        <w:r w:rsidR="005C2163">
          <w:rPr>
            <w:webHidden/>
          </w:rPr>
          <w:fldChar w:fldCharType="begin"/>
        </w:r>
        <w:r w:rsidR="005101AE">
          <w:rPr>
            <w:webHidden/>
          </w:rPr>
          <w:instrText xml:space="preserve"> PAGEREF _Toc389663853 \h </w:instrText>
        </w:r>
        <w:r w:rsidR="005C2163">
          <w:rPr>
            <w:webHidden/>
          </w:rPr>
        </w:r>
        <w:r w:rsidR="005C2163">
          <w:rPr>
            <w:webHidden/>
          </w:rPr>
          <w:fldChar w:fldCharType="separate"/>
        </w:r>
        <w:r w:rsidR="00CD20CF">
          <w:rPr>
            <w:webHidden/>
          </w:rPr>
          <w:t>67</w:t>
        </w:r>
        <w:r w:rsidR="005C2163">
          <w:rPr>
            <w:webHidden/>
          </w:rPr>
          <w:fldChar w:fldCharType="end"/>
        </w:r>
      </w:hyperlink>
    </w:p>
    <w:p w:rsidR="005101AE" w:rsidRDefault="002506E1">
      <w:pPr>
        <w:pStyle w:val="TOC1"/>
        <w:rPr>
          <w:rFonts w:eastAsiaTheme="minorEastAsia"/>
        </w:rPr>
      </w:pPr>
      <w:hyperlink w:anchor="_Toc389663854" w:history="1">
        <w:r w:rsidR="005101AE" w:rsidRPr="008155CC">
          <w:rPr>
            <w:rStyle w:val="Hyperlink"/>
          </w:rPr>
          <w:t>Appendix A. Billing Analysis Fixed-Effects Model Specifications</w:t>
        </w:r>
        <w:r w:rsidR="005101AE">
          <w:rPr>
            <w:webHidden/>
          </w:rPr>
          <w:tab/>
        </w:r>
        <w:r w:rsidR="005C2163">
          <w:rPr>
            <w:webHidden/>
          </w:rPr>
          <w:fldChar w:fldCharType="begin"/>
        </w:r>
        <w:r w:rsidR="005101AE">
          <w:rPr>
            <w:webHidden/>
          </w:rPr>
          <w:instrText xml:space="preserve"> PAGEREF _Toc389663854 \h </w:instrText>
        </w:r>
        <w:r w:rsidR="005C2163">
          <w:rPr>
            <w:webHidden/>
          </w:rPr>
        </w:r>
        <w:r w:rsidR="005C2163">
          <w:rPr>
            <w:webHidden/>
          </w:rPr>
          <w:fldChar w:fldCharType="separate"/>
        </w:r>
        <w:r w:rsidR="00CD20CF">
          <w:rPr>
            <w:webHidden/>
          </w:rPr>
          <w:t>69</w:t>
        </w:r>
        <w:r w:rsidR="005C2163">
          <w:rPr>
            <w:webHidden/>
          </w:rPr>
          <w:fldChar w:fldCharType="end"/>
        </w:r>
      </w:hyperlink>
    </w:p>
    <w:p w:rsidR="005101AE" w:rsidRDefault="002506E1">
      <w:pPr>
        <w:pStyle w:val="TOC1"/>
        <w:rPr>
          <w:rFonts w:eastAsiaTheme="minorEastAsia"/>
        </w:rPr>
      </w:pPr>
      <w:hyperlink w:anchor="_Toc389663855" w:history="1">
        <w:r w:rsidR="005101AE" w:rsidRPr="008155CC">
          <w:rPr>
            <w:rStyle w:val="Hyperlink"/>
          </w:rPr>
          <w:t>Appendix B. Engineering Algorithms</w:t>
        </w:r>
        <w:r w:rsidR="005101AE">
          <w:rPr>
            <w:webHidden/>
          </w:rPr>
          <w:tab/>
        </w:r>
        <w:r w:rsidR="005C2163">
          <w:rPr>
            <w:webHidden/>
          </w:rPr>
          <w:fldChar w:fldCharType="begin"/>
        </w:r>
        <w:r w:rsidR="005101AE">
          <w:rPr>
            <w:webHidden/>
          </w:rPr>
          <w:instrText xml:space="preserve"> PAGEREF _Toc389663855 \h </w:instrText>
        </w:r>
        <w:r w:rsidR="005C2163">
          <w:rPr>
            <w:webHidden/>
          </w:rPr>
        </w:r>
        <w:r w:rsidR="005C2163">
          <w:rPr>
            <w:webHidden/>
          </w:rPr>
          <w:fldChar w:fldCharType="separate"/>
        </w:r>
        <w:r w:rsidR="00CD20CF">
          <w:rPr>
            <w:webHidden/>
          </w:rPr>
          <w:t>72</w:t>
        </w:r>
        <w:r w:rsidR="005C2163">
          <w:rPr>
            <w:webHidden/>
          </w:rPr>
          <w:fldChar w:fldCharType="end"/>
        </w:r>
      </w:hyperlink>
    </w:p>
    <w:p w:rsidR="005101AE" w:rsidRDefault="002506E1">
      <w:pPr>
        <w:pStyle w:val="TOC1"/>
        <w:rPr>
          <w:rFonts w:eastAsiaTheme="minorEastAsia"/>
        </w:rPr>
      </w:pPr>
      <w:hyperlink w:anchor="_Toc389663856" w:history="1">
        <w:r w:rsidR="005101AE" w:rsidRPr="008155CC">
          <w:rPr>
            <w:rStyle w:val="Hyperlink"/>
          </w:rPr>
          <w:t>Appendix C. Simulation Modeling Details</w:t>
        </w:r>
        <w:r w:rsidR="005101AE">
          <w:rPr>
            <w:webHidden/>
          </w:rPr>
          <w:tab/>
        </w:r>
        <w:r w:rsidR="005C2163">
          <w:rPr>
            <w:webHidden/>
          </w:rPr>
          <w:fldChar w:fldCharType="begin"/>
        </w:r>
        <w:r w:rsidR="005101AE">
          <w:rPr>
            <w:webHidden/>
          </w:rPr>
          <w:instrText xml:space="preserve"> PAGEREF _Toc389663856 \h </w:instrText>
        </w:r>
        <w:r w:rsidR="005C2163">
          <w:rPr>
            <w:webHidden/>
          </w:rPr>
        </w:r>
        <w:r w:rsidR="005C2163">
          <w:rPr>
            <w:webHidden/>
          </w:rPr>
          <w:fldChar w:fldCharType="separate"/>
        </w:r>
        <w:r w:rsidR="00CD20CF">
          <w:rPr>
            <w:webHidden/>
          </w:rPr>
          <w:t>90</w:t>
        </w:r>
        <w:r w:rsidR="005C2163">
          <w:rPr>
            <w:webHidden/>
          </w:rPr>
          <w:fldChar w:fldCharType="end"/>
        </w:r>
      </w:hyperlink>
    </w:p>
    <w:p w:rsidR="005101AE" w:rsidRDefault="002506E1">
      <w:pPr>
        <w:pStyle w:val="TOC1"/>
        <w:rPr>
          <w:rFonts w:eastAsiaTheme="minorEastAsia"/>
        </w:rPr>
      </w:pPr>
      <w:hyperlink w:anchor="_Toc389663857" w:history="1">
        <w:r w:rsidR="005101AE" w:rsidRPr="008155CC">
          <w:rPr>
            <w:rStyle w:val="Hyperlink"/>
          </w:rPr>
          <w:t>Appendix D. Billing Analysis Model Attrition for HES-IE SP1 and SP4</w:t>
        </w:r>
        <w:r w:rsidR="005101AE">
          <w:rPr>
            <w:webHidden/>
          </w:rPr>
          <w:tab/>
        </w:r>
        <w:r w:rsidR="005C2163">
          <w:rPr>
            <w:webHidden/>
          </w:rPr>
          <w:fldChar w:fldCharType="begin"/>
        </w:r>
        <w:r w:rsidR="005101AE">
          <w:rPr>
            <w:webHidden/>
          </w:rPr>
          <w:instrText xml:space="preserve"> PAGEREF _Toc389663857 \h </w:instrText>
        </w:r>
        <w:r w:rsidR="005C2163">
          <w:rPr>
            <w:webHidden/>
          </w:rPr>
        </w:r>
        <w:r w:rsidR="005C2163">
          <w:rPr>
            <w:webHidden/>
          </w:rPr>
          <w:fldChar w:fldCharType="separate"/>
        </w:r>
        <w:r w:rsidR="00CD20CF">
          <w:rPr>
            <w:webHidden/>
          </w:rPr>
          <w:t>96</w:t>
        </w:r>
        <w:r w:rsidR="005C2163">
          <w:rPr>
            <w:webHidden/>
          </w:rPr>
          <w:fldChar w:fldCharType="end"/>
        </w:r>
      </w:hyperlink>
    </w:p>
    <w:p w:rsidR="005101AE" w:rsidRDefault="002506E1">
      <w:pPr>
        <w:pStyle w:val="TOC1"/>
        <w:rPr>
          <w:rFonts w:eastAsiaTheme="minorEastAsia"/>
        </w:rPr>
      </w:pPr>
      <w:hyperlink w:anchor="_Toc389663858" w:history="1">
        <w:r w:rsidR="005101AE" w:rsidRPr="008155CC">
          <w:rPr>
            <w:rStyle w:val="Hyperlink"/>
          </w:rPr>
          <w:t>Appendix E. Billing Analysis Model Outputs for HES-IE SP1 &amp; SP4</w:t>
        </w:r>
        <w:r w:rsidR="005101AE">
          <w:rPr>
            <w:webHidden/>
          </w:rPr>
          <w:tab/>
        </w:r>
        <w:r w:rsidR="005C2163">
          <w:rPr>
            <w:webHidden/>
          </w:rPr>
          <w:fldChar w:fldCharType="begin"/>
        </w:r>
        <w:r w:rsidR="005101AE">
          <w:rPr>
            <w:webHidden/>
          </w:rPr>
          <w:instrText xml:space="preserve"> PAGEREF _Toc389663858 \h </w:instrText>
        </w:r>
        <w:r w:rsidR="005C2163">
          <w:rPr>
            <w:webHidden/>
          </w:rPr>
        </w:r>
        <w:r w:rsidR="005C2163">
          <w:rPr>
            <w:webHidden/>
          </w:rPr>
          <w:fldChar w:fldCharType="separate"/>
        </w:r>
        <w:r w:rsidR="00CD20CF">
          <w:rPr>
            <w:webHidden/>
          </w:rPr>
          <w:t>99</w:t>
        </w:r>
        <w:r w:rsidR="005C2163">
          <w:rPr>
            <w:webHidden/>
          </w:rPr>
          <w:fldChar w:fldCharType="end"/>
        </w:r>
      </w:hyperlink>
    </w:p>
    <w:p w:rsidR="001051A1" w:rsidRDefault="005C2163" w:rsidP="003C1539">
      <w:r>
        <w:fldChar w:fldCharType="end"/>
      </w:r>
      <w:r w:rsidR="001051A1">
        <w:br w:type="page"/>
      </w:r>
    </w:p>
    <w:p w:rsidR="000F228E" w:rsidRDefault="000F228E" w:rsidP="00BE04A9">
      <w:r w:rsidRPr="00BE04A9">
        <w:rPr>
          <w:rFonts w:eastAsiaTheme="majorEastAsia" w:cstheme="minorHAnsi"/>
          <w:b/>
          <w:bCs/>
          <w:color w:val="898A17"/>
          <w:sz w:val="29"/>
          <w:szCs w:val="29"/>
        </w:rPr>
        <w:lastRenderedPageBreak/>
        <w:t>Glossary of Terms</w:t>
      </w:r>
    </w:p>
    <w:p w:rsidR="00044602" w:rsidRDefault="00044602" w:rsidP="00044602">
      <w:pPr>
        <w:spacing w:before="240" w:after="40"/>
        <w:jc w:val="both"/>
        <w:rPr>
          <w:b/>
          <w:bCs/>
        </w:rPr>
      </w:pPr>
      <w:r>
        <w:rPr>
          <w:b/>
          <w:bCs/>
        </w:rPr>
        <w:t>Adjusted Gross Realization Rate</w:t>
      </w:r>
    </w:p>
    <w:p w:rsidR="00044602" w:rsidRPr="0088059A" w:rsidRDefault="00044602" w:rsidP="00044602">
      <w:r>
        <w:t xml:space="preserve">The adjusted gross realization rate is calculated by comparing the adjusted gross model savings estimate to the average per-participant </w:t>
      </w:r>
      <w:r w:rsidRPr="00CE126B">
        <w:rPr>
          <w:i/>
        </w:rPr>
        <w:t>ex ante</w:t>
      </w:r>
      <w:r>
        <w:t xml:space="preserve"> savings for </w:t>
      </w:r>
      <w:r w:rsidR="00A44417">
        <w:t>participants included in the billing analysis sample.</w:t>
      </w:r>
    </w:p>
    <w:p w:rsidR="00044602" w:rsidRDefault="00044602" w:rsidP="00044602">
      <w:pPr>
        <w:spacing w:before="240" w:after="40"/>
        <w:jc w:val="both"/>
        <w:rPr>
          <w:b/>
          <w:bCs/>
        </w:rPr>
      </w:pPr>
      <w:r>
        <w:rPr>
          <w:b/>
          <w:bCs/>
        </w:rPr>
        <w:t>Adjusted Gross Savings</w:t>
      </w:r>
    </w:p>
    <w:p w:rsidR="00044602" w:rsidRPr="0088059A" w:rsidRDefault="00044602" w:rsidP="00044602">
      <w:r>
        <w:t xml:space="preserve">Adjusted gross savings </w:t>
      </w:r>
      <w:r w:rsidR="00A44417">
        <w:t xml:space="preserve">are model savings estimates that account for differences in consumption changes between the participant </w:t>
      </w:r>
      <w:r w:rsidR="00CE126B">
        <w:t xml:space="preserve">group </w:t>
      </w:r>
      <w:r w:rsidR="00A44417">
        <w:t>and comparison group model savings from the billing analyses.</w:t>
      </w:r>
    </w:p>
    <w:p w:rsidR="00044602" w:rsidRDefault="00044602" w:rsidP="00044602">
      <w:pPr>
        <w:spacing w:before="240" w:after="40"/>
        <w:jc w:val="both"/>
        <w:rPr>
          <w:b/>
          <w:bCs/>
        </w:rPr>
      </w:pPr>
      <w:r>
        <w:rPr>
          <w:b/>
          <w:bCs/>
        </w:rPr>
        <w:t>Billing Analysis</w:t>
      </w:r>
    </w:p>
    <w:p w:rsidR="00044602" w:rsidRPr="0088059A" w:rsidRDefault="00044602" w:rsidP="00044602">
      <w:r>
        <w:t xml:space="preserve">A </w:t>
      </w:r>
      <w:r w:rsidR="00CE126B">
        <w:t xml:space="preserve">billing analysis is a </w:t>
      </w:r>
      <w:r>
        <w:t>statistical regression analysis of utility billing consumption data used to quantify gross and adjusted gross energy savings.</w:t>
      </w:r>
    </w:p>
    <w:p w:rsidR="00A44417" w:rsidRDefault="00A44417" w:rsidP="00A44417">
      <w:pPr>
        <w:spacing w:before="240" w:after="40"/>
        <w:jc w:val="both"/>
        <w:rPr>
          <w:b/>
          <w:bCs/>
        </w:rPr>
      </w:pPr>
      <w:r>
        <w:rPr>
          <w:b/>
          <w:bCs/>
        </w:rPr>
        <w:t>Evaluated Adjusted Gross Savings</w:t>
      </w:r>
    </w:p>
    <w:p w:rsidR="00A44417" w:rsidRPr="0088059A" w:rsidRDefault="00A44417" w:rsidP="00A44417">
      <w:r>
        <w:t xml:space="preserve">Evaluated adjusted gross savings are calculated </w:t>
      </w:r>
      <w:r w:rsidR="00001B3D">
        <w:t xml:space="preserve">by applying the adjusted gross realization rate (derived from the billing analysis models compared to </w:t>
      </w:r>
      <w:r w:rsidR="00001B3D" w:rsidRPr="00001B3D">
        <w:rPr>
          <w:i/>
        </w:rPr>
        <w:t>ex ante</w:t>
      </w:r>
      <w:r w:rsidR="00001B3D">
        <w:t xml:space="preserve"> savings) to the reported gross savings by utility program (from the </w:t>
      </w:r>
      <w:r w:rsidR="00001B3D" w:rsidRPr="00E96B30">
        <w:rPr>
          <w:i/>
        </w:rPr>
        <w:t>2013</w:t>
      </w:r>
      <w:r w:rsidR="00CE126B" w:rsidRPr="00E96B30">
        <w:rPr>
          <w:i/>
        </w:rPr>
        <w:t>–</w:t>
      </w:r>
      <w:r w:rsidR="00001B3D" w:rsidRPr="00E96B30">
        <w:rPr>
          <w:i/>
        </w:rPr>
        <w:t>2015 Electric and Natural Gas Conservation and Load Management Plan</w:t>
      </w:r>
      <w:r w:rsidR="00001B3D">
        <w:t>).</w:t>
      </w:r>
    </w:p>
    <w:p w:rsidR="001051A1" w:rsidRDefault="001051A1" w:rsidP="001051A1">
      <w:pPr>
        <w:spacing w:before="240" w:after="40"/>
        <w:jc w:val="both"/>
        <w:rPr>
          <w:b/>
          <w:bCs/>
        </w:rPr>
      </w:pPr>
      <w:r w:rsidRPr="001051A1">
        <w:rPr>
          <w:b/>
          <w:bCs/>
          <w:i/>
        </w:rPr>
        <w:t>Ex Ante</w:t>
      </w:r>
      <w:r>
        <w:rPr>
          <w:b/>
          <w:bCs/>
        </w:rPr>
        <w:t xml:space="preserve"> Savings</w:t>
      </w:r>
    </w:p>
    <w:p w:rsidR="001051A1" w:rsidRPr="0088059A" w:rsidRDefault="001051A1" w:rsidP="001051A1">
      <w:r w:rsidRPr="00D704EF">
        <w:rPr>
          <w:i/>
        </w:rPr>
        <w:t xml:space="preserve">Ex </w:t>
      </w:r>
      <w:r w:rsidR="00D704EF">
        <w:rPr>
          <w:i/>
        </w:rPr>
        <w:t xml:space="preserve">ante </w:t>
      </w:r>
      <w:r w:rsidR="005E10FE">
        <w:t>savings</w:t>
      </w:r>
      <w:r>
        <w:t xml:space="preserve"> represent </w:t>
      </w:r>
      <w:r w:rsidR="00044602">
        <w:t xml:space="preserve">savings </w:t>
      </w:r>
      <w:r w:rsidR="00CE126B">
        <w:t xml:space="preserve">that </w:t>
      </w:r>
      <w:r w:rsidR="00044602">
        <w:t>provid</w:t>
      </w:r>
      <w:r w:rsidR="00CE126B">
        <w:t>e</w:t>
      </w:r>
      <w:r w:rsidR="00044602">
        <w:t xml:space="preserve"> the utility tracking data for the HES and HES-IE programs, </w:t>
      </w:r>
      <w:r w:rsidR="00E96B30">
        <w:t xml:space="preserve">and </w:t>
      </w:r>
      <w:r w:rsidR="00044602">
        <w:t xml:space="preserve">can include total per-participant </w:t>
      </w:r>
      <w:r w:rsidR="00B31788">
        <w:t>savings</w:t>
      </w:r>
      <w:r w:rsidR="00044602">
        <w:t xml:space="preserve"> or savings by specific measures</w:t>
      </w:r>
      <w:r>
        <w:t>.</w:t>
      </w:r>
    </w:p>
    <w:p w:rsidR="00044602" w:rsidRDefault="00044602" w:rsidP="00044602">
      <w:pPr>
        <w:spacing w:before="240" w:after="40"/>
        <w:jc w:val="both"/>
        <w:rPr>
          <w:b/>
          <w:bCs/>
        </w:rPr>
      </w:pPr>
      <w:r>
        <w:rPr>
          <w:b/>
          <w:bCs/>
        </w:rPr>
        <w:t>Model Savings</w:t>
      </w:r>
    </w:p>
    <w:p w:rsidR="00044602" w:rsidRPr="0088059A" w:rsidRDefault="00044602" w:rsidP="00044602">
      <w:r>
        <w:t>Model savings represent average</w:t>
      </w:r>
      <w:r w:rsidR="00E96B30">
        <w:t>,</w:t>
      </w:r>
      <w:r>
        <w:t xml:space="preserve"> per-participant </w:t>
      </w:r>
      <w:r w:rsidR="00E96B30">
        <w:t xml:space="preserve">savings </w:t>
      </w:r>
      <w:r>
        <w:t>estimates</w:t>
      </w:r>
      <w:r w:rsidR="00CE126B">
        <w:t>,</w:t>
      </w:r>
      <w:r>
        <w:t xml:space="preserve"> </w:t>
      </w:r>
      <w:r w:rsidR="00E96B30">
        <w:t xml:space="preserve">determined </w:t>
      </w:r>
      <w:r>
        <w:t>through the regression analysis</w:t>
      </w:r>
      <w:r w:rsidR="00E96B30">
        <w:t xml:space="preserve"> and </w:t>
      </w:r>
      <w:r>
        <w:t xml:space="preserve">based on an analysis sample. Model savings estimates for the participant analysis sample are referred to as participant </w:t>
      </w:r>
      <w:r w:rsidR="00CE126B">
        <w:t xml:space="preserve">savings </w:t>
      </w:r>
      <w:r>
        <w:t>or gross savings. Model savings estimates for the comparison group sample are referred to as comparison group or nonparticipant savings. Model savings estimates that account for the differences between participant and comparison group changes are referred to as adjusted gross savings.</w:t>
      </w:r>
    </w:p>
    <w:p w:rsidR="001051A1" w:rsidRPr="0006387F" w:rsidRDefault="001051A1" w:rsidP="001051A1">
      <w:pPr>
        <w:spacing w:before="240" w:after="40"/>
        <w:jc w:val="both"/>
        <w:rPr>
          <w:b/>
          <w:bCs/>
        </w:rPr>
      </w:pPr>
      <w:r w:rsidRPr="0006387F">
        <w:rPr>
          <w:b/>
          <w:bCs/>
        </w:rPr>
        <w:t>PRENAC and POSTNAC</w:t>
      </w:r>
    </w:p>
    <w:p w:rsidR="001051A1" w:rsidRDefault="001051A1" w:rsidP="004A7E9B">
      <w:r w:rsidRPr="0006387F">
        <w:t xml:space="preserve">In the regression analysis, weather-normalized annual consumption </w:t>
      </w:r>
      <w:r>
        <w:t xml:space="preserve">(NAC) </w:t>
      </w:r>
      <w:r w:rsidRPr="0006387F">
        <w:t xml:space="preserve">estimates for the pre- and post-periods are </w:t>
      </w:r>
      <w:r>
        <w:t xml:space="preserve">called </w:t>
      </w:r>
      <w:r w:rsidRPr="0006387F">
        <w:t xml:space="preserve">PRENAC and POSTNAC. </w:t>
      </w:r>
    </w:p>
    <w:p w:rsidR="009761BC" w:rsidRDefault="009761BC" w:rsidP="009761BC">
      <w:pPr>
        <w:spacing w:before="240" w:after="40"/>
        <w:jc w:val="both"/>
        <w:rPr>
          <w:b/>
          <w:bCs/>
        </w:rPr>
      </w:pPr>
      <w:r>
        <w:rPr>
          <w:b/>
          <w:bCs/>
        </w:rPr>
        <w:t>Realization Rate</w:t>
      </w:r>
    </w:p>
    <w:p w:rsidR="00362D0C" w:rsidRPr="00362D0C" w:rsidRDefault="00362D0C" w:rsidP="004A7E9B">
      <w:r>
        <w:t xml:space="preserve">A realization rate is a metric </w:t>
      </w:r>
      <w:r w:rsidR="006879C9">
        <w:t xml:space="preserve">that compares </w:t>
      </w:r>
      <w:r>
        <w:t xml:space="preserve">an evaluated savings estimate to a reported or </w:t>
      </w:r>
      <w:r w:rsidRPr="001D311B">
        <w:rPr>
          <w:i/>
        </w:rPr>
        <w:t>ex ante</w:t>
      </w:r>
      <w:r>
        <w:t xml:space="preserve"> savings estimate, represented as a percentage change.</w:t>
      </w:r>
    </w:p>
    <w:p w:rsidR="004A4372" w:rsidRPr="00464D89" w:rsidRDefault="004A4372" w:rsidP="00E96B30">
      <w:pPr>
        <w:keepNext/>
        <w:spacing w:before="240" w:after="40"/>
        <w:jc w:val="both"/>
        <w:rPr>
          <w:b/>
          <w:bCs/>
        </w:rPr>
      </w:pPr>
      <w:r>
        <w:rPr>
          <w:b/>
          <w:bCs/>
        </w:rPr>
        <w:lastRenderedPageBreak/>
        <w:t>Relative Precision at 90% Confidence</w:t>
      </w:r>
    </w:p>
    <w:p w:rsidR="004A4372" w:rsidRDefault="004A4372" w:rsidP="004A4372">
      <w:r w:rsidRPr="00204DBD">
        <w:t>The Evaluation Team calculated relative precision estimates to assess</w:t>
      </w:r>
      <w:r w:rsidR="006879C9">
        <w:t>:</w:t>
      </w:r>
      <w:r w:rsidRPr="00204DBD">
        <w:t xml:space="preserve"> the uncertainty </w:t>
      </w:r>
      <w:r w:rsidR="00E96B30">
        <w:t>level</w:t>
      </w:r>
      <w:r w:rsidR="006879C9">
        <w:t>s</w:t>
      </w:r>
      <w:r w:rsidR="00E96B30">
        <w:t xml:space="preserve"> </w:t>
      </w:r>
      <w:r w:rsidRPr="00204DBD">
        <w:t>for results of distinct billing analysis models (Model Savings)</w:t>
      </w:r>
      <w:r w:rsidR="006879C9">
        <w:t>;</w:t>
      </w:r>
      <w:r w:rsidRPr="00204DBD">
        <w:t xml:space="preserve"> and </w:t>
      </w:r>
      <w:r w:rsidR="006879C9">
        <w:t xml:space="preserve">the </w:t>
      </w:r>
      <w:r w:rsidRPr="00204DBD">
        <w:t>overall</w:t>
      </w:r>
      <w:r w:rsidR="00E96B30">
        <w:t>,</w:t>
      </w:r>
      <w:r w:rsidRPr="00204DBD">
        <w:t xml:space="preserve"> evaluated</w:t>
      </w:r>
      <w:r w:rsidR="00E96B30">
        <w:t>,</w:t>
      </w:r>
      <w:r w:rsidRPr="00204DBD">
        <w:t xml:space="preserve"> adjusted gross savings (reported at the program level). These values represent the uncertainty of the </w:t>
      </w:r>
      <w:r w:rsidR="00F42BD6" w:rsidRPr="00204DBD">
        <w:t xml:space="preserve">modeled </w:t>
      </w:r>
      <w:r w:rsidRPr="00204DBD">
        <w:t xml:space="preserve">results </w:t>
      </w:r>
      <w:r w:rsidR="00F42BD6" w:rsidRPr="00204DBD">
        <w:t xml:space="preserve">and </w:t>
      </w:r>
      <w:r w:rsidR="00E96B30">
        <w:t xml:space="preserve">the </w:t>
      </w:r>
      <w:r w:rsidR="00F42BD6" w:rsidRPr="00204DBD">
        <w:t>variation in observed impact</w:t>
      </w:r>
      <w:r w:rsidR="006879C9">
        <w:t>s</w:t>
      </w:r>
      <w:r w:rsidR="00F42BD6" w:rsidRPr="00204DBD">
        <w:t xml:space="preserve"> on energy consumption.</w:t>
      </w:r>
      <w:r w:rsidRPr="00204DBD">
        <w:t xml:space="preserve"> The Evaluation Team estimated </w:t>
      </w:r>
      <w:r w:rsidR="00F42BD6" w:rsidRPr="00204DBD">
        <w:t xml:space="preserve">precision </w:t>
      </w:r>
      <w:r w:rsidRPr="00204DBD">
        <w:t>at 90% confidence,</w:t>
      </w:r>
      <w:r>
        <w:t xml:space="preserve"> meaning one could be 90% confident the true </w:t>
      </w:r>
      <w:r w:rsidR="00F42BD6">
        <w:t>impact falls within an interval equal to the estimated impact plus/minus the precision</w:t>
      </w:r>
      <w:r>
        <w:t xml:space="preserve">. </w:t>
      </w:r>
    </w:p>
    <w:p w:rsidR="001051A1" w:rsidRPr="00464D89" w:rsidRDefault="001051A1" w:rsidP="001051A1">
      <w:pPr>
        <w:spacing w:before="240" w:after="40"/>
        <w:jc w:val="both"/>
        <w:rPr>
          <w:b/>
          <w:bCs/>
        </w:rPr>
      </w:pPr>
      <w:r>
        <w:rPr>
          <w:b/>
          <w:bCs/>
        </w:rPr>
        <w:t>Reported Gross Savings</w:t>
      </w:r>
    </w:p>
    <w:p w:rsidR="001051A1" w:rsidRPr="00464D89" w:rsidRDefault="001051A1" w:rsidP="00CE126B">
      <w:r>
        <w:t xml:space="preserve">Reported </w:t>
      </w:r>
      <w:r w:rsidR="00CE126B">
        <w:t xml:space="preserve">gross </w:t>
      </w:r>
      <w:r w:rsidRPr="00464D89">
        <w:t xml:space="preserve">savings </w:t>
      </w:r>
      <w:r w:rsidR="00E96B30">
        <w:t xml:space="preserve">derive from </w:t>
      </w:r>
      <w:r>
        <w:t xml:space="preserve">savings reported in the </w:t>
      </w:r>
      <w:r w:rsidRPr="00E96B30">
        <w:rPr>
          <w:i/>
        </w:rPr>
        <w:t>2013</w:t>
      </w:r>
      <w:r w:rsidR="00CE126B" w:rsidRPr="00E96B30">
        <w:rPr>
          <w:i/>
        </w:rPr>
        <w:t>–</w:t>
      </w:r>
      <w:r w:rsidRPr="00E96B30">
        <w:rPr>
          <w:i/>
        </w:rPr>
        <w:t>2015 Electric and Natural Gas Conservation and Load Management Plan</w:t>
      </w:r>
      <w:r>
        <w:t>.</w:t>
      </w:r>
    </w:p>
    <w:p w:rsidR="000F228E" w:rsidRDefault="000F228E" w:rsidP="000F228E"/>
    <w:p w:rsidR="000F228E" w:rsidRDefault="000F228E" w:rsidP="000F228E">
      <w:pPr>
        <w:sectPr w:rsidR="000F228E" w:rsidSect="00F04460">
          <w:footerReference w:type="even" r:id="rId18"/>
          <w:footerReference w:type="default" r:id="rId19"/>
          <w:pgSz w:w="12240" w:h="15840"/>
          <w:pgMar w:top="1440" w:right="1440" w:bottom="1440" w:left="1440" w:header="720" w:footer="720" w:gutter="0"/>
          <w:pgNumType w:fmt="lowerRoman" w:start="1"/>
          <w:cols w:space="720"/>
          <w:docGrid w:linePitch="360"/>
        </w:sectPr>
      </w:pPr>
    </w:p>
    <w:p w:rsidR="00F60646" w:rsidRDefault="00F60646" w:rsidP="00F60646">
      <w:pPr>
        <w:pStyle w:val="Heading1"/>
      </w:pPr>
      <w:bookmarkStart w:id="1" w:name="_Toc389663826"/>
      <w:r>
        <w:lastRenderedPageBreak/>
        <w:t>Executive Summary: Combined Report</w:t>
      </w:r>
      <w:bookmarkEnd w:id="1"/>
    </w:p>
    <w:p w:rsidR="003A2BC0" w:rsidRDefault="003A2BC0" w:rsidP="003A2BC0">
      <w:r w:rsidRPr="00446568">
        <w:t xml:space="preserve">The Connecticut Energy Efficiency Board (EEB) </w:t>
      </w:r>
      <w:r>
        <w:t xml:space="preserve">requires </w:t>
      </w:r>
      <w:r w:rsidRPr="00446568">
        <w:t>an impact evaluation of the Home Energy Services (HES) and Home Energy Services-Income Eligible (HES-IE) programs</w:t>
      </w:r>
      <w:r>
        <w:t xml:space="preserve"> offered by the following Connecticut utilities: Connecticut Light &amp; Power (CL&amp;P), The United Illuminating Company (UI), Connecticut Natural Gas (CNG), Southern Connecticut Gas (SCG), and Yankee Gas Services Company (YGS)</w:t>
      </w:r>
      <w:r w:rsidRPr="00446568">
        <w:t xml:space="preserve">. The </w:t>
      </w:r>
      <w:r>
        <w:t xml:space="preserve">impact evaluation sought </w:t>
      </w:r>
      <w:r w:rsidRPr="00446568">
        <w:t xml:space="preserve">to </w:t>
      </w:r>
      <w:r>
        <w:t xml:space="preserve">provide evaluated </w:t>
      </w:r>
      <w:r w:rsidRPr="00446568">
        <w:t>estimate</w:t>
      </w:r>
      <w:r>
        <w:t>s</w:t>
      </w:r>
      <w:r w:rsidRPr="00446568">
        <w:t xml:space="preserve"> </w:t>
      </w:r>
      <w:r>
        <w:t xml:space="preserve">of </w:t>
      </w:r>
      <w:r w:rsidRPr="00446568">
        <w:t>energy and demand savings associated with measures installed through the</w:t>
      </w:r>
      <w:r>
        <w:t>se</w:t>
      </w:r>
      <w:r w:rsidRPr="00446568">
        <w:t xml:space="preserve"> programs.</w:t>
      </w:r>
      <w:r>
        <w:t xml:space="preserve"> The NMR Group and Cadmus, its subcontractor, (collectively referred to as the Evaluation Team) conducted this evaluation.</w:t>
      </w:r>
    </w:p>
    <w:p w:rsidR="003A2BC0" w:rsidRDefault="00CD20CF" w:rsidP="003A2BC0">
      <w:r>
        <w:t>T</w:t>
      </w:r>
      <w:r w:rsidR="003A2BC0">
        <w:t xml:space="preserve">he </w:t>
      </w:r>
      <w:r>
        <w:t xml:space="preserve">results have been provided in two volumes, each focusing on a different </w:t>
      </w:r>
      <w:r w:rsidR="003A2BC0">
        <w:t>approach for evaluating the impacts for</w:t>
      </w:r>
      <w:r w:rsidR="003A2BC0" w:rsidRPr="00446568">
        <w:t xml:space="preserve"> the </w:t>
      </w:r>
      <w:r w:rsidR="003A2BC0">
        <w:t xml:space="preserve">program year </w:t>
      </w:r>
      <w:r w:rsidR="003A2BC0" w:rsidRPr="00446568">
        <w:t>2011</w:t>
      </w:r>
      <w:r w:rsidR="003A2BC0">
        <w:t xml:space="preserve"> HES and HES-IE programs:</w:t>
      </w:r>
    </w:p>
    <w:p w:rsidR="003A2BC0" w:rsidRDefault="003A2BC0" w:rsidP="003A2BC0">
      <w:pPr>
        <w:pStyle w:val="ListParagraph"/>
        <w:numPr>
          <w:ilvl w:val="0"/>
          <w:numId w:val="26"/>
        </w:numPr>
      </w:pPr>
      <w:r w:rsidRPr="00AE3F1B">
        <w:rPr>
          <w:b/>
          <w:i/>
        </w:rPr>
        <w:t>Volume 1</w:t>
      </w:r>
      <w:r w:rsidRPr="00F6764F">
        <w:t xml:space="preserve"> provides the results of a whole-house billing analysis </w:t>
      </w:r>
      <w:r>
        <w:t xml:space="preserve">that </w:t>
      </w:r>
      <w:r w:rsidRPr="00F6764F">
        <w:t>estimate</w:t>
      </w:r>
      <w:r>
        <w:t>s</w:t>
      </w:r>
      <w:r w:rsidRPr="00F6764F">
        <w:t xml:space="preserve"> average participant (household-level) electric and natural gas impacts. </w:t>
      </w:r>
    </w:p>
    <w:p w:rsidR="003A2BC0" w:rsidRDefault="003A2BC0" w:rsidP="003A2BC0">
      <w:pPr>
        <w:pStyle w:val="ListParagraph"/>
        <w:numPr>
          <w:ilvl w:val="0"/>
          <w:numId w:val="26"/>
        </w:numPr>
      </w:pPr>
      <w:r w:rsidRPr="00AE3F1B">
        <w:rPr>
          <w:b/>
          <w:i/>
        </w:rPr>
        <w:t>Volume 2</w:t>
      </w:r>
      <w:r w:rsidRPr="00F6764F">
        <w:t xml:space="preserve"> includes a measure-level impact evaluation, providing estimates of per-unit savings for measures offered through the HES and HES-IE programs</w:t>
      </w:r>
      <w:r>
        <w:t xml:space="preserve"> and </w:t>
      </w:r>
      <w:r w:rsidRPr="00F6764F">
        <w:t>us</w:t>
      </w:r>
      <w:r>
        <w:t>ing</w:t>
      </w:r>
      <w:r w:rsidRPr="00F6764F" w:rsidDel="000106AC">
        <w:t xml:space="preserve"> </w:t>
      </w:r>
      <w:r w:rsidRPr="00F6764F">
        <w:t xml:space="preserve"> an array of evaluation tasks, such as billing analysis, calibrated simulation modeling, and engineering analyses. </w:t>
      </w:r>
      <w:r>
        <w:t xml:space="preserve">Volume 2 also includes a whole-house billing analysis that estimates the electric and gas energy impacts for </w:t>
      </w:r>
      <w:r w:rsidR="00776963">
        <w:t xml:space="preserve">two of four </w:t>
      </w:r>
      <w:r>
        <w:t>HES-IE subprograms.</w:t>
      </w:r>
      <w:r w:rsidR="00424BAE">
        <w:rPr>
          <w:rStyle w:val="FootnoteReference"/>
        </w:rPr>
        <w:footnoteReference w:id="1"/>
      </w:r>
    </w:p>
    <w:p w:rsidR="00CD20CF" w:rsidRDefault="00CD20CF" w:rsidP="003A2BC0">
      <w:r>
        <w:t xml:space="preserve">Both methods are considered industry “best practice”, and both provide valuable information for Connecticut’s programs.  </w:t>
      </w:r>
    </w:p>
    <w:p w:rsidR="00CD20CF" w:rsidRDefault="00CD20CF" w:rsidP="00CD20CF">
      <w:pPr>
        <w:pStyle w:val="ListParagraph"/>
        <w:numPr>
          <w:ilvl w:val="0"/>
          <w:numId w:val="27"/>
        </w:numPr>
      </w:pPr>
      <w:r w:rsidRPr="00C0733E">
        <w:rPr>
          <w:b/>
        </w:rPr>
        <w:t>Whole-house billing analysis</w:t>
      </w:r>
      <w:r>
        <w:t xml:space="preserve"> is</w:t>
      </w:r>
      <w:r w:rsidR="003A2BC0">
        <w:t xml:space="preserve"> a statistical analysis (using fixed-effects regression models) provided household-level savings estimates, which then informed the calculation of realization rates. </w:t>
      </w:r>
      <w:r w:rsidR="005004E6">
        <w:t xml:space="preserve">The </w:t>
      </w:r>
      <w:r w:rsidR="003A2BC0">
        <w:t xml:space="preserve">billing analysis </w:t>
      </w:r>
      <w:r w:rsidR="00776963">
        <w:t>us</w:t>
      </w:r>
      <w:r>
        <w:t>es</w:t>
      </w:r>
      <w:r w:rsidR="00776963">
        <w:t xml:space="preserve"> </w:t>
      </w:r>
      <w:r>
        <w:t xml:space="preserve">data from </w:t>
      </w:r>
      <w:r w:rsidR="00776963">
        <w:t>participating households</w:t>
      </w:r>
      <w:r>
        <w:t xml:space="preserve"> that </w:t>
      </w:r>
      <w:r w:rsidR="00776963">
        <w:t>had sufficient billing data both prior to participation and after participation to support the analysis. S</w:t>
      </w:r>
      <w:r w:rsidR="003A2BC0">
        <w:t xml:space="preserve">tatistical billing analyses </w:t>
      </w:r>
      <w:r w:rsidR="005004E6">
        <w:t>are</w:t>
      </w:r>
      <w:r w:rsidR="00776963">
        <w:t xml:space="preserve"> </w:t>
      </w:r>
      <w:r w:rsidR="00776963" w:rsidRPr="006A4C10">
        <w:t xml:space="preserve">considered a </w:t>
      </w:r>
      <w:r w:rsidR="003A2BC0" w:rsidRPr="006A4C10">
        <w:t>best practice</w:t>
      </w:r>
      <w:r w:rsidR="00776963" w:rsidRPr="006A4C10">
        <w:t xml:space="preserve"> approach</w:t>
      </w:r>
      <w:r w:rsidR="003A2BC0" w:rsidRPr="006A4C10">
        <w:t xml:space="preserve"> for estimating impacts associated with whole-building programs</w:t>
      </w:r>
      <w:r w:rsidR="00776963" w:rsidRPr="006A4C10">
        <w:t>.</w:t>
      </w:r>
      <w:r w:rsidR="003A2BC0" w:rsidRPr="006A4C10">
        <w:rPr>
          <w:rStyle w:val="FootnoteReference"/>
        </w:rPr>
        <w:footnoteReference w:id="2"/>
      </w:r>
      <w:r w:rsidR="003A2BC0" w:rsidRPr="006A4C10">
        <w:t xml:space="preserve"> </w:t>
      </w:r>
      <w:r w:rsidR="00776963" w:rsidRPr="006A4C10">
        <w:t xml:space="preserve"> </w:t>
      </w:r>
      <w:r w:rsidR="00424BAE" w:rsidRPr="006A4C10">
        <w:t xml:space="preserve">Results based on whole house billing analysis are used around the nation to provide best practice results for </w:t>
      </w:r>
      <w:r w:rsidR="006F75FA" w:rsidRPr="006A4C10">
        <w:t xml:space="preserve">estimating savings impacts and associated </w:t>
      </w:r>
      <w:r w:rsidR="00424BAE" w:rsidRPr="006A4C10">
        <w:t xml:space="preserve">realization rates </w:t>
      </w:r>
      <w:r w:rsidR="006F75FA" w:rsidRPr="006A4C10">
        <w:t>for a variety of energy-efficiency programs, in particular whole-house programs</w:t>
      </w:r>
      <w:r w:rsidR="00424BAE" w:rsidRPr="006A4C10">
        <w:t>.</w:t>
      </w:r>
      <w:r w:rsidR="00424BAE">
        <w:t xml:space="preserve">  </w:t>
      </w:r>
      <w:r w:rsidR="00C0733E">
        <w:t xml:space="preserve">The Evaluation Team performed the whole-house billing analysis for HES and HES-IE (in Volume 1), including two CL&amp;P-specific subprograms (i.e., SP1 and SP4) (included in Volume 2).  </w:t>
      </w:r>
    </w:p>
    <w:p w:rsidR="00CD20CF" w:rsidRDefault="00CD20CF" w:rsidP="00DB26A6">
      <w:pPr>
        <w:pStyle w:val="ListParagraph"/>
        <w:numPr>
          <w:ilvl w:val="0"/>
          <w:numId w:val="27"/>
        </w:numPr>
      </w:pPr>
      <w:r w:rsidRPr="00C0733E">
        <w:rPr>
          <w:b/>
        </w:rPr>
        <w:lastRenderedPageBreak/>
        <w:t>Measure-level analysis</w:t>
      </w:r>
      <w:r>
        <w:t xml:space="preserve"> uses a multiple-method approach </w:t>
      </w:r>
      <w:r w:rsidR="000351E9">
        <w:t xml:space="preserve">to </w:t>
      </w:r>
      <w:r>
        <w:t xml:space="preserve">identify the best estimates of energy savings for individual measures. </w:t>
      </w:r>
      <w:r w:rsidR="00B5377D">
        <w:t xml:space="preserve">The analysis used </w:t>
      </w:r>
      <w:r w:rsidR="00B5377D" w:rsidRPr="00C86B3F">
        <w:t>fixed-effects</w:t>
      </w:r>
      <w:r w:rsidR="00B5377D">
        <w:t>,</w:t>
      </w:r>
      <w:r w:rsidR="00B5377D" w:rsidRPr="00C86B3F">
        <w:t xml:space="preserve"> savings regression models </w:t>
      </w:r>
      <w:r w:rsidR="00B5377D">
        <w:t xml:space="preserve">and </w:t>
      </w:r>
      <w:r w:rsidR="00B5377D" w:rsidRPr="00C86B3F">
        <w:t xml:space="preserve">two engineering analysis approaches </w:t>
      </w:r>
      <w:r w:rsidR="00B5377D">
        <w:t xml:space="preserve">(addressing measures with and without interaction effects) </w:t>
      </w:r>
      <w:r w:rsidR="00B5377D" w:rsidRPr="00C86B3F">
        <w:t>to estimate measure-specific savings for the most common fuel types (</w:t>
      </w:r>
      <w:r w:rsidR="00B5377D">
        <w:t xml:space="preserve">e.g., </w:t>
      </w:r>
      <w:r w:rsidR="00B5377D" w:rsidRPr="00C86B3F">
        <w:t xml:space="preserve">electric, natural gas, propane, and heating oil). </w:t>
      </w:r>
      <w:r w:rsidR="000351E9">
        <w:t xml:space="preserve">The measure-based </w:t>
      </w:r>
      <w:r w:rsidR="006F75FA">
        <w:t xml:space="preserve">evaluation </w:t>
      </w:r>
      <w:r w:rsidR="002B5A76">
        <w:t xml:space="preserve">and </w:t>
      </w:r>
      <w:r w:rsidR="000351E9">
        <w:t xml:space="preserve">realization rates provide </w:t>
      </w:r>
      <w:r w:rsidR="002B5A76">
        <w:t>specific information to refine PSD savings calculations</w:t>
      </w:r>
      <w:r w:rsidR="000351E9">
        <w:t xml:space="preserve">.  </w:t>
      </w:r>
      <w:r w:rsidR="00C0733E">
        <w:t xml:space="preserve">The results of the measure-level analysis for HES and HES-IE are include in Volume 2., </w:t>
      </w:r>
      <w:r w:rsidR="002B5A76">
        <w:t>with the exception of</w:t>
      </w:r>
      <w:r w:rsidR="00C0733E">
        <w:t xml:space="preserve"> two CL&amp;P-specific </w:t>
      </w:r>
      <w:r w:rsidR="002B5A76">
        <w:t xml:space="preserve">HES-IE </w:t>
      </w:r>
      <w:r w:rsidR="00C0733E">
        <w:t xml:space="preserve">subprograms (i.e., SP1 and SP4), which were addressed using a whole-house billing analysis (also presented in this volume).  </w:t>
      </w:r>
    </w:p>
    <w:p w:rsidR="00DB26A6" w:rsidRDefault="003A2BC0" w:rsidP="003A2BC0">
      <w:r>
        <w:t xml:space="preserve">The </w:t>
      </w:r>
      <w:r w:rsidR="00FC6C87">
        <w:t xml:space="preserve">realization rates resulting from the </w:t>
      </w:r>
      <w:r>
        <w:t xml:space="preserve">different analytical approaches </w:t>
      </w:r>
      <w:r w:rsidR="00FC6C87">
        <w:t xml:space="preserve">used in Volume 1 and Volume 2 are </w:t>
      </w:r>
      <w:r>
        <w:t xml:space="preserve">presented </w:t>
      </w:r>
      <w:r w:rsidR="00FC6C87">
        <w:t xml:space="preserve">below </w:t>
      </w:r>
      <w:r>
        <w:t xml:space="preserve">in </w:t>
      </w:r>
      <w:r w:rsidR="005C2163">
        <w:fldChar w:fldCharType="begin"/>
      </w:r>
      <w:r w:rsidR="005004E6">
        <w:instrText xml:space="preserve"> REF _Ref389660349 \h </w:instrText>
      </w:r>
      <w:r w:rsidR="005C2163">
        <w:fldChar w:fldCharType="separate"/>
      </w:r>
      <w:r w:rsidR="00CD20CF">
        <w:t xml:space="preserve">Table </w:t>
      </w:r>
      <w:r w:rsidR="00CD20CF">
        <w:rPr>
          <w:noProof/>
        </w:rPr>
        <w:t>1</w:t>
      </w:r>
      <w:r w:rsidR="005C2163">
        <w:fldChar w:fldCharType="end"/>
      </w:r>
      <w:r w:rsidR="00FC6C87">
        <w:t>.</w:t>
      </w:r>
      <w:r>
        <w:t xml:space="preserve"> </w:t>
      </w:r>
      <w:r w:rsidR="00FC6C87">
        <w:t>The</w:t>
      </w:r>
      <w:r>
        <w:t xml:space="preserve"> </w:t>
      </w:r>
      <w:r w:rsidR="00FC6C87">
        <w:t xml:space="preserve">differences </w:t>
      </w:r>
      <w:r w:rsidR="005101AE">
        <w:t xml:space="preserve">in </w:t>
      </w:r>
      <w:r w:rsidR="00FC6C87">
        <w:t xml:space="preserve">the </w:t>
      </w:r>
      <w:r w:rsidR="005101AE">
        <w:t xml:space="preserve">realization rates </w:t>
      </w:r>
      <w:r w:rsidR="00FC6C87">
        <w:t xml:space="preserve">for each type program (HES vs. HES-IE) and each type of savings (electric vs. gas) </w:t>
      </w:r>
      <w:r w:rsidR="00A80B46">
        <w:t xml:space="preserve">is largely due to </w:t>
      </w:r>
      <w:r w:rsidR="005101AE">
        <w:t xml:space="preserve">slight differences </w:t>
      </w:r>
      <w:r w:rsidR="000A3F21">
        <w:t>in the measure distributions between the sample</w:t>
      </w:r>
      <w:r w:rsidR="00A80B46">
        <w:t xml:space="preserve"> of households</w:t>
      </w:r>
      <w:r w:rsidR="000A3F21">
        <w:t xml:space="preserve"> </w:t>
      </w:r>
      <w:r w:rsidR="00A80B46">
        <w:t xml:space="preserve">included </w:t>
      </w:r>
      <w:r w:rsidR="000A3F21">
        <w:t>in whole-house billing analysis and the program populations</w:t>
      </w:r>
      <w:r w:rsidR="00A80B46">
        <w:t xml:space="preserve"> as reflected in the program tracking data.</w:t>
      </w:r>
      <w:r w:rsidR="000A3F21">
        <w:t xml:space="preserve"> </w:t>
      </w:r>
      <w:r w:rsidR="00A80B46">
        <w:t>For HES-IE</w:t>
      </w:r>
      <w:r w:rsidR="005004E6">
        <w:t>,</w:t>
      </w:r>
      <w:r w:rsidR="00A80B46">
        <w:t xml:space="preserve"> there </w:t>
      </w:r>
      <w:r w:rsidR="005004E6">
        <w:t>are</w:t>
      </w:r>
      <w:r w:rsidR="00A80B46">
        <w:t xml:space="preserve"> also some differences</w:t>
      </w:r>
      <w:r w:rsidR="005101AE">
        <w:t xml:space="preserve"> </w:t>
      </w:r>
      <w:r w:rsidR="00A80B46">
        <w:t>related to differences in the treatment</w:t>
      </w:r>
      <w:r w:rsidR="005101AE">
        <w:t xml:space="preserve"> of HES-IE subprograms</w:t>
      </w:r>
      <w:r w:rsidR="000A3F21">
        <w:t xml:space="preserve">. </w:t>
      </w:r>
    </w:p>
    <w:p w:rsidR="003A2BC0" w:rsidRPr="00F6764F" w:rsidRDefault="003A2BC0" w:rsidP="003A2BC0">
      <w:pPr>
        <w:pStyle w:val="Caption"/>
      </w:pPr>
      <w:bookmarkStart w:id="2" w:name="_Ref389660349"/>
      <w:r>
        <w:t xml:space="preserve">Table </w:t>
      </w:r>
      <w:r w:rsidR="002506E1">
        <w:fldChar w:fldCharType="begin"/>
      </w:r>
      <w:r w:rsidR="002506E1">
        <w:instrText xml:space="preserve"> SEQ Table \* ARABIC </w:instrText>
      </w:r>
      <w:r w:rsidR="002506E1">
        <w:fldChar w:fldCharType="separate"/>
      </w:r>
      <w:r w:rsidR="00CD20CF">
        <w:rPr>
          <w:noProof/>
        </w:rPr>
        <w:t>1</w:t>
      </w:r>
      <w:r w:rsidR="002506E1">
        <w:rPr>
          <w:noProof/>
        </w:rPr>
        <w:fldChar w:fldCharType="end"/>
      </w:r>
      <w:bookmarkEnd w:id="2"/>
      <w:r>
        <w:t>. Comparison of Realization Rates by Report Volume</w:t>
      </w:r>
    </w:p>
    <w:tbl>
      <w:tblPr>
        <w:tblW w:w="5000" w:type="pct"/>
        <w:tblLook w:val="04A0" w:firstRow="1" w:lastRow="0" w:firstColumn="1" w:lastColumn="0" w:noHBand="0" w:noVBand="1"/>
      </w:tblPr>
      <w:tblGrid>
        <w:gridCol w:w="2700"/>
        <w:gridCol w:w="1718"/>
        <w:gridCol w:w="1720"/>
        <w:gridCol w:w="1718"/>
        <w:gridCol w:w="1720"/>
      </w:tblGrid>
      <w:tr w:rsidR="000A3F21" w:rsidRPr="000A3F21" w:rsidTr="000A3F21">
        <w:trPr>
          <w:trHeight w:val="315"/>
        </w:trPr>
        <w:tc>
          <w:tcPr>
            <w:tcW w:w="1410" w:type="pct"/>
            <w:vMerge w:val="restart"/>
            <w:tcBorders>
              <w:top w:val="single" w:sz="8" w:space="0" w:color="BFBFBF"/>
              <w:left w:val="single" w:sz="8" w:space="0" w:color="BFBFBF"/>
              <w:bottom w:val="nil"/>
              <w:right w:val="single" w:sz="8" w:space="0" w:color="BFBFBF"/>
            </w:tcBorders>
            <w:shd w:val="clear" w:color="000000" w:fill="005DAA"/>
            <w:vAlign w:val="bottom"/>
            <w:hideMark/>
          </w:tcPr>
          <w:p w:rsidR="000A3F21" w:rsidRPr="000A3F21" w:rsidRDefault="000A3F21" w:rsidP="000A3F21">
            <w:pPr>
              <w:spacing w:after="0" w:line="240" w:lineRule="auto"/>
              <w:jc w:val="center"/>
              <w:rPr>
                <w:rFonts w:ascii="Calibri" w:eastAsia="Times New Roman" w:hAnsi="Calibri" w:cs="Times New Roman"/>
                <w:b/>
                <w:bCs/>
                <w:color w:val="FFFFFF"/>
              </w:rPr>
            </w:pPr>
            <w:r>
              <w:rPr>
                <w:rFonts w:ascii="Calibri" w:eastAsia="Times New Roman" w:hAnsi="Calibri" w:cs="Times New Roman"/>
                <w:b/>
                <w:bCs/>
                <w:color w:val="FFFFFF"/>
              </w:rPr>
              <w:t>Program</w:t>
            </w:r>
            <w:r w:rsidRPr="000A3F21">
              <w:rPr>
                <w:rFonts w:ascii="Calibri" w:eastAsia="Times New Roman" w:hAnsi="Calibri" w:cs="Times New Roman"/>
                <w:b/>
                <w:bCs/>
                <w:color w:val="FFFFFF"/>
              </w:rPr>
              <w:t> </w:t>
            </w:r>
          </w:p>
        </w:tc>
        <w:tc>
          <w:tcPr>
            <w:tcW w:w="1795" w:type="pct"/>
            <w:gridSpan w:val="2"/>
            <w:tcBorders>
              <w:top w:val="single" w:sz="8" w:space="0" w:color="BFBFBF"/>
              <w:left w:val="nil"/>
              <w:bottom w:val="single" w:sz="8" w:space="0" w:color="BFBFBF"/>
              <w:right w:val="single" w:sz="8" w:space="0" w:color="BFBFBF"/>
            </w:tcBorders>
            <w:shd w:val="clear" w:color="000000" w:fill="005DAA"/>
            <w:vAlign w:val="bottom"/>
            <w:hideMark/>
          </w:tcPr>
          <w:p w:rsidR="000A3F21" w:rsidRPr="000A3F21" w:rsidRDefault="000A3F21" w:rsidP="000A3F21">
            <w:pPr>
              <w:spacing w:after="0" w:line="240" w:lineRule="auto"/>
              <w:jc w:val="center"/>
              <w:rPr>
                <w:rFonts w:ascii="Calibri" w:eastAsia="Times New Roman" w:hAnsi="Calibri" w:cs="Times New Roman"/>
                <w:b/>
                <w:bCs/>
                <w:color w:val="FFFFFF"/>
              </w:rPr>
            </w:pPr>
            <w:r w:rsidRPr="000A3F21">
              <w:rPr>
                <w:rFonts w:ascii="Calibri" w:eastAsia="Times New Roman" w:hAnsi="Calibri" w:cs="Times New Roman"/>
                <w:b/>
                <w:bCs/>
                <w:color w:val="FFFFFF"/>
              </w:rPr>
              <w:t>Elec</w:t>
            </w:r>
            <w:r>
              <w:rPr>
                <w:rFonts w:ascii="Calibri" w:eastAsia="Times New Roman" w:hAnsi="Calibri" w:cs="Times New Roman"/>
                <w:b/>
                <w:bCs/>
                <w:color w:val="FFFFFF"/>
              </w:rPr>
              <w:t>tric Savings</w:t>
            </w:r>
          </w:p>
        </w:tc>
        <w:tc>
          <w:tcPr>
            <w:tcW w:w="1795" w:type="pct"/>
            <w:gridSpan w:val="2"/>
            <w:tcBorders>
              <w:top w:val="single" w:sz="8" w:space="0" w:color="BFBFBF"/>
              <w:left w:val="nil"/>
              <w:bottom w:val="single" w:sz="8" w:space="0" w:color="BFBFBF"/>
              <w:right w:val="single" w:sz="8" w:space="0" w:color="BFBFBF"/>
            </w:tcBorders>
            <w:shd w:val="clear" w:color="000000" w:fill="005DAA"/>
            <w:vAlign w:val="bottom"/>
            <w:hideMark/>
          </w:tcPr>
          <w:p w:rsidR="000A3F21" w:rsidRPr="000A3F21" w:rsidRDefault="000A3F21" w:rsidP="000A3F21">
            <w:pPr>
              <w:spacing w:after="0" w:line="240" w:lineRule="auto"/>
              <w:jc w:val="center"/>
              <w:rPr>
                <w:rFonts w:ascii="Calibri" w:eastAsia="Times New Roman" w:hAnsi="Calibri" w:cs="Times New Roman"/>
                <w:b/>
                <w:bCs/>
                <w:color w:val="FFFFFF"/>
              </w:rPr>
            </w:pPr>
            <w:r w:rsidRPr="000A3F21">
              <w:rPr>
                <w:rFonts w:ascii="Calibri" w:eastAsia="Times New Roman" w:hAnsi="Calibri" w:cs="Times New Roman"/>
                <w:b/>
                <w:bCs/>
                <w:color w:val="FFFFFF"/>
              </w:rPr>
              <w:t>Gas</w:t>
            </w:r>
            <w:r>
              <w:rPr>
                <w:rFonts w:ascii="Calibri" w:eastAsia="Times New Roman" w:hAnsi="Calibri" w:cs="Times New Roman"/>
                <w:b/>
                <w:bCs/>
                <w:color w:val="FFFFFF"/>
              </w:rPr>
              <w:t xml:space="preserve"> Savings</w:t>
            </w:r>
          </w:p>
        </w:tc>
      </w:tr>
      <w:tr w:rsidR="000A3F21" w:rsidRPr="000A3F21" w:rsidTr="000A3F21">
        <w:trPr>
          <w:trHeight w:val="315"/>
        </w:trPr>
        <w:tc>
          <w:tcPr>
            <w:tcW w:w="1410" w:type="pct"/>
            <w:vMerge/>
            <w:tcBorders>
              <w:top w:val="single" w:sz="8" w:space="0" w:color="BFBFBF"/>
              <w:left w:val="single" w:sz="8" w:space="0" w:color="BFBFBF"/>
              <w:bottom w:val="nil"/>
              <w:right w:val="single" w:sz="8" w:space="0" w:color="BFBFBF"/>
            </w:tcBorders>
            <w:vAlign w:val="center"/>
            <w:hideMark/>
          </w:tcPr>
          <w:p w:rsidR="000A3F21" w:rsidRPr="000A3F21" w:rsidRDefault="000A3F21" w:rsidP="000A3F21">
            <w:pPr>
              <w:spacing w:after="0" w:line="240" w:lineRule="auto"/>
              <w:rPr>
                <w:rFonts w:ascii="Calibri" w:eastAsia="Times New Roman" w:hAnsi="Calibri" w:cs="Times New Roman"/>
                <w:b/>
                <w:bCs/>
                <w:color w:val="FFFFFF"/>
              </w:rPr>
            </w:pPr>
          </w:p>
        </w:tc>
        <w:tc>
          <w:tcPr>
            <w:tcW w:w="897" w:type="pct"/>
            <w:tcBorders>
              <w:top w:val="nil"/>
              <w:left w:val="nil"/>
              <w:bottom w:val="nil"/>
              <w:right w:val="single" w:sz="8" w:space="0" w:color="BFBFBF"/>
            </w:tcBorders>
            <w:shd w:val="clear" w:color="000000" w:fill="005DAA"/>
            <w:vAlign w:val="bottom"/>
            <w:hideMark/>
          </w:tcPr>
          <w:p w:rsidR="000A3F21" w:rsidRPr="000A3F21" w:rsidRDefault="000A3F21" w:rsidP="000A3F21">
            <w:pPr>
              <w:spacing w:after="0" w:line="240" w:lineRule="auto"/>
              <w:jc w:val="center"/>
              <w:rPr>
                <w:rFonts w:ascii="Calibri" w:eastAsia="Times New Roman" w:hAnsi="Calibri" w:cs="Times New Roman"/>
                <w:b/>
                <w:bCs/>
                <w:color w:val="FFFFFF"/>
              </w:rPr>
            </w:pPr>
            <w:r w:rsidRPr="000A3F21">
              <w:rPr>
                <w:rFonts w:ascii="Calibri" w:eastAsia="Times New Roman" w:hAnsi="Calibri" w:cs="Times New Roman"/>
                <w:b/>
                <w:bCs/>
                <w:color w:val="FFFFFF"/>
              </w:rPr>
              <w:t>Vol</w:t>
            </w:r>
            <w:r>
              <w:rPr>
                <w:rFonts w:ascii="Calibri" w:eastAsia="Times New Roman" w:hAnsi="Calibri" w:cs="Times New Roman"/>
                <w:b/>
                <w:bCs/>
                <w:color w:val="FFFFFF"/>
              </w:rPr>
              <w:t xml:space="preserve">ume </w:t>
            </w:r>
            <w:r w:rsidRPr="000A3F21">
              <w:rPr>
                <w:rFonts w:ascii="Calibri" w:eastAsia="Times New Roman" w:hAnsi="Calibri" w:cs="Times New Roman"/>
                <w:b/>
                <w:bCs/>
                <w:color w:val="FFFFFF"/>
              </w:rPr>
              <w:t>1</w:t>
            </w:r>
            <w:r w:rsidR="00FA2370">
              <w:rPr>
                <w:rFonts w:ascii="Calibri" w:eastAsia="Times New Roman" w:hAnsi="Calibri" w:cs="Times New Roman"/>
                <w:b/>
                <w:bCs/>
                <w:color w:val="FFFFFF"/>
              </w:rPr>
              <w:t>*</w:t>
            </w:r>
          </w:p>
        </w:tc>
        <w:tc>
          <w:tcPr>
            <w:tcW w:w="898" w:type="pct"/>
            <w:tcBorders>
              <w:top w:val="nil"/>
              <w:left w:val="nil"/>
              <w:bottom w:val="nil"/>
              <w:right w:val="single" w:sz="8" w:space="0" w:color="BFBFBF"/>
            </w:tcBorders>
            <w:shd w:val="clear" w:color="000000" w:fill="005DAA"/>
            <w:vAlign w:val="bottom"/>
            <w:hideMark/>
          </w:tcPr>
          <w:p w:rsidR="000A3F21" w:rsidRPr="000A3F21" w:rsidRDefault="000A3F21" w:rsidP="000A3F21">
            <w:pPr>
              <w:spacing w:after="0" w:line="240" w:lineRule="auto"/>
              <w:jc w:val="center"/>
              <w:rPr>
                <w:rFonts w:ascii="Calibri" w:eastAsia="Times New Roman" w:hAnsi="Calibri" w:cs="Times New Roman"/>
                <w:b/>
                <w:bCs/>
                <w:color w:val="FFFFFF"/>
              </w:rPr>
            </w:pPr>
            <w:r>
              <w:rPr>
                <w:rFonts w:ascii="Calibri" w:eastAsia="Times New Roman" w:hAnsi="Calibri" w:cs="Times New Roman"/>
                <w:b/>
                <w:bCs/>
                <w:color w:val="FFFFFF"/>
              </w:rPr>
              <w:t>Volume 2</w:t>
            </w:r>
            <w:r w:rsidRPr="000A3F21">
              <w:rPr>
                <w:rFonts w:ascii="Calibri" w:eastAsia="Times New Roman" w:hAnsi="Calibri" w:cs="Times New Roman"/>
                <w:b/>
                <w:bCs/>
                <w:color w:val="FFFFFF"/>
              </w:rPr>
              <w:t>*</w:t>
            </w:r>
            <w:r w:rsidR="00FA2370">
              <w:rPr>
                <w:rFonts w:ascii="Calibri" w:eastAsia="Times New Roman" w:hAnsi="Calibri" w:cs="Times New Roman"/>
                <w:b/>
                <w:bCs/>
                <w:color w:val="FFFFFF"/>
              </w:rPr>
              <w:t>*</w:t>
            </w:r>
          </w:p>
        </w:tc>
        <w:tc>
          <w:tcPr>
            <w:tcW w:w="897" w:type="pct"/>
            <w:tcBorders>
              <w:top w:val="nil"/>
              <w:left w:val="nil"/>
              <w:bottom w:val="nil"/>
              <w:right w:val="single" w:sz="8" w:space="0" w:color="BFBFBF"/>
            </w:tcBorders>
            <w:shd w:val="clear" w:color="000000" w:fill="005DAA"/>
            <w:vAlign w:val="bottom"/>
            <w:hideMark/>
          </w:tcPr>
          <w:p w:rsidR="000A3F21" w:rsidRPr="000A3F21" w:rsidRDefault="000A3F21" w:rsidP="005101AE">
            <w:pPr>
              <w:spacing w:after="0" w:line="240" w:lineRule="auto"/>
              <w:jc w:val="center"/>
              <w:rPr>
                <w:rFonts w:ascii="Calibri" w:eastAsia="Times New Roman" w:hAnsi="Calibri" w:cs="Times New Roman"/>
                <w:b/>
                <w:bCs/>
                <w:color w:val="FFFFFF"/>
              </w:rPr>
            </w:pPr>
            <w:r w:rsidRPr="000A3F21">
              <w:rPr>
                <w:rFonts w:ascii="Calibri" w:eastAsia="Times New Roman" w:hAnsi="Calibri" w:cs="Times New Roman"/>
                <w:b/>
                <w:bCs/>
                <w:color w:val="FFFFFF"/>
              </w:rPr>
              <w:t>Vol</w:t>
            </w:r>
            <w:r>
              <w:rPr>
                <w:rFonts w:ascii="Calibri" w:eastAsia="Times New Roman" w:hAnsi="Calibri" w:cs="Times New Roman"/>
                <w:b/>
                <w:bCs/>
                <w:color w:val="FFFFFF"/>
              </w:rPr>
              <w:t xml:space="preserve">ume </w:t>
            </w:r>
            <w:r w:rsidRPr="000A3F21">
              <w:rPr>
                <w:rFonts w:ascii="Calibri" w:eastAsia="Times New Roman" w:hAnsi="Calibri" w:cs="Times New Roman"/>
                <w:b/>
                <w:bCs/>
                <w:color w:val="FFFFFF"/>
              </w:rPr>
              <w:t>1</w:t>
            </w:r>
            <w:r w:rsidR="00FA2370">
              <w:rPr>
                <w:rFonts w:ascii="Calibri" w:eastAsia="Times New Roman" w:hAnsi="Calibri" w:cs="Times New Roman"/>
                <w:b/>
                <w:bCs/>
                <w:color w:val="FFFFFF"/>
              </w:rPr>
              <w:t>*</w:t>
            </w:r>
          </w:p>
        </w:tc>
        <w:tc>
          <w:tcPr>
            <w:tcW w:w="898" w:type="pct"/>
            <w:tcBorders>
              <w:top w:val="nil"/>
              <w:left w:val="nil"/>
              <w:bottom w:val="nil"/>
              <w:right w:val="single" w:sz="8" w:space="0" w:color="BFBFBF"/>
            </w:tcBorders>
            <w:shd w:val="clear" w:color="000000" w:fill="005DAA"/>
            <w:vAlign w:val="bottom"/>
            <w:hideMark/>
          </w:tcPr>
          <w:p w:rsidR="000A3F21" w:rsidRPr="000A3F21" w:rsidRDefault="000A3F21" w:rsidP="005101AE">
            <w:pPr>
              <w:spacing w:after="0" w:line="240" w:lineRule="auto"/>
              <w:jc w:val="center"/>
              <w:rPr>
                <w:rFonts w:ascii="Calibri" w:eastAsia="Times New Roman" w:hAnsi="Calibri" w:cs="Times New Roman"/>
                <w:b/>
                <w:bCs/>
                <w:color w:val="FFFFFF"/>
              </w:rPr>
            </w:pPr>
            <w:r>
              <w:rPr>
                <w:rFonts w:ascii="Calibri" w:eastAsia="Times New Roman" w:hAnsi="Calibri" w:cs="Times New Roman"/>
                <w:b/>
                <w:bCs/>
                <w:color w:val="FFFFFF"/>
              </w:rPr>
              <w:t>Volume 2</w:t>
            </w:r>
            <w:r w:rsidRPr="000A3F21">
              <w:rPr>
                <w:rFonts w:ascii="Calibri" w:eastAsia="Times New Roman" w:hAnsi="Calibri" w:cs="Times New Roman"/>
                <w:b/>
                <w:bCs/>
                <w:color w:val="FFFFFF"/>
              </w:rPr>
              <w:t>*</w:t>
            </w:r>
            <w:r w:rsidR="00FA2370">
              <w:rPr>
                <w:rFonts w:ascii="Calibri" w:eastAsia="Times New Roman" w:hAnsi="Calibri" w:cs="Times New Roman"/>
                <w:b/>
                <w:bCs/>
                <w:color w:val="FFFFFF"/>
              </w:rPr>
              <w:t>*</w:t>
            </w:r>
          </w:p>
        </w:tc>
      </w:tr>
      <w:tr w:rsidR="000A3F21" w:rsidRPr="000A3F21" w:rsidTr="00C5426B">
        <w:trPr>
          <w:trHeight w:val="315"/>
        </w:trPr>
        <w:tc>
          <w:tcPr>
            <w:tcW w:w="1410" w:type="pct"/>
            <w:tcBorders>
              <w:top w:val="single" w:sz="8" w:space="0" w:color="BFBFBF"/>
              <w:left w:val="single" w:sz="8" w:space="0" w:color="BFBFBF"/>
              <w:bottom w:val="single" w:sz="8" w:space="0" w:color="BFBFBF"/>
              <w:right w:val="single" w:sz="8" w:space="0" w:color="BFBFBF"/>
            </w:tcBorders>
            <w:shd w:val="clear" w:color="auto" w:fill="auto"/>
            <w:vAlign w:val="center"/>
            <w:hideMark/>
          </w:tcPr>
          <w:p w:rsidR="000A3F21" w:rsidRPr="000A3F21" w:rsidRDefault="000A3F21" w:rsidP="000A3F21">
            <w:pPr>
              <w:spacing w:after="0" w:line="240" w:lineRule="auto"/>
              <w:rPr>
                <w:rFonts w:ascii="Calibri" w:eastAsia="Times New Roman" w:hAnsi="Calibri" w:cs="Times New Roman"/>
                <w:color w:val="000000"/>
                <w:sz w:val="20"/>
                <w:szCs w:val="20"/>
              </w:rPr>
            </w:pPr>
            <w:r w:rsidRPr="000A3F21">
              <w:rPr>
                <w:rFonts w:ascii="Calibri" w:eastAsia="Times New Roman" w:hAnsi="Calibri" w:cs="Times New Roman"/>
                <w:color w:val="000000"/>
                <w:sz w:val="20"/>
                <w:szCs w:val="20"/>
              </w:rPr>
              <w:t>HES</w:t>
            </w:r>
          </w:p>
        </w:tc>
        <w:tc>
          <w:tcPr>
            <w:tcW w:w="897" w:type="pct"/>
            <w:tcBorders>
              <w:top w:val="single" w:sz="8" w:space="0" w:color="BFBFBF"/>
              <w:left w:val="nil"/>
              <w:bottom w:val="single" w:sz="8" w:space="0" w:color="BFBFBF"/>
              <w:right w:val="single" w:sz="8" w:space="0" w:color="BFBFBF"/>
            </w:tcBorders>
            <w:shd w:val="clear" w:color="auto" w:fill="auto"/>
            <w:vAlign w:val="center"/>
            <w:hideMark/>
          </w:tcPr>
          <w:p w:rsidR="000A3F21" w:rsidRPr="000A3F21" w:rsidRDefault="000A3F21" w:rsidP="000A3F21">
            <w:pPr>
              <w:spacing w:after="0" w:line="240" w:lineRule="auto"/>
              <w:jc w:val="right"/>
              <w:rPr>
                <w:rFonts w:ascii="Calibri" w:eastAsia="Times New Roman" w:hAnsi="Calibri" w:cs="Times New Roman"/>
                <w:color w:val="000000"/>
                <w:sz w:val="20"/>
                <w:szCs w:val="20"/>
              </w:rPr>
            </w:pPr>
            <w:r w:rsidRPr="000A3F21">
              <w:rPr>
                <w:rFonts w:ascii="Calibri" w:eastAsia="Times New Roman" w:hAnsi="Calibri" w:cs="Times New Roman"/>
                <w:color w:val="000000"/>
                <w:sz w:val="20"/>
                <w:szCs w:val="20"/>
              </w:rPr>
              <w:t>117%</w:t>
            </w:r>
          </w:p>
        </w:tc>
        <w:tc>
          <w:tcPr>
            <w:tcW w:w="898" w:type="pct"/>
            <w:tcBorders>
              <w:top w:val="single" w:sz="8" w:space="0" w:color="BFBFBF"/>
              <w:left w:val="nil"/>
              <w:bottom w:val="single" w:sz="8" w:space="0" w:color="BFBFBF"/>
              <w:right w:val="single" w:sz="8" w:space="0" w:color="BFBFBF"/>
            </w:tcBorders>
            <w:shd w:val="clear" w:color="auto" w:fill="auto"/>
            <w:vAlign w:val="center"/>
            <w:hideMark/>
          </w:tcPr>
          <w:p w:rsidR="000A3F21" w:rsidRPr="000A3F21" w:rsidRDefault="000A3F21" w:rsidP="000A3F21">
            <w:pPr>
              <w:spacing w:after="0" w:line="240" w:lineRule="auto"/>
              <w:jc w:val="right"/>
              <w:rPr>
                <w:rFonts w:ascii="Calibri" w:eastAsia="Times New Roman" w:hAnsi="Calibri" w:cs="Times New Roman"/>
                <w:color w:val="000000"/>
                <w:sz w:val="20"/>
                <w:szCs w:val="20"/>
              </w:rPr>
            </w:pPr>
            <w:r w:rsidRPr="000A3F21">
              <w:rPr>
                <w:rFonts w:ascii="Calibri" w:eastAsia="Times New Roman" w:hAnsi="Calibri" w:cs="Times New Roman"/>
                <w:color w:val="000000"/>
                <w:sz w:val="20"/>
                <w:szCs w:val="20"/>
              </w:rPr>
              <w:t>111%</w:t>
            </w:r>
          </w:p>
        </w:tc>
        <w:tc>
          <w:tcPr>
            <w:tcW w:w="897" w:type="pct"/>
            <w:tcBorders>
              <w:top w:val="single" w:sz="8" w:space="0" w:color="BFBFBF"/>
              <w:left w:val="nil"/>
              <w:bottom w:val="single" w:sz="8" w:space="0" w:color="BFBFBF"/>
              <w:right w:val="single" w:sz="8" w:space="0" w:color="BFBFBF"/>
            </w:tcBorders>
            <w:shd w:val="clear" w:color="auto" w:fill="auto"/>
            <w:vAlign w:val="center"/>
            <w:hideMark/>
          </w:tcPr>
          <w:p w:rsidR="000A3F21" w:rsidRPr="000A3F21" w:rsidRDefault="000A3F21" w:rsidP="000A3F21">
            <w:pPr>
              <w:spacing w:after="0" w:line="240" w:lineRule="auto"/>
              <w:jc w:val="right"/>
              <w:rPr>
                <w:rFonts w:ascii="Calibri" w:eastAsia="Times New Roman" w:hAnsi="Calibri" w:cs="Times New Roman"/>
                <w:color w:val="000000"/>
                <w:sz w:val="20"/>
                <w:szCs w:val="20"/>
              </w:rPr>
            </w:pPr>
            <w:r w:rsidRPr="000A3F21">
              <w:rPr>
                <w:rFonts w:ascii="Calibri" w:eastAsia="Times New Roman" w:hAnsi="Calibri" w:cs="Times New Roman"/>
                <w:color w:val="000000"/>
                <w:sz w:val="20"/>
                <w:szCs w:val="20"/>
              </w:rPr>
              <w:t>58%</w:t>
            </w:r>
          </w:p>
        </w:tc>
        <w:tc>
          <w:tcPr>
            <w:tcW w:w="898" w:type="pct"/>
            <w:tcBorders>
              <w:top w:val="single" w:sz="8" w:space="0" w:color="BFBFBF"/>
              <w:left w:val="nil"/>
              <w:bottom w:val="single" w:sz="8" w:space="0" w:color="BFBFBF"/>
              <w:right w:val="single" w:sz="8" w:space="0" w:color="BFBFBF"/>
            </w:tcBorders>
            <w:shd w:val="clear" w:color="auto" w:fill="auto"/>
            <w:vAlign w:val="center"/>
            <w:hideMark/>
          </w:tcPr>
          <w:p w:rsidR="000A3F21" w:rsidRPr="000A3F21" w:rsidRDefault="000A3F21" w:rsidP="000A3F21">
            <w:pPr>
              <w:spacing w:after="0" w:line="240" w:lineRule="auto"/>
              <w:jc w:val="right"/>
              <w:rPr>
                <w:rFonts w:ascii="Calibri" w:eastAsia="Times New Roman" w:hAnsi="Calibri" w:cs="Times New Roman"/>
                <w:color w:val="000000"/>
                <w:sz w:val="20"/>
                <w:szCs w:val="20"/>
              </w:rPr>
            </w:pPr>
            <w:r w:rsidRPr="000A3F21">
              <w:rPr>
                <w:rFonts w:ascii="Calibri" w:eastAsia="Times New Roman" w:hAnsi="Calibri" w:cs="Times New Roman"/>
                <w:color w:val="000000"/>
                <w:sz w:val="20"/>
                <w:szCs w:val="20"/>
              </w:rPr>
              <w:t>64%</w:t>
            </w:r>
          </w:p>
        </w:tc>
      </w:tr>
      <w:tr w:rsidR="000A3F21" w:rsidRPr="000A3F21" w:rsidTr="00C5426B">
        <w:trPr>
          <w:trHeight w:val="315"/>
        </w:trPr>
        <w:tc>
          <w:tcPr>
            <w:tcW w:w="1410" w:type="pct"/>
            <w:tcBorders>
              <w:top w:val="nil"/>
              <w:left w:val="single" w:sz="8" w:space="0" w:color="BFBFBF"/>
              <w:bottom w:val="single" w:sz="8" w:space="0" w:color="BFBFBF"/>
              <w:right w:val="single" w:sz="8" w:space="0" w:color="BFBFBF"/>
            </w:tcBorders>
            <w:shd w:val="clear" w:color="auto" w:fill="auto"/>
            <w:vAlign w:val="center"/>
            <w:hideMark/>
          </w:tcPr>
          <w:p w:rsidR="000A3F21" w:rsidRPr="000A3F21" w:rsidRDefault="000A3F21" w:rsidP="000A3F21">
            <w:pPr>
              <w:spacing w:after="0" w:line="240" w:lineRule="auto"/>
              <w:rPr>
                <w:rFonts w:ascii="Calibri" w:eastAsia="Times New Roman" w:hAnsi="Calibri" w:cs="Times New Roman"/>
                <w:color w:val="000000"/>
                <w:sz w:val="20"/>
                <w:szCs w:val="20"/>
              </w:rPr>
            </w:pPr>
            <w:r w:rsidRPr="000A3F21">
              <w:rPr>
                <w:rFonts w:ascii="Calibri" w:eastAsia="Times New Roman" w:hAnsi="Calibri" w:cs="Times New Roman"/>
                <w:color w:val="000000"/>
                <w:sz w:val="20"/>
                <w:szCs w:val="20"/>
              </w:rPr>
              <w:t>HES-IE</w:t>
            </w:r>
          </w:p>
        </w:tc>
        <w:tc>
          <w:tcPr>
            <w:tcW w:w="897" w:type="pct"/>
            <w:tcBorders>
              <w:top w:val="nil"/>
              <w:left w:val="nil"/>
              <w:bottom w:val="single" w:sz="8" w:space="0" w:color="BFBFBF"/>
              <w:right w:val="single" w:sz="8" w:space="0" w:color="BFBFBF"/>
            </w:tcBorders>
            <w:shd w:val="clear" w:color="auto" w:fill="auto"/>
            <w:vAlign w:val="center"/>
            <w:hideMark/>
          </w:tcPr>
          <w:p w:rsidR="000A3F21" w:rsidRPr="000A3F21" w:rsidRDefault="000A3F21" w:rsidP="000A3F21">
            <w:pPr>
              <w:spacing w:after="0" w:line="240" w:lineRule="auto"/>
              <w:jc w:val="right"/>
              <w:rPr>
                <w:rFonts w:ascii="Calibri" w:eastAsia="Times New Roman" w:hAnsi="Calibri" w:cs="Times New Roman"/>
                <w:color w:val="000000"/>
                <w:sz w:val="20"/>
                <w:szCs w:val="20"/>
              </w:rPr>
            </w:pPr>
            <w:r w:rsidRPr="000A3F21">
              <w:rPr>
                <w:rFonts w:ascii="Calibri" w:eastAsia="Times New Roman" w:hAnsi="Calibri" w:cs="Times New Roman"/>
                <w:color w:val="000000"/>
                <w:sz w:val="20"/>
                <w:szCs w:val="20"/>
              </w:rPr>
              <w:t>82%</w:t>
            </w:r>
          </w:p>
        </w:tc>
        <w:tc>
          <w:tcPr>
            <w:tcW w:w="898" w:type="pct"/>
            <w:tcBorders>
              <w:top w:val="nil"/>
              <w:left w:val="nil"/>
              <w:bottom w:val="single" w:sz="8" w:space="0" w:color="BFBFBF"/>
              <w:right w:val="single" w:sz="8" w:space="0" w:color="BFBFBF"/>
            </w:tcBorders>
            <w:shd w:val="clear" w:color="auto" w:fill="auto"/>
            <w:vAlign w:val="center"/>
            <w:hideMark/>
          </w:tcPr>
          <w:p w:rsidR="000A3F21" w:rsidRPr="000A3F21" w:rsidRDefault="000A3F21" w:rsidP="000A3F21">
            <w:pPr>
              <w:spacing w:after="0" w:line="240" w:lineRule="auto"/>
              <w:jc w:val="right"/>
              <w:rPr>
                <w:rFonts w:ascii="Calibri" w:eastAsia="Times New Roman" w:hAnsi="Calibri" w:cs="Times New Roman"/>
                <w:color w:val="000000"/>
                <w:sz w:val="20"/>
                <w:szCs w:val="20"/>
              </w:rPr>
            </w:pPr>
            <w:r w:rsidRPr="000A3F21">
              <w:rPr>
                <w:rFonts w:ascii="Calibri" w:eastAsia="Times New Roman" w:hAnsi="Calibri" w:cs="Times New Roman"/>
                <w:color w:val="000000"/>
                <w:sz w:val="20"/>
                <w:szCs w:val="20"/>
              </w:rPr>
              <w:t>79%</w:t>
            </w:r>
          </w:p>
        </w:tc>
        <w:tc>
          <w:tcPr>
            <w:tcW w:w="897" w:type="pct"/>
            <w:tcBorders>
              <w:top w:val="nil"/>
              <w:left w:val="nil"/>
              <w:bottom w:val="single" w:sz="8" w:space="0" w:color="BFBFBF"/>
              <w:right w:val="single" w:sz="8" w:space="0" w:color="BFBFBF"/>
            </w:tcBorders>
            <w:shd w:val="clear" w:color="auto" w:fill="auto"/>
            <w:vAlign w:val="center"/>
            <w:hideMark/>
          </w:tcPr>
          <w:p w:rsidR="000A3F21" w:rsidRPr="000A3F21" w:rsidRDefault="000A3F21" w:rsidP="000A3F21">
            <w:pPr>
              <w:spacing w:after="0" w:line="240" w:lineRule="auto"/>
              <w:jc w:val="right"/>
              <w:rPr>
                <w:rFonts w:ascii="Calibri" w:eastAsia="Times New Roman" w:hAnsi="Calibri" w:cs="Times New Roman"/>
                <w:color w:val="000000"/>
                <w:sz w:val="20"/>
                <w:szCs w:val="20"/>
              </w:rPr>
            </w:pPr>
            <w:r w:rsidRPr="000A3F21">
              <w:rPr>
                <w:rFonts w:ascii="Calibri" w:eastAsia="Times New Roman" w:hAnsi="Calibri" w:cs="Times New Roman"/>
                <w:color w:val="000000"/>
                <w:sz w:val="20"/>
                <w:szCs w:val="20"/>
              </w:rPr>
              <w:t>50%</w:t>
            </w:r>
          </w:p>
        </w:tc>
        <w:tc>
          <w:tcPr>
            <w:tcW w:w="898" w:type="pct"/>
            <w:tcBorders>
              <w:top w:val="nil"/>
              <w:left w:val="nil"/>
              <w:bottom w:val="single" w:sz="8" w:space="0" w:color="BFBFBF"/>
              <w:right w:val="single" w:sz="8" w:space="0" w:color="BFBFBF"/>
            </w:tcBorders>
            <w:shd w:val="clear" w:color="auto" w:fill="auto"/>
            <w:vAlign w:val="center"/>
            <w:hideMark/>
          </w:tcPr>
          <w:p w:rsidR="000A3F21" w:rsidRPr="000A3F21" w:rsidRDefault="000A3F21" w:rsidP="000A3F21">
            <w:pPr>
              <w:spacing w:after="0" w:line="240" w:lineRule="auto"/>
              <w:jc w:val="right"/>
              <w:rPr>
                <w:rFonts w:ascii="Calibri" w:eastAsia="Times New Roman" w:hAnsi="Calibri" w:cs="Times New Roman"/>
                <w:color w:val="000000"/>
                <w:sz w:val="20"/>
                <w:szCs w:val="20"/>
              </w:rPr>
            </w:pPr>
            <w:r w:rsidRPr="000A3F21">
              <w:rPr>
                <w:rFonts w:ascii="Calibri" w:eastAsia="Times New Roman" w:hAnsi="Calibri" w:cs="Times New Roman"/>
                <w:color w:val="000000"/>
                <w:sz w:val="20"/>
                <w:szCs w:val="20"/>
              </w:rPr>
              <w:t>55%</w:t>
            </w:r>
          </w:p>
        </w:tc>
      </w:tr>
    </w:tbl>
    <w:p w:rsidR="00FA2370" w:rsidRDefault="00FA2370" w:rsidP="00FA2370">
      <w:pPr>
        <w:spacing w:after="0" w:line="240" w:lineRule="auto"/>
        <w:ind w:left="90" w:hanging="90"/>
        <w:rPr>
          <w:rFonts w:ascii="Calibri" w:eastAsia="Times New Roman" w:hAnsi="Calibri" w:cs="Times New Roman"/>
          <w:color w:val="000000"/>
          <w:sz w:val="20"/>
          <w:szCs w:val="20"/>
        </w:rPr>
      </w:pPr>
      <w:r w:rsidRPr="00A55F33">
        <w:rPr>
          <w:rFonts w:ascii="Calibri" w:eastAsia="Times New Roman" w:hAnsi="Calibri" w:cs="Times New Roman"/>
          <w:color w:val="000000"/>
          <w:sz w:val="20"/>
          <w:szCs w:val="20"/>
        </w:rPr>
        <w:t>*</w:t>
      </w:r>
      <w:r>
        <w:rPr>
          <w:rFonts w:ascii="Calibri" w:eastAsia="Times New Roman" w:hAnsi="Calibri" w:cs="Times New Roman"/>
          <w:color w:val="000000"/>
          <w:sz w:val="20"/>
          <w:szCs w:val="20"/>
        </w:rPr>
        <w:t xml:space="preserve"> Volume 1 realization rates for HES-IE present an average that includes </w:t>
      </w:r>
      <w:r w:rsidR="00341002">
        <w:rPr>
          <w:rFonts w:ascii="Calibri" w:eastAsia="Times New Roman" w:hAnsi="Calibri" w:cs="Times New Roman"/>
          <w:color w:val="000000"/>
          <w:sz w:val="20"/>
          <w:szCs w:val="20"/>
        </w:rPr>
        <w:t>model realization rates for SP2 and SP3, proxy realization rates for SP1 (based on building- and utility-specific models), and excludes SP4</w:t>
      </w:r>
      <w:r>
        <w:rPr>
          <w:rFonts w:ascii="Calibri" w:eastAsia="Times New Roman" w:hAnsi="Calibri" w:cs="Times New Roman"/>
          <w:color w:val="000000"/>
          <w:sz w:val="20"/>
          <w:szCs w:val="20"/>
        </w:rPr>
        <w:t>.</w:t>
      </w:r>
    </w:p>
    <w:p w:rsidR="00FA2370" w:rsidRDefault="00FA2370" w:rsidP="00FA2370">
      <w:pPr>
        <w:spacing w:after="0" w:line="240" w:lineRule="auto"/>
        <w:ind w:left="90" w:hanging="90"/>
        <w:rPr>
          <w:rFonts w:ascii="Calibri" w:eastAsia="Times New Roman" w:hAnsi="Calibri" w:cs="Times New Roman"/>
          <w:color w:val="000000"/>
          <w:sz w:val="20"/>
          <w:szCs w:val="20"/>
        </w:rPr>
      </w:pPr>
      <w:r w:rsidRPr="00A55F33">
        <w:rPr>
          <w:rFonts w:ascii="Calibri" w:eastAsia="Times New Roman" w:hAnsi="Calibri" w:cs="Times New Roman"/>
          <w:color w:val="000000"/>
          <w:sz w:val="20"/>
          <w:szCs w:val="20"/>
        </w:rPr>
        <w:t>*</w:t>
      </w:r>
      <w:r>
        <w:rPr>
          <w:rFonts w:ascii="Calibri" w:eastAsia="Times New Roman" w:hAnsi="Calibri" w:cs="Times New Roman"/>
          <w:color w:val="000000"/>
          <w:sz w:val="20"/>
          <w:szCs w:val="20"/>
        </w:rPr>
        <w:t>* Volume 2 realization rates for HES-IE present an average that includes measure-level impacts for HES-IE SP2 and SP3 and whole-house impacts for SP1 and SP4.</w:t>
      </w:r>
    </w:p>
    <w:p w:rsidR="000A3F21" w:rsidRPr="000A3F21" w:rsidRDefault="000A3F21" w:rsidP="000A3F21">
      <w:pPr>
        <w:spacing w:after="0" w:line="240" w:lineRule="auto"/>
        <w:ind w:left="90" w:hanging="90"/>
        <w:rPr>
          <w:rFonts w:ascii="Calibri" w:eastAsia="Times New Roman" w:hAnsi="Calibri" w:cs="Times New Roman"/>
          <w:color w:val="000000"/>
          <w:sz w:val="20"/>
          <w:szCs w:val="20"/>
        </w:rPr>
      </w:pPr>
    </w:p>
    <w:p w:rsidR="00DB26A6" w:rsidRDefault="00A80B46" w:rsidP="00DB26A6">
      <w:r w:rsidDel="00DB26A6">
        <w:t>T</w:t>
      </w:r>
      <w:r w:rsidR="000A3F21" w:rsidDel="00DB26A6">
        <w:t xml:space="preserve">he Evaluation Team recommends using whole-house billing analysis realization rates for estimating electric savings and measure-level realization rates for estimated gas savings, with the exception of HES-IE SP1 and SP4 </w:t>
      </w:r>
      <w:r w:rsidDel="00DB26A6">
        <w:t xml:space="preserve">for </w:t>
      </w:r>
      <w:r w:rsidR="000A3F21" w:rsidDel="00DB26A6">
        <w:t>which whole-house billing analysis realization rates</w:t>
      </w:r>
      <w:r w:rsidDel="00DB26A6">
        <w:t xml:space="preserve"> are all that </w:t>
      </w:r>
      <w:r w:rsidR="005004E6" w:rsidDel="00DB26A6">
        <w:t>are</w:t>
      </w:r>
      <w:r w:rsidDel="00DB26A6">
        <w:t xml:space="preserve"> available</w:t>
      </w:r>
      <w:r w:rsidR="000A3F21" w:rsidDel="00DB26A6">
        <w:t>. The combined report will present findings from both analytical approaches</w:t>
      </w:r>
      <w:r w:rsidR="009E7722">
        <w:t>.</w:t>
      </w:r>
    </w:p>
    <w:p w:rsidR="00DB26A6" w:rsidRPr="00AE3F1B" w:rsidRDefault="00DB26A6" w:rsidP="00AE3F1B"/>
    <w:p w:rsidR="00F60646" w:rsidRDefault="00F60646" w:rsidP="00F60646">
      <w:pPr>
        <w:pStyle w:val="Heading1"/>
      </w:pPr>
      <w:bookmarkStart w:id="3" w:name="_Toc389663827"/>
      <w:r>
        <w:lastRenderedPageBreak/>
        <w:t>Executive Summary: Volume 2</w:t>
      </w:r>
      <w:bookmarkEnd w:id="3"/>
    </w:p>
    <w:p w:rsidR="00273C6E" w:rsidRDefault="00E716B9" w:rsidP="00E716B9">
      <w:r w:rsidRPr="00446568">
        <w:t xml:space="preserve">The Connecticut Energy Efficiency Board (EEB) </w:t>
      </w:r>
      <w:r w:rsidR="00364A8D">
        <w:t xml:space="preserve">requires </w:t>
      </w:r>
      <w:r w:rsidRPr="00446568">
        <w:t>an impact evaluation of the Home Energy Services (HES) and Home Energy Services-Income Eligible (HES-IE) programs</w:t>
      </w:r>
      <w:r>
        <w:t xml:space="preserve"> offered by these Connecticut utilities</w:t>
      </w:r>
      <w:r w:rsidR="00174C19">
        <w:t xml:space="preserve">: </w:t>
      </w:r>
      <w:r>
        <w:t xml:space="preserve">Connecticut Light </w:t>
      </w:r>
      <w:r w:rsidR="00950DD4">
        <w:t xml:space="preserve">&amp; Power </w:t>
      </w:r>
      <w:r>
        <w:t>(CL</w:t>
      </w:r>
      <w:r w:rsidR="00950DD4">
        <w:t>&amp;P</w:t>
      </w:r>
      <w:r>
        <w:t>), The United Illuminating Company (UI), Connecticut Natural Gas (CNG), Southern Connecticut Gas (SCG), and Yankee Gas Services Company (YGS)</w:t>
      </w:r>
      <w:r w:rsidRPr="00446568">
        <w:t xml:space="preserve">. </w:t>
      </w:r>
      <w:r w:rsidR="00364A8D" w:rsidRPr="00446568">
        <w:t xml:space="preserve">The </w:t>
      </w:r>
      <w:r w:rsidR="006879C9">
        <w:t xml:space="preserve">impact evaluation’s </w:t>
      </w:r>
      <w:r w:rsidR="00364A8D" w:rsidRPr="00446568">
        <w:t xml:space="preserve">objective </w:t>
      </w:r>
      <w:r w:rsidR="00364A8D">
        <w:t xml:space="preserve">is </w:t>
      </w:r>
      <w:r w:rsidR="00364A8D" w:rsidRPr="00446568">
        <w:t xml:space="preserve">to </w:t>
      </w:r>
      <w:r w:rsidR="00364A8D">
        <w:t xml:space="preserve">provide evaluated </w:t>
      </w:r>
      <w:r w:rsidR="00364A8D" w:rsidRPr="00446568">
        <w:t>estimate</w:t>
      </w:r>
      <w:r w:rsidR="00364A8D">
        <w:t>s</w:t>
      </w:r>
      <w:r w:rsidR="00364A8D" w:rsidRPr="00446568">
        <w:t xml:space="preserve"> </w:t>
      </w:r>
      <w:r w:rsidR="00364A8D">
        <w:t xml:space="preserve">of </w:t>
      </w:r>
      <w:r w:rsidR="00364A8D" w:rsidRPr="00446568">
        <w:t>the energy and demand savings associated with measures installed through the</w:t>
      </w:r>
      <w:r w:rsidR="00364A8D">
        <w:t>se</w:t>
      </w:r>
      <w:r w:rsidR="00364A8D" w:rsidRPr="00446568">
        <w:t xml:space="preserve"> programs.</w:t>
      </w:r>
      <w:r w:rsidR="00DE1457">
        <w:t xml:space="preserve"> </w:t>
      </w:r>
      <w:r w:rsidR="00364A8D">
        <w:t xml:space="preserve">The NMR Group and </w:t>
      </w:r>
      <w:r w:rsidR="006879C9">
        <w:t xml:space="preserve">Cadmus, </w:t>
      </w:r>
      <w:r w:rsidR="00364A8D">
        <w:t xml:space="preserve">its subcontractor, (collectively known as the Evaluation Team) </w:t>
      </w:r>
      <w:r w:rsidR="006879C9">
        <w:t>were</w:t>
      </w:r>
      <w:r w:rsidR="00364A8D">
        <w:t xml:space="preserve"> selected to conduct this </w:t>
      </w:r>
      <w:r w:rsidR="006879C9">
        <w:t>evaluation</w:t>
      </w:r>
      <w:r w:rsidR="00364A8D">
        <w:t>.</w:t>
      </w:r>
    </w:p>
    <w:p w:rsidR="00E716B9" w:rsidRPr="00F6764F" w:rsidRDefault="00E716B9" w:rsidP="00E716B9">
      <w:r w:rsidRPr="00446568">
        <w:t xml:space="preserve">This report </w:t>
      </w:r>
      <w:r>
        <w:t xml:space="preserve">describes </w:t>
      </w:r>
      <w:r w:rsidRPr="00446568">
        <w:t xml:space="preserve">the impact evaluation findings </w:t>
      </w:r>
      <w:r w:rsidR="00174C19">
        <w:t>for</w:t>
      </w:r>
      <w:r w:rsidRPr="00446568">
        <w:t xml:space="preserve"> the </w:t>
      </w:r>
      <w:r w:rsidR="00E7041D">
        <w:t xml:space="preserve">program year </w:t>
      </w:r>
      <w:r w:rsidRPr="00446568">
        <w:t>2011</w:t>
      </w:r>
      <w:r w:rsidR="00E7041D">
        <w:t xml:space="preserve"> </w:t>
      </w:r>
      <w:r w:rsidRPr="00446568">
        <w:t xml:space="preserve">HES and HES-IE programs. </w:t>
      </w:r>
      <w:r w:rsidR="00364A8D" w:rsidRPr="00F6764F">
        <w:t xml:space="preserve">Volume 1 of </w:t>
      </w:r>
      <w:r w:rsidR="006879C9">
        <w:t>the</w:t>
      </w:r>
      <w:r w:rsidR="00364A8D" w:rsidRPr="00F6764F">
        <w:t xml:space="preserve"> document provides the results of a whole-house billing analysis to estimate average participant (household-level) electric and natural gas impacts. Volume 2 includes a measure-level </w:t>
      </w:r>
      <w:r w:rsidRPr="00F6764F">
        <w:t>impact evaluation</w:t>
      </w:r>
      <w:r w:rsidR="00364A8D" w:rsidRPr="00F6764F">
        <w:t>, providing estimates of</w:t>
      </w:r>
      <w:r w:rsidRPr="00F6764F">
        <w:t xml:space="preserve"> per-unit savings for measures offered through the HES and HES-IE programs, </w:t>
      </w:r>
      <w:r w:rsidR="006879C9">
        <w:t xml:space="preserve">and </w:t>
      </w:r>
      <w:r w:rsidRPr="00F6764F">
        <w:t>using an array of evaluation tasks</w:t>
      </w:r>
      <w:r w:rsidR="0083721F" w:rsidRPr="00F6764F">
        <w:t>,</w:t>
      </w:r>
      <w:r w:rsidRPr="00F6764F">
        <w:t xml:space="preserve"> such as billing analysis, calibrated simulation modeling, and engineering analyses. </w:t>
      </w:r>
      <w:r w:rsidR="00852EAD">
        <w:t xml:space="preserve">Volume 2 also includes a whole-house billing analysis </w:t>
      </w:r>
      <w:r w:rsidR="006879C9">
        <w:t xml:space="preserve">that </w:t>
      </w:r>
      <w:r w:rsidR="00852EAD">
        <w:t>estimat</w:t>
      </w:r>
      <w:r w:rsidR="006879C9">
        <w:t>es</w:t>
      </w:r>
      <w:r w:rsidR="00852EAD">
        <w:t xml:space="preserve"> the electric and gas energy impacts of several HES-IE subprograms.</w:t>
      </w:r>
    </w:p>
    <w:p w:rsidR="007872D4" w:rsidRDefault="007872D4" w:rsidP="007872D4">
      <w:pPr>
        <w:pStyle w:val="Heading2"/>
      </w:pPr>
      <w:bookmarkStart w:id="4" w:name="_Toc389663828"/>
      <w:r>
        <w:t>Program Overview</w:t>
      </w:r>
      <w:bookmarkEnd w:id="4"/>
    </w:p>
    <w:p w:rsidR="003F255A" w:rsidRDefault="007872D4" w:rsidP="007872D4">
      <w:r w:rsidRPr="00EB4ED1">
        <w:t>Through the HES program, the majority of homes receive a set of core measures</w:t>
      </w:r>
      <w:r w:rsidR="003F255A">
        <w:t>,</w:t>
      </w:r>
      <w:r w:rsidRPr="00EB4ED1">
        <w:t xml:space="preserve"> installed at the time of an in-home audit</w:t>
      </w:r>
      <w:r w:rsidR="003F255A">
        <w:t xml:space="preserve">. These measures include: </w:t>
      </w:r>
      <w:r w:rsidRPr="00EB4ED1">
        <w:t xml:space="preserve">compact fluorescent light bulbs (CFLs), hot-water savings measures (e.g., faucet aerators, low-flow showerheads), and air and duct sealing. After this initial audit, participants </w:t>
      </w:r>
      <w:r w:rsidR="003F255A">
        <w:t xml:space="preserve">have an </w:t>
      </w:r>
      <w:r w:rsidRPr="00EB4ED1">
        <w:t xml:space="preserve">option </w:t>
      </w:r>
      <w:r w:rsidR="003F255A">
        <w:t xml:space="preserve">to </w:t>
      </w:r>
      <w:r w:rsidRPr="00EB4ED1">
        <w:t xml:space="preserve">install other measures with HES rebates, including insulation and equipment replacements (appliances and HVAC). </w:t>
      </w:r>
    </w:p>
    <w:p w:rsidR="007872D4" w:rsidRPr="00EB4ED1" w:rsidRDefault="007872D4" w:rsidP="007872D4">
      <w:r w:rsidRPr="00EB4ED1">
        <w:t xml:space="preserve">While the 2011 HES participants </w:t>
      </w:r>
      <w:r w:rsidR="003F255A">
        <w:t xml:space="preserve">achieved </w:t>
      </w:r>
      <w:r w:rsidRPr="00EB4ED1">
        <w:t xml:space="preserve">high installation rates </w:t>
      </w:r>
      <w:r w:rsidR="003F255A">
        <w:t>for</w:t>
      </w:r>
      <w:r w:rsidRPr="00EB4ED1">
        <w:t xml:space="preserve"> these core measures, insulation, HVAC upgrades, and appliance replacements </w:t>
      </w:r>
      <w:r w:rsidR="003F255A">
        <w:t>exhibited low installation rates</w:t>
      </w:r>
      <w:r w:rsidRPr="00EB4ED1">
        <w:t xml:space="preserve">. </w:t>
      </w:r>
    </w:p>
    <w:p w:rsidR="003F255A" w:rsidRDefault="007872D4" w:rsidP="00E716B9">
      <w:r w:rsidRPr="00EB4ED1">
        <w:t xml:space="preserve">The HES-IE program </w:t>
      </w:r>
      <w:r w:rsidR="003F255A">
        <w:t xml:space="preserve">follows </w:t>
      </w:r>
      <w:r w:rsidRPr="00EB4ED1">
        <w:t xml:space="preserve">a similar structure, with the majority of homes receiving a similar set of core measures. </w:t>
      </w:r>
      <w:r w:rsidR="00033AD2">
        <w:t>T</w:t>
      </w:r>
      <w:r w:rsidR="003F255A">
        <w:t xml:space="preserve">he program primarily differs in </w:t>
      </w:r>
      <w:r w:rsidRPr="00EB4ED1">
        <w:t xml:space="preserve">that add-on measures (identified as audit recommendations) are installed in HES-IE homes at no cost to the participant (although landlords often are subject to </w:t>
      </w:r>
      <w:r w:rsidR="003F255A">
        <w:br/>
      </w:r>
      <w:r w:rsidRPr="00EB4ED1">
        <w:t xml:space="preserve">co-pays). </w:t>
      </w:r>
    </w:p>
    <w:p w:rsidR="007872D4" w:rsidRPr="007872D4" w:rsidRDefault="007872D4" w:rsidP="00E716B9">
      <w:r w:rsidRPr="00EB4ED1">
        <w:t xml:space="preserve">Along with these core measures, 2011 HES-IE participants received higher rates of insulation and heating system upgrades (e.g., ductless heat pumps) than </w:t>
      </w:r>
      <w:r w:rsidR="003F255A">
        <w:t xml:space="preserve">those </w:t>
      </w:r>
      <w:r w:rsidRPr="00EB4ED1">
        <w:t>in the HES program.</w:t>
      </w:r>
      <w:r w:rsidR="00DE1457">
        <w:t xml:space="preserve"> </w:t>
      </w:r>
    </w:p>
    <w:p w:rsidR="00E716B9" w:rsidRDefault="00E716B9" w:rsidP="00E716B9">
      <w:pPr>
        <w:pStyle w:val="Heading2"/>
      </w:pPr>
      <w:bookmarkStart w:id="5" w:name="_Ref384045865"/>
      <w:bookmarkStart w:id="6" w:name="_Toc389663829"/>
      <w:r>
        <w:t>Methodology</w:t>
      </w:r>
      <w:bookmarkEnd w:id="5"/>
      <w:bookmarkEnd w:id="6"/>
    </w:p>
    <w:p w:rsidR="00056305" w:rsidRDefault="00056305" w:rsidP="003A300E">
      <w:pPr>
        <w:pStyle w:val="NormalBeforeList"/>
        <w:keepNext w:val="0"/>
      </w:pPr>
      <w:r>
        <w:t xml:space="preserve">The Evaluation Team assessed gross per-unit savings generated by each HES and HES-IE measure. These assessments used a combination of analytical approaches: (1) a billing analysis; and (2) an engineering analysis, including calibrated simulation modeling and </w:t>
      </w:r>
      <w:r w:rsidRPr="00C86B3F">
        <w:t xml:space="preserve">engineering algorithms. </w:t>
      </w:r>
    </w:p>
    <w:p w:rsidR="00056305" w:rsidRPr="00C86B3F" w:rsidRDefault="00056305" w:rsidP="003A300E">
      <w:pPr>
        <w:pStyle w:val="NormalBeforeList"/>
        <w:keepNext w:val="0"/>
      </w:pPr>
      <w:r>
        <w:lastRenderedPageBreak/>
        <w:t>B</w:t>
      </w:r>
      <w:r w:rsidRPr="00C86B3F">
        <w:t>rief description</w:t>
      </w:r>
      <w:r>
        <w:t>s</w:t>
      </w:r>
      <w:r w:rsidRPr="00C86B3F">
        <w:t xml:space="preserve"> of each </w:t>
      </w:r>
      <w:r>
        <w:t>of these approach follows</w:t>
      </w:r>
      <w:r w:rsidRPr="00C86B3F">
        <w:t xml:space="preserve">, </w:t>
      </w:r>
      <w:r>
        <w:t xml:space="preserve">with </w:t>
      </w:r>
      <w:r w:rsidRPr="00C86B3F">
        <w:t xml:space="preserve">significant detail provided in </w:t>
      </w:r>
      <w:r>
        <w:t xml:space="preserve">this report’s </w:t>
      </w:r>
      <w:r w:rsidRPr="00C86B3F">
        <w:t>body and appendices:</w:t>
      </w:r>
    </w:p>
    <w:p w:rsidR="00056305" w:rsidRPr="00C86B3F" w:rsidRDefault="00056305" w:rsidP="00056305">
      <w:pPr>
        <w:pStyle w:val="Bulletlevel1"/>
      </w:pPr>
      <w:r w:rsidRPr="00C86B3F">
        <w:rPr>
          <w:b/>
          <w:i/>
        </w:rPr>
        <w:t xml:space="preserve">Billing Analysis. </w:t>
      </w:r>
      <w:r w:rsidRPr="00C86B3F">
        <w:t>The Evaluation Team developed fixed-effects</w:t>
      </w:r>
      <w:r w:rsidR="000D1B93">
        <w:t>,</w:t>
      </w:r>
      <w:r w:rsidRPr="00C86B3F">
        <w:t xml:space="preserve"> savings regression models to estimate measure-level savings for measures installed through the HES and HES-IE programs.</w:t>
      </w:r>
      <w:r>
        <w:rPr>
          <w:rStyle w:val="FootnoteReference"/>
        </w:rPr>
        <w:footnoteReference w:id="3"/>
      </w:r>
      <w:r w:rsidRPr="00C86B3F">
        <w:t xml:space="preserve"> </w:t>
      </w:r>
      <w:r w:rsidR="000D1B93">
        <w:t>The developed w</w:t>
      </w:r>
      <w:r>
        <w:t xml:space="preserve">eather-normalized models incorporated detailed measure information from utility tracking data. </w:t>
      </w:r>
      <w:r w:rsidRPr="00C86B3F">
        <w:t xml:space="preserve">For the billing analysis, the </w:t>
      </w:r>
      <w:r>
        <w:t xml:space="preserve">Evaluation Team </w:t>
      </w:r>
      <w:r w:rsidRPr="00C86B3F">
        <w:t>utilize</w:t>
      </w:r>
      <w:r>
        <w:t>d</w:t>
      </w:r>
      <w:r w:rsidRPr="00C86B3F">
        <w:t xml:space="preserve"> a comparison group</w:t>
      </w:r>
      <w:r>
        <w:t>,</w:t>
      </w:r>
      <w:r w:rsidRPr="00C86B3F">
        <w:t xml:space="preserve"> composed of future HES and HES-IE participants (</w:t>
      </w:r>
      <w:r>
        <w:t xml:space="preserve">described </w:t>
      </w:r>
      <w:r w:rsidRPr="00C86B3F">
        <w:t xml:space="preserve">in more </w:t>
      </w:r>
      <w:r>
        <w:t>detail in this report’s Volume 1</w:t>
      </w:r>
      <w:r w:rsidRPr="00C86B3F">
        <w:t xml:space="preserve">) to test for </w:t>
      </w:r>
      <w:r>
        <w:t xml:space="preserve">exogenous effects or </w:t>
      </w:r>
      <w:r w:rsidRPr="00C86B3F">
        <w:t xml:space="preserve">macroeconomic factors that might have affected energy consumption between the pre- and post-periods. </w:t>
      </w:r>
    </w:p>
    <w:p w:rsidR="00056305" w:rsidRPr="00C86B3F" w:rsidRDefault="00056305" w:rsidP="00056305">
      <w:pPr>
        <w:pStyle w:val="Bulletlevel1"/>
      </w:pPr>
      <w:r w:rsidRPr="00C86B3F">
        <w:rPr>
          <w:b/>
          <w:i/>
        </w:rPr>
        <w:t>Engineering Analysis.</w:t>
      </w:r>
      <w:r w:rsidRPr="00C86B3F">
        <w:t xml:space="preserve"> The </w:t>
      </w:r>
      <w:r>
        <w:t xml:space="preserve">Evaluation Team </w:t>
      </w:r>
      <w:r w:rsidRPr="00C86B3F">
        <w:t>utilize</w:t>
      </w:r>
      <w:r>
        <w:t>d</w:t>
      </w:r>
      <w:r w:rsidRPr="00C86B3F">
        <w:t xml:space="preserve"> two engineering analysis approaches to estimate measure-specific savings for the most common fuel types (</w:t>
      </w:r>
      <w:r>
        <w:t xml:space="preserve">e.g., </w:t>
      </w:r>
      <w:r w:rsidRPr="00C86B3F">
        <w:t xml:space="preserve">electric, natural gas, propane, and heating oil). Both engineering approaches </w:t>
      </w:r>
      <w:r>
        <w:t xml:space="preserve">relied on </w:t>
      </w:r>
      <w:r w:rsidRPr="00C86B3F">
        <w:t xml:space="preserve">detailed measure </w:t>
      </w:r>
      <w:r>
        <w:t xml:space="preserve">information </w:t>
      </w:r>
      <w:r w:rsidRPr="00C86B3F">
        <w:t xml:space="preserve">and home characteristics </w:t>
      </w:r>
      <w:r>
        <w:t>from utility tracking data:</w:t>
      </w:r>
    </w:p>
    <w:p w:rsidR="00056305" w:rsidRPr="00C86B3F" w:rsidRDefault="00056305" w:rsidP="00056305">
      <w:pPr>
        <w:pStyle w:val="Bulletlevel2"/>
      </w:pPr>
      <w:r w:rsidRPr="00C86B3F">
        <w:t>For program measures known to generate interactive effects (</w:t>
      </w:r>
      <w:r>
        <w:t>e.g.,</w:t>
      </w:r>
      <w:r w:rsidRPr="00C86B3F" w:rsidDel="00C37680">
        <w:t xml:space="preserve"> </w:t>
      </w:r>
      <w:r w:rsidRPr="00C86B3F">
        <w:t>those increas</w:t>
      </w:r>
      <w:r>
        <w:t>ing</w:t>
      </w:r>
      <w:r w:rsidRPr="00C86B3F">
        <w:t xml:space="preserve"> or decreas</w:t>
      </w:r>
      <w:r>
        <w:t>ing</w:t>
      </w:r>
      <w:r w:rsidRPr="00C86B3F">
        <w:t xml:space="preserve"> the energy consumption of another end use</w:t>
      </w:r>
      <w:r>
        <w:t>, such as insulation</w:t>
      </w:r>
      <w:r w:rsidRPr="00C86B3F">
        <w:t xml:space="preserve">), the </w:t>
      </w:r>
      <w:r>
        <w:t xml:space="preserve">Evaluation Team </w:t>
      </w:r>
      <w:r w:rsidRPr="00C86B3F">
        <w:t>estimate</w:t>
      </w:r>
      <w:r>
        <w:t>d</w:t>
      </w:r>
      <w:r w:rsidRPr="00C86B3F">
        <w:t xml:space="preserve"> savings using a DOE-2-based simulation model, calibrated using average</w:t>
      </w:r>
      <w:r w:rsidR="000D1B93">
        <w:t>,</w:t>
      </w:r>
      <w:r w:rsidRPr="00C86B3F">
        <w:t xml:space="preserve"> pre-program energy consumption of HES and HES-IE participants. </w:t>
      </w:r>
    </w:p>
    <w:p w:rsidR="00056305" w:rsidRPr="00C86B3F" w:rsidRDefault="00056305" w:rsidP="00056305">
      <w:pPr>
        <w:pStyle w:val="Bulletlevel2-last"/>
      </w:pPr>
      <w:r w:rsidRPr="00C86B3F">
        <w:t xml:space="preserve">For measures not typically subject to interactive effects, the </w:t>
      </w:r>
      <w:r>
        <w:t xml:space="preserve">Evaluation Team </w:t>
      </w:r>
      <w:r w:rsidRPr="00C86B3F">
        <w:t>estimate</w:t>
      </w:r>
      <w:r>
        <w:t>d</w:t>
      </w:r>
      <w:r w:rsidRPr="00C86B3F">
        <w:t xml:space="preserve"> savings using standard industry engineering algorithms.</w:t>
      </w:r>
    </w:p>
    <w:p w:rsidR="00056305" w:rsidRDefault="00056305" w:rsidP="00056305">
      <w:r w:rsidRPr="00C86B3F">
        <w:t>The impact assessment var</w:t>
      </w:r>
      <w:r>
        <w:t>ied</w:t>
      </w:r>
      <w:r w:rsidRPr="00C86B3F">
        <w:t xml:space="preserve"> slightly per measure to calculate the most accurate savings value</w:t>
      </w:r>
      <w:r>
        <w:t>s</w:t>
      </w:r>
      <w:r w:rsidRPr="00C86B3F">
        <w:t xml:space="preserve">. </w:t>
      </w:r>
      <w:r>
        <w:t>A billing analysis captured</w:t>
      </w:r>
      <w:r w:rsidRPr="00C86B3F">
        <w:t xml:space="preserve"> </w:t>
      </w:r>
      <w:r>
        <w:t xml:space="preserve">participating homes’ </w:t>
      </w:r>
      <w:r w:rsidRPr="00C86B3F">
        <w:t xml:space="preserve">actual changes in energy consumption </w:t>
      </w:r>
      <w:r>
        <w:t xml:space="preserve">due to </w:t>
      </w:r>
      <w:r w:rsidRPr="00C86B3F">
        <w:t>energy-efficie</w:t>
      </w:r>
      <w:r>
        <w:t>ncy and behavioral improvements</w:t>
      </w:r>
      <w:r w:rsidRPr="00C86B3F">
        <w:t>.</w:t>
      </w:r>
      <w:r>
        <w:t xml:space="preserve"> </w:t>
      </w:r>
      <w:r w:rsidRPr="00C86B3F">
        <w:t xml:space="preserve">The </w:t>
      </w:r>
      <w:r>
        <w:t xml:space="preserve">report includes billing analysis </w:t>
      </w:r>
      <w:r w:rsidRPr="00C86B3F">
        <w:t xml:space="preserve">measure- and fuel-specific results </w:t>
      </w:r>
      <w:r>
        <w:t>whenever these met a precision threshold set at ±35% or less at the 90% confidence level</w:t>
      </w:r>
      <w:r w:rsidRPr="00C86B3F">
        <w:t>.</w:t>
      </w:r>
      <w:r>
        <w:t>)</w:t>
      </w:r>
      <w:r w:rsidRPr="00C86B3F">
        <w:rPr>
          <w:rStyle w:val="FootnoteReference"/>
          <w:sz w:val="20"/>
          <w:szCs w:val="20"/>
        </w:rPr>
        <w:footnoteReference w:id="4"/>
      </w:r>
      <w:r>
        <w:t xml:space="preserve"> The Evaluation Team derived savings for other measures using the engineering analysis.</w:t>
      </w:r>
      <w:r>
        <w:rPr>
          <w:rStyle w:val="FootnoteReference"/>
        </w:rPr>
        <w:footnoteReference w:id="5"/>
      </w:r>
      <w:r>
        <w:t xml:space="preserve"> </w:t>
      </w:r>
    </w:p>
    <w:p w:rsidR="00056305" w:rsidRPr="00C86B3F" w:rsidRDefault="005C2163" w:rsidP="00056305">
      <w:r>
        <w:fldChar w:fldCharType="begin"/>
      </w:r>
      <w:r w:rsidR="000D1B93">
        <w:instrText xml:space="preserve"> REF _Ref389465691 \h </w:instrText>
      </w:r>
      <w:r>
        <w:fldChar w:fldCharType="separate"/>
      </w:r>
      <w:r w:rsidR="00CD20CF">
        <w:t xml:space="preserve">Table </w:t>
      </w:r>
      <w:r w:rsidR="00CD20CF">
        <w:rPr>
          <w:noProof/>
        </w:rPr>
        <w:t>2</w:t>
      </w:r>
      <w:r>
        <w:fldChar w:fldCharType="end"/>
      </w:r>
      <w:r w:rsidR="00056305">
        <w:t xml:space="preserve"> and </w:t>
      </w:r>
      <w:r>
        <w:fldChar w:fldCharType="begin"/>
      </w:r>
      <w:r w:rsidR="000D1B93">
        <w:instrText xml:space="preserve"> REF _Ref389465699 \h </w:instrText>
      </w:r>
      <w:r>
        <w:fldChar w:fldCharType="separate"/>
      </w:r>
      <w:r w:rsidR="00CD20CF">
        <w:t xml:space="preserve">Table </w:t>
      </w:r>
      <w:r w:rsidR="00CD20CF">
        <w:rPr>
          <w:noProof/>
        </w:rPr>
        <w:t>3</w:t>
      </w:r>
      <w:r>
        <w:fldChar w:fldCharType="end"/>
      </w:r>
      <w:r w:rsidR="00056305">
        <w:t xml:space="preserve"> specify the approach used for each HES and HES-IE measure, per fuel type. The tables also provide the precision associated with each billing analysis-based savings estimate.</w:t>
      </w:r>
    </w:p>
    <w:p w:rsidR="00056305" w:rsidRDefault="00056305" w:rsidP="00056305">
      <w:pPr>
        <w:pStyle w:val="Caption"/>
      </w:pPr>
      <w:bookmarkStart w:id="7" w:name="_Ref389465691"/>
      <w:r>
        <w:lastRenderedPageBreak/>
        <w:t xml:space="preserve">Table </w:t>
      </w:r>
      <w:r w:rsidR="002506E1">
        <w:fldChar w:fldCharType="begin"/>
      </w:r>
      <w:r w:rsidR="002506E1">
        <w:instrText xml:space="preserve"> SEQ Table \* ARABIC </w:instrText>
      </w:r>
      <w:r w:rsidR="002506E1">
        <w:fldChar w:fldCharType="separate"/>
      </w:r>
      <w:r w:rsidR="00CD20CF">
        <w:rPr>
          <w:noProof/>
        </w:rPr>
        <w:t>2</w:t>
      </w:r>
      <w:r w:rsidR="002506E1">
        <w:rPr>
          <w:noProof/>
        </w:rPr>
        <w:fldChar w:fldCharType="end"/>
      </w:r>
      <w:bookmarkEnd w:id="7"/>
      <w:r>
        <w:t xml:space="preserve">. Methodological Approach to Calculating Savings by Measure and Primary Fuel Type—HES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170"/>
        <w:gridCol w:w="2178"/>
        <w:gridCol w:w="2070"/>
        <w:gridCol w:w="2070"/>
        <w:gridCol w:w="2088"/>
      </w:tblGrid>
      <w:tr w:rsidR="00056305" w:rsidRPr="00575029" w:rsidTr="000D1B93">
        <w:trPr>
          <w:tblHeader/>
        </w:trPr>
        <w:tc>
          <w:tcPr>
            <w:tcW w:w="611" w:type="pct"/>
            <w:vMerge w:val="restart"/>
            <w:shd w:val="clear" w:color="000000" w:fill="005DAA"/>
            <w:vAlign w:val="center"/>
            <w:hideMark/>
          </w:tcPr>
          <w:p w:rsidR="00056305" w:rsidRPr="00575029" w:rsidRDefault="00056305" w:rsidP="000D1B93">
            <w:pPr>
              <w:spacing w:after="0"/>
              <w:jc w:val="center"/>
              <w:rPr>
                <w:rFonts w:ascii="Calibri" w:eastAsia="Times New Roman" w:hAnsi="Calibri" w:cs="Times New Roman"/>
                <w:b/>
                <w:bCs/>
                <w:color w:val="FFFFFF"/>
              </w:rPr>
            </w:pPr>
            <w:r w:rsidRPr="00575029">
              <w:rPr>
                <w:rFonts w:ascii="Calibri" w:eastAsia="Times New Roman" w:hAnsi="Calibri" w:cs="Times New Roman"/>
                <w:b/>
                <w:bCs/>
                <w:color w:val="FFFFFF"/>
              </w:rPr>
              <w:t>Category</w:t>
            </w:r>
          </w:p>
        </w:tc>
        <w:tc>
          <w:tcPr>
            <w:tcW w:w="1137" w:type="pct"/>
            <w:vMerge w:val="restart"/>
            <w:shd w:val="clear" w:color="000000" w:fill="005DAA"/>
            <w:vAlign w:val="center"/>
            <w:hideMark/>
          </w:tcPr>
          <w:p w:rsidR="00056305" w:rsidRPr="00575029" w:rsidRDefault="00056305" w:rsidP="000D1B93">
            <w:pPr>
              <w:spacing w:after="0"/>
              <w:jc w:val="center"/>
              <w:rPr>
                <w:rFonts w:ascii="Calibri" w:eastAsia="Times New Roman" w:hAnsi="Calibri" w:cs="Times New Roman"/>
                <w:b/>
                <w:bCs/>
                <w:color w:val="FFFFFF"/>
              </w:rPr>
            </w:pPr>
            <w:r w:rsidRPr="00575029">
              <w:rPr>
                <w:rFonts w:ascii="Calibri" w:eastAsia="Times New Roman" w:hAnsi="Calibri" w:cs="Times New Roman"/>
                <w:b/>
                <w:bCs/>
                <w:color w:val="FFFFFF"/>
              </w:rPr>
              <w:t>Measure</w:t>
            </w:r>
          </w:p>
        </w:tc>
        <w:tc>
          <w:tcPr>
            <w:tcW w:w="3252" w:type="pct"/>
            <w:gridSpan w:val="3"/>
            <w:shd w:val="clear" w:color="000000" w:fill="005DAA"/>
            <w:vAlign w:val="center"/>
            <w:hideMark/>
          </w:tcPr>
          <w:p w:rsidR="00056305" w:rsidRPr="00575029" w:rsidRDefault="00056305" w:rsidP="000D1B93">
            <w:pPr>
              <w:spacing w:after="0"/>
              <w:jc w:val="center"/>
              <w:rPr>
                <w:rFonts w:ascii="Calibri" w:eastAsia="Times New Roman" w:hAnsi="Calibri" w:cs="Times New Roman"/>
                <w:b/>
                <w:bCs/>
                <w:color w:val="FFFFFF"/>
              </w:rPr>
            </w:pPr>
            <w:r w:rsidRPr="00575029">
              <w:rPr>
                <w:rFonts w:ascii="Calibri" w:eastAsia="Times New Roman" w:hAnsi="Calibri" w:cs="Times New Roman"/>
                <w:b/>
                <w:bCs/>
                <w:color w:val="FFFFFF"/>
              </w:rPr>
              <w:t>HES</w:t>
            </w:r>
          </w:p>
        </w:tc>
      </w:tr>
      <w:tr w:rsidR="00056305" w:rsidRPr="00575029" w:rsidTr="000D1B93">
        <w:trPr>
          <w:tblHeader/>
        </w:trPr>
        <w:tc>
          <w:tcPr>
            <w:tcW w:w="611" w:type="pct"/>
            <w:vMerge/>
            <w:vAlign w:val="center"/>
            <w:hideMark/>
          </w:tcPr>
          <w:p w:rsidR="00056305" w:rsidRPr="00575029" w:rsidRDefault="00056305" w:rsidP="000D1B93">
            <w:pPr>
              <w:spacing w:after="0"/>
              <w:jc w:val="center"/>
              <w:rPr>
                <w:rFonts w:ascii="Calibri" w:eastAsia="Times New Roman" w:hAnsi="Calibri" w:cs="Times New Roman"/>
                <w:b/>
                <w:bCs/>
                <w:color w:val="FFFFFF"/>
              </w:rPr>
            </w:pPr>
          </w:p>
        </w:tc>
        <w:tc>
          <w:tcPr>
            <w:tcW w:w="1137" w:type="pct"/>
            <w:vMerge/>
            <w:vAlign w:val="center"/>
            <w:hideMark/>
          </w:tcPr>
          <w:p w:rsidR="00056305" w:rsidRPr="00575029" w:rsidRDefault="00056305" w:rsidP="000D1B93">
            <w:pPr>
              <w:spacing w:after="0"/>
              <w:jc w:val="center"/>
              <w:rPr>
                <w:rFonts w:ascii="Calibri" w:eastAsia="Times New Roman" w:hAnsi="Calibri" w:cs="Times New Roman"/>
                <w:b/>
                <w:bCs/>
                <w:color w:val="FFFFFF"/>
              </w:rPr>
            </w:pPr>
          </w:p>
        </w:tc>
        <w:tc>
          <w:tcPr>
            <w:tcW w:w="1081" w:type="pct"/>
            <w:shd w:val="clear" w:color="000000" w:fill="005DAA"/>
            <w:vAlign w:val="center"/>
            <w:hideMark/>
          </w:tcPr>
          <w:p w:rsidR="00056305" w:rsidRPr="00575029" w:rsidRDefault="00056305" w:rsidP="000D1B93">
            <w:pPr>
              <w:spacing w:after="0"/>
              <w:jc w:val="center"/>
              <w:rPr>
                <w:rFonts w:ascii="Calibri" w:eastAsia="Times New Roman" w:hAnsi="Calibri" w:cs="Times New Roman"/>
                <w:b/>
                <w:bCs/>
                <w:color w:val="FFFFFF"/>
              </w:rPr>
            </w:pPr>
            <w:r w:rsidRPr="00575029">
              <w:rPr>
                <w:rFonts w:ascii="Calibri" w:eastAsia="Times New Roman" w:hAnsi="Calibri" w:cs="Times New Roman"/>
                <w:b/>
                <w:bCs/>
                <w:color w:val="FFFFFF"/>
              </w:rPr>
              <w:t>Electric</w:t>
            </w:r>
          </w:p>
        </w:tc>
        <w:tc>
          <w:tcPr>
            <w:tcW w:w="1081" w:type="pct"/>
            <w:shd w:val="clear" w:color="000000" w:fill="005DAA"/>
            <w:vAlign w:val="center"/>
            <w:hideMark/>
          </w:tcPr>
          <w:p w:rsidR="00056305" w:rsidRPr="00575029" w:rsidRDefault="00056305" w:rsidP="000D1B93">
            <w:pPr>
              <w:spacing w:after="0"/>
              <w:jc w:val="center"/>
              <w:rPr>
                <w:rFonts w:ascii="Calibri" w:eastAsia="Times New Roman" w:hAnsi="Calibri" w:cs="Times New Roman"/>
                <w:b/>
                <w:bCs/>
                <w:color w:val="FFFFFF"/>
              </w:rPr>
            </w:pPr>
            <w:r w:rsidRPr="00575029">
              <w:rPr>
                <w:rFonts w:ascii="Calibri" w:eastAsia="Times New Roman" w:hAnsi="Calibri" w:cs="Times New Roman"/>
                <w:b/>
                <w:bCs/>
                <w:color w:val="FFFFFF"/>
              </w:rPr>
              <w:t>Gas</w:t>
            </w:r>
          </w:p>
        </w:tc>
        <w:tc>
          <w:tcPr>
            <w:tcW w:w="1090" w:type="pct"/>
            <w:shd w:val="clear" w:color="000000" w:fill="005DAA"/>
            <w:vAlign w:val="center"/>
            <w:hideMark/>
          </w:tcPr>
          <w:p w:rsidR="00056305" w:rsidRPr="00575029" w:rsidRDefault="00056305" w:rsidP="000D1B93">
            <w:pPr>
              <w:spacing w:after="0"/>
              <w:jc w:val="center"/>
              <w:rPr>
                <w:rFonts w:ascii="Calibri" w:eastAsia="Times New Roman" w:hAnsi="Calibri" w:cs="Times New Roman"/>
                <w:b/>
                <w:bCs/>
                <w:color w:val="FFFFFF"/>
              </w:rPr>
            </w:pPr>
            <w:r w:rsidRPr="00575029">
              <w:rPr>
                <w:rFonts w:ascii="Calibri" w:eastAsia="Times New Roman" w:hAnsi="Calibri" w:cs="Times New Roman"/>
                <w:b/>
                <w:bCs/>
                <w:color w:val="FFFFFF"/>
              </w:rPr>
              <w:t>Oil/Propane</w:t>
            </w:r>
          </w:p>
        </w:tc>
      </w:tr>
      <w:tr w:rsidR="00056305" w:rsidRPr="00575029" w:rsidTr="000D1B93">
        <w:tc>
          <w:tcPr>
            <w:tcW w:w="611" w:type="pct"/>
            <w:vMerge w:val="restar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Appliance</w:t>
            </w:r>
          </w:p>
        </w:tc>
        <w:tc>
          <w:tcPr>
            <w:tcW w:w="1137"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Clothes Washer</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AC4A51">
              <w:rPr>
                <w:rFonts w:ascii="Calibri" w:eastAsia="Times New Roman" w:hAnsi="Calibri" w:cs="Times New Roman"/>
                <w:color w:val="000000"/>
                <w:sz w:val="20"/>
                <w:szCs w:val="20"/>
              </w:rPr>
              <w:t>–</w:t>
            </w:r>
          </w:p>
        </w:tc>
      </w:tr>
      <w:tr w:rsidR="00056305" w:rsidRPr="00575029" w:rsidTr="000D1B93">
        <w:tc>
          <w:tcPr>
            <w:tcW w:w="611" w:type="pct"/>
            <w:vMerge/>
            <w:vAlign w:val="center"/>
            <w:hideMark/>
          </w:tcPr>
          <w:p w:rsidR="00056305" w:rsidRPr="00575029" w:rsidRDefault="00056305" w:rsidP="000D1B93">
            <w:pPr>
              <w:spacing w:after="0"/>
              <w:rPr>
                <w:rFonts w:ascii="Calibri" w:eastAsia="Times New Roman" w:hAnsi="Calibri" w:cs="Times New Roman"/>
                <w:color w:val="000000"/>
                <w:sz w:val="20"/>
                <w:szCs w:val="20"/>
              </w:rPr>
            </w:pPr>
          </w:p>
        </w:tc>
        <w:tc>
          <w:tcPr>
            <w:tcW w:w="1137"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Dehumidifier</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AC4A51">
              <w:rPr>
                <w:rFonts w:ascii="Calibri" w:eastAsia="Times New Roman" w:hAnsi="Calibri" w:cs="Times New Roman"/>
                <w:color w:val="000000"/>
                <w:sz w:val="20"/>
                <w:szCs w:val="20"/>
              </w:rPr>
              <w:t>–</w:t>
            </w:r>
          </w:p>
        </w:tc>
      </w:tr>
      <w:tr w:rsidR="00056305" w:rsidRPr="00575029" w:rsidTr="000D1B93">
        <w:tc>
          <w:tcPr>
            <w:tcW w:w="611" w:type="pct"/>
            <w:vMerge/>
            <w:vAlign w:val="center"/>
            <w:hideMark/>
          </w:tcPr>
          <w:p w:rsidR="00056305" w:rsidRPr="00575029" w:rsidRDefault="00056305" w:rsidP="000D1B93">
            <w:pPr>
              <w:spacing w:after="0"/>
              <w:rPr>
                <w:rFonts w:ascii="Calibri" w:eastAsia="Times New Roman" w:hAnsi="Calibri" w:cs="Times New Roman"/>
                <w:color w:val="000000"/>
                <w:sz w:val="20"/>
                <w:szCs w:val="20"/>
              </w:rPr>
            </w:pPr>
          </w:p>
        </w:tc>
        <w:tc>
          <w:tcPr>
            <w:tcW w:w="1137"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Freezer</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A808BB">
              <w:rPr>
                <w:rFonts w:ascii="Calibri" w:eastAsia="Times New Roman" w:hAnsi="Calibri" w:cs="Times New Roman"/>
                <w:color w:val="000000"/>
                <w:sz w:val="20"/>
                <w:szCs w:val="20"/>
              </w:rPr>
              <w:t>–</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AC4A51">
              <w:rPr>
                <w:rFonts w:ascii="Calibri" w:eastAsia="Times New Roman" w:hAnsi="Calibri" w:cs="Times New Roman"/>
                <w:color w:val="000000"/>
                <w:sz w:val="20"/>
                <w:szCs w:val="20"/>
              </w:rPr>
              <w:t>–</w:t>
            </w:r>
          </w:p>
        </w:tc>
      </w:tr>
      <w:tr w:rsidR="00056305" w:rsidRPr="00575029" w:rsidTr="000D1B93">
        <w:tc>
          <w:tcPr>
            <w:tcW w:w="611" w:type="pct"/>
            <w:vMerge/>
            <w:vAlign w:val="center"/>
            <w:hideMark/>
          </w:tcPr>
          <w:p w:rsidR="00056305" w:rsidRPr="00575029" w:rsidRDefault="00056305" w:rsidP="000D1B93">
            <w:pPr>
              <w:spacing w:after="0"/>
              <w:rPr>
                <w:rFonts w:ascii="Calibri" w:eastAsia="Times New Roman" w:hAnsi="Calibri" w:cs="Times New Roman"/>
                <w:color w:val="000000"/>
                <w:sz w:val="20"/>
                <w:szCs w:val="20"/>
              </w:rPr>
            </w:pPr>
          </w:p>
        </w:tc>
        <w:tc>
          <w:tcPr>
            <w:tcW w:w="1137"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Refrigerator</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A808BB">
              <w:rPr>
                <w:rFonts w:ascii="Calibri" w:eastAsia="Times New Roman" w:hAnsi="Calibri" w:cs="Times New Roman"/>
                <w:color w:val="000000"/>
                <w:sz w:val="20"/>
                <w:szCs w:val="20"/>
              </w:rPr>
              <w:t>–</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AC4A51">
              <w:rPr>
                <w:rFonts w:ascii="Calibri" w:eastAsia="Times New Roman" w:hAnsi="Calibri" w:cs="Times New Roman"/>
                <w:color w:val="000000"/>
                <w:sz w:val="20"/>
                <w:szCs w:val="20"/>
              </w:rPr>
              <w:t>–</w:t>
            </w:r>
          </w:p>
        </w:tc>
      </w:tr>
      <w:tr w:rsidR="00056305" w:rsidRPr="00575029" w:rsidTr="000D1B93">
        <w:tc>
          <w:tcPr>
            <w:tcW w:w="611" w:type="pct"/>
            <w:vMerge/>
            <w:vAlign w:val="center"/>
            <w:hideMark/>
          </w:tcPr>
          <w:p w:rsidR="00056305" w:rsidRPr="00575029" w:rsidRDefault="00056305" w:rsidP="000D1B93">
            <w:pPr>
              <w:spacing w:after="0"/>
              <w:rPr>
                <w:rFonts w:ascii="Calibri" w:eastAsia="Times New Roman" w:hAnsi="Calibri" w:cs="Times New Roman"/>
                <w:color w:val="000000"/>
                <w:sz w:val="20"/>
                <w:szCs w:val="20"/>
              </w:rPr>
            </w:pPr>
          </w:p>
        </w:tc>
        <w:tc>
          <w:tcPr>
            <w:tcW w:w="1137"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Appliance Other*</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 xml:space="preserve">Reported </w:t>
            </w:r>
            <w:r w:rsidRPr="006E6279">
              <w:rPr>
                <w:rFonts w:ascii="Calibri" w:eastAsia="Times New Roman" w:hAnsi="Calibri" w:cs="Times New Roman"/>
                <w:i/>
                <w:color w:val="000000"/>
                <w:sz w:val="20"/>
                <w:szCs w:val="20"/>
              </w:rPr>
              <w:t>Ex Ante</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A808BB">
              <w:rPr>
                <w:rFonts w:ascii="Calibri" w:eastAsia="Times New Roman" w:hAnsi="Calibri" w:cs="Times New Roman"/>
                <w:color w:val="000000"/>
                <w:sz w:val="20"/>
                <w:szCs w:val="20"/>
              </w:rPr>
              <w:t>–</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AC4A51">
              <w:rPr>
                <w:rFonts w:ascii="Calibri" w:eastAsia="Times New Roman" w:hAnsi="Calibri" w:cs="Times New Roman"/>
                <w:color w:val="000000"/>
                <w:sz w:val="20"/>
                <w:szCs w:val="20"/>
              </w:rPr>
              <w:t>–</w:t>
            </w:r>
          </w:p>
        </w:tc>
      </w:tr>
      <w:tr w:rsidR="00056305" w:rsidRPr="00575029" w:rsidTr="000D1B93">
        <w:tc>
          <w:tcPr>
            <w:tcW w:w="611" w:type="pct"/>
            <w:vMerge w:val="restar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HVAC</w:t>
            </w:r>
          </w:p>
        </w:tc>
        <w:tc>
          <w:tcPr>
            <w:tcW w:w="1137"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Central AC</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A808BB">
              <w:rPr>
                <w:rFonts w:ascii="Calibri" w:eastAsia="Times New Roman" w:hAnsi="Calibri" w:cs="Times New Roman"/>
                <w:color w:val="000000"/>
                <w:sz w:val="20"/>
                <w:szCs w:val="20"/>
              </w:rPr>
              <w:t>–</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AC4A51">
              <w:rPr>
                <w:rFonts w:ascii="Calibri" w:eastAsia="Times New Roman" w:hAnsi="Calibri" w:cs="Times New Roman"/>
                <w:color w:val="000000"/>
                <w:sz w:val="20"/>
                <w:szCs w:val="20"/>
              </w:rPr>
              <w:t>–</w:t>
            </w:r>
          </w:p>
        </w:tc>
      </w:tr>
      <w:tr w:rsidR="00056305" w:rsidRPr="00575029" w:rsidTr="000D1B93">
        <w:tc>
          <w:tcPr>
            <w:tcW w:w="611" w:type="pct"/>
            <w:vMerge/>
            <w:vAlign w:val="center"/>
            <w:hideMark/>
          </w:tcPr>
          <w:p w:rsidR="00056305" w:rsidRPr="00575029" w:rsidRDefault="00056305" w:rsidP="000D1B93">
            <w:pPr>
              <w:spacing w:after="0"/>
              <w:rPr>
                <w:rFonts w:ascii="Calibri" w:eastAsia="Times New Roman" w:hAnsi="Calibri" w:cs="Times New Roman"/>
                <w:color w:val="000000"/>
                <w:sz w:val="20"/>
                <w:szCs w:val="20"/>
              </w:rPr>
            </w:pPr>
          </w:p>
        </w:tc>
        <w:tc>
          <w:tcPr>
            <w:tcW w:w="1137"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Duct Sealing</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 Modeling</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 Modeling</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 Modeling</w:t>
            </w:r>
          </w:p>
        </w:tc>
      </w:tr>
      <w:tr w:rsidR="00056305" w:rsidRPr="00575029" w:rsidTr="000D1B93">
        <w:tc>
          <w:tcPr>
            <w:tcW w:w="611" w:type="pct"/>
            <w:vMerge/>
            <w:vAlign w:val="center"/>
            <w:hideMark/>
          </w:tcPr>
          <w:p w:rsidR="00056305" w:rsidRPr="00575029" w:rsidRDefault="00056305" w:rsidP="000D1B93">
            <w:pPr>
              <w:spacing w:after="0"/>
              <w:rPr>
                <w:rFonts w:ascii="Calibri" w:eastAsia="Times New Roman" w:hAnsi="Calibri" w:cs="Times New Roman"/>
                <w:color w:val="000000"/>
                <w:sz w:val="20"/>
                <w:szCs w:val="20"/>
              </w:rPr>
            </w:pPr>
          </w:p>
        </w:tc>
        <w:tc>
          <w:tcPr>
            <w:tcW w:w="1137"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Ductless Heat Pump</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(±35%)</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920BCB">
              <w:rPr>
                <w:rFonts w:ascii="Calibri" w:eastAsia="Times New Roman" w:hAnsi="Calibri" w:cs="Times New Roman"/>
                <w:color w:val="000000"/>
                <w:sz w:val="20"/>
                <w:szCs w:val="20"/>
              </w:rPr>
              <w:t>–</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160953">
              <w:rPr>
                <w:rFonts w:ascii="Calibri" w:eastAsia="Times New Roman" w:hAnsi="Calibri" w:cs="Times New Roman"/>
                <w:color w:val="000000"/>
                <w:sz w:val="20"/>
                <w:szCs w:val="20"/>
              </w:rPr>
              <w:t>–</w:t>
            </w:r>
          </w:p>
        </w:tc>
      </w:tr>
      <w:tr w:rsidR="00056305" w:rsidRPr="00575029" w:rsidTr="000D1B93">
        <w:tc>
          <w:tcPr>
            <w:tcW w:w="611" w:type="pct"/>
            <w:vMerge/>
            <w:vAlign w:val="center"/>
            <w:hideMark/>
          </w:tcPr>
          <w:p w:rsidR="00056305" w:rsidRPr="00575029" w:rsidRDefault="00056305" w:rsidP="000D1B93">
            <w:pPr>
              <w:spacing w:after="0"/>
              <w:rPr>
                <w:rFonts w:ascii="Calibri" w:eastAsia="Times New Roman" w:hAnsi="Calibri" w:cs="Times New Roman"/>
                <w:color w:val="000000"/>
                <w:sz w:val="20"/>
                <w:szCs w:val="20"/>
              </w:rPr>
            </w:pPr>
          </w:p>
        </w:tc>
        <w:tc>
          <w:tcPr>
            <w:tcW w:w="1137"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Ground-Source Heat Pump</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920BCB">
              <w:rPr>
                <w:rFonts w:ascii="Calibri" w:eastAsia="Times New Roman" w:hAnsi="Calibri" w:cs="Times New Roman"/>
                <w:color w:val="000000"/>
                <w:sz w:val="20"/>
                <w:szCs w:val="20"/>
              </w:rPr>
              <w:t>–</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160953">
              <w:rPr>
                <w:rFonts w:ascii="Calibri" w:eastAsia="Times New Roman" w:hAnsi="Calibri" w:cs="Times New Roman"/>
                <w:color w:val="000000"/>
                <w:sz w:val="20"/>
                <w:szCs w:val="20"/>
              </w:rPr>
              <w:t>–</w:t>
            </w:r>
          </w:p>
        </w:tc>
      </w:tr>
      <w:tr w:rsidR="00056305" w:rsidRPr="00575029" w:rsidTr="000D1B93">
        <w:tc>
          <w:tcPr>
            <w:tcW w:w="611" w:type="pct"/>
            <w:vMerge/>
            <w:vAlign w:val="center"/>
            <w:hideMark/>
          </w:tcPr>
          <w:p w:rsidR="00056305" w:rsidRPr="00575029" w:rsidRDefault="00056305" w:rsidP="000D1B93">
            <w:pPr>
              <w:spacing w:after="0"/>
              <w:rPr>
                <w:rFonts w:ascii="Calibri" w:eastAsia="Times New Roman" w:hAnsi="Calibri" w:cs="Times New Roman"/>
                <w:color w:val="000000"/>
                <w:sz w:val="20"/>
                <w:szCs w:val="20"/>
              </w:rPr>
            </w:pPr>
          </w:p>
        </w:tc>
        <w:tc>
          <w:tcPr>
            <w:tcW w:w="1137"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Heat Pump</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920BCB">
              <w:rPr>
                <w:rFonts w:ascii="Calibri" w:eastAsia="Times New Roman" w:hAnsi="Calibri" w:cs="Times New Roman"/>
                <w:color w:val="000000"/>
                <w:sz w:val="20"/>
                <w:szCs w:val="20"/>
              </w:rPr>
              <w:t>–</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160953">
              <w:rPr>
                <w:rFonts w:ascii="Calibri" w:eastAsia="Times New Roman" w:hAnsi="Calibri" w:cs="Times New Roman"/>
                <w:color w:val="000000"/>
                <w:sz w:val="20"/>
                <w:szCs w:val="20"/>
              </w:rPr>
              <w:t>–</w:t>
            </w:r>
          </w:p>
        </w:tc>
      </w:tr>
      <w:tr w:rsidR="00056305" w:rsidRPr="00575029" w:rsidTr="000D1B93">
        <w:tc>
          <w:tcPr>
            <w:tcW w:w="611" w:type="pct"/>
            <w:vMerge/>
            <w:vAlign w:val="center"/>
            <w:hideMark/>
          </w:tcPr>
          <w:p w:rsidR="00056305" w:rsidRPr="00575029" w:rsidRDefault="00056305" w:rsidP="000D1B93">
            <w:pPr>
              <w:spacing w:after="0"/>
              <w:rPr>
                <w:rFonts w:ascii="Calibri" w:eastAsia="Times New Roman" w:hAnsi="Calibri" w:cs="Times New Roman"/>
                <w:color w:val="000000"/>
                <w:sz w:val="20"/>
                <w:szCs w:val="20"/>
              </w:rPr>
            </w:pPr>
          </w:p>
        </w:tc>
        <w:tc>
          <w:tcPr>
            <w:tcW w:w="1137"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Heating System Replacement</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160953">
              <w:rPr>
                <w:rFonts w:ascii="Calibri" w:eastAsia="Times New Roman" w:hAnsi="Calibri" w:cs="Times New Roman"/>
                <w:color w:val="000000"/>
                <w:sz w:val="20"/>
                <w:szCs w:val="20"/>
              </w:rPr>
              <w:t>–</w:t>
            </w:r>
          </w:p>
        </w:tc>
      </w:tr>
      <w:tr w:rsidR="00056305" w:rsidRPr="00575029" w:rsidTr="000D1B93">
        <w:tc>
          <w:tcPr>
            <w:tcW w:w="611"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Lighting</w:t>
            </w:r>
          </w:p>
        </w:tc>
        <w:tc>
          <w:tcPr>
            <w:tcW w:w="1137"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Lighting</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(±6%)</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9E1705">
              <w:rPr>
                <w:rFonts w:ascii="Calibri" w:eastAsia="Times New Roman" w:hAnsi="Calibri" w:cs="Times New Roman"/>
                <w:color w:val="000000"/>
                <w:sz w:val="20"/>
                <w:szCs w:val="20"/>
              </w:rPr>
              <w:t>–</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160953">
              <w:rPr>
                <w:rFonts w:ascii="Calibri" w:eastAsia="Times New Roman" w:hAnsi="Calibri" w:cs="Times New Roman"/>
                <w:color w:val="000000"/>
                <w:sz w:val="20"/>
                <w:szCs w:val="20"/>
              </w:rPr>
              <w:t>–</w:t>
            </w:r>
          </w:p>
        </w:tc>
      </w:tr>
      <w:tr w:rsidR="00056305" w:rsidRPr="00575029" w:rsidTr="000D1B93">
        <w:tc>
          <w:tcPr>
            <w:tcW w:w="611"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Other</w:t>
            </w:r>
          </w:p>
        </w:tc>
        <w:tc>
          <w:tcPr>
            <w:tcW w:w="1137"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Other</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 xml:space="preserve">Reported </w:t>
            </w:r>
            <w:r w:rsidRPr="006E6279">
              <w:rPr>
                <w:rFonts w:ascii="Calibri" w:eastAsia="Times New Roman" w:hAnsi="Calibri" w:cs="Times New Roman"/>
                <w:i/>
                <w:color w:val="000000"/>
                <w:sz w:val="20"/>
                <w:szCs w:val="20"/>
              </w:rPr>
              <w:t>Ex Ante</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9E1705">
              <w:rPr>
                <w:rFonts w:ascii="Calibri" w:eastAsia="Times New Roman" w:hAnsi="Calibri" w:cs="Times New Roman"/>
                <w:color w:val="000000"/>
                <w:sz w:val="20"/>
                <w:szCs w:val="20"/>
              </w:rPr>
              <w:t>–</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160953">
              <w:rPr>
                <w:rFonts w:ascii="Calibri" w:eastAsia="Times New Roman" w:hAnsi="Calibri" w:cs="Times New Roman"/>
                <w:color w:val="000000"/>
                <w:sz w:val="20"/>
                <w:szCs w:val="20"/>
              </w:rPr>
              <w:t>–</w:t>
            </w:r>
          </w:p>
        </w:tc>
      </w:tr>
      <w:tr w:rsidR="00056305" w:rsidRPr="00575029" w:rsidTr="000D1B93">
        <w:tc>
          <w:tcPr>
            <w:tcW w:w="611" w:type="pct"/>
            <w:vMerge w:val="restar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Shell</w:t>
            </w:r>
          </w:p>
        </w:tc>
        <w:tc>
          <w:tcPr>
            <w:tcW w:w="1137"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Air Sealing</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(±21%)</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(±14%)</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(±14%)</w:t>
            </w:r>
          </w:p>
        </w:tc>
      </w:tr>
      <w:tr w:rsidR="00056305" w:rsidRPr="00575029" w:rsidTr="000D1B93">
        <w:tc>
          <w:tcPr>
            <w:tcW w:w="611" w:type="pct"/>
            <w:vMerge/>
            <w:vAlign w:val="center"/>
            <w:hideMark/>
          </w:tcPr>
          <w:p w:rsidR="00056305" w:rsidRPr="00575029" w:rsidRDefault="00056305" w:rsidP="000D1B93">
            <w:pPr>
              <w:spacing w:after="0"/>
              <w:rPr>
                <w:rFonts w:ascii="Calibri" w:eastAsia="Times New Roman" w:hAnsi="Calibri" w:cs="Times New Roman"/>
                <w:color w:val="000000"/>
                <w:sz w:val="20"/>
                <w:szCs w:val="20"/>
              </w:rPr>
            </w:pPr>
          </w:p>
        </w:tc>
        <w:tc>
          <w:tcPr>
            <w:tcW w:w="1137"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Attic Insulation</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 Modeling</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 Modeling</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 Modeling</w:t>
            </w:r>
          </w:p>
        </w:tc>
      </w:tr>
      <w:tr w:rsidR="00056305" w:rsidRPr="00575029" w:rsidTr="000D1B93">
        <w:tc>
          <w:tcPr>
            <w:tcW w:w="611" w:type="pct"/>
            <w:vMerge/>
            <w:vAlign w:val="center"/>
            <w:hideMark/>
          </w:tcPr>
          <w:p w:rsidR="00056305" w:rsidRPr="00575029" w:rsidRDefault="00056305" w:rsidP="000D1B93">
            <w:pPr>
              <w:spacing w:after="0"/>
              <w:rPr>
                <w:rFonts w:ascii="Calibri" w:eastAsia="Times New Roman" w:hAnsi="Calibri" w:cs="Times New Roman"/>
                <w:color w:val="000000"/>
                <w:sz w:val="20"/>
                <w:szCs w:val="20"/>
              </w:rPr>
            </w:pPr>
          </w:p>
        </w:tc>
        <w:tc>
          <w:tcPr>
            <w:tcW w:w="1137"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Wall Insulation</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 Modeling</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 Modeling</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 Modeling</w:t>
            </w:r>
          </w:p>
        </w:tc>
      </w:tr>
      <w:tr w:rsidR="00056305" w:rsidRPr="00575029" w:rsidTr="000D1B93">
        <w:tc>
          <w:tcPr>
            <w:tcW w:w="611" w:type="pct"/>
            <w:vMerge/>
            <w:vAlign w:val="center"/>
            <w:hideMark/>
          </w:tcPr>
          <w:p w:rsidR="00056305" w:rsidRPr="00575029" w:rsidRDefault="00056305" w:rsidP="000D1B93">
            <w:pPr>
              <w:spacing w:after="0"/>
              <w:rPr>
                <w:rFonts w:ascii="Calibri" w:eastAsia="Times New Roman" w:hAnsi="Calibri" w:cs="Times New Roman"/>
                <w:color w:val="000000"/>
                <w:sz w:val="20"/>
                <w:szCs w:val="20"/>
              </w:rPr>
            </w:pPr>
          </w:p>
        </w:tc>
        <w:tc>
          <w:tcPr>
            <w:tcW w:w="1137"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Insulation Other**</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 xml:space="preserve">Reported </w:t>
            </w:r>
            <w:r w:rsidRPr="006E6279">
              <w:rPr>
                <w:rFonts w:ascii="Calibri" w:eastAsia="Times New Roman" w:hAnsi="Calibri" w:cs="Times New Roman"/>
                <w:i/>
                <w:color w:val="000000"/>
                <w:sz w:val="20"/>
                <w:szCs w:val="20"/>
              </w:rPr>
              <w:t>Ex Ante</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 xml:space="preserve">Reported </w:t>
            </w:r>
            <w:r w:rsidRPr="006E6279">
              <w:rPr>
                <w:rFonts w:ascii="Calibri" w:eastAsia="Times New Roman" w:hAnsi="Calibri" w:cs="Times New Roman"/>
                <w:i/>
                <w:color w:val="000000"/>
                <w:sz w:val="20"/>
                <w:szCs w:val="20"/>
              </w:rPr>
              <w:t>Ex Ante</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 xml:space="preserve">Reported </w:t>
            </w:r>
            <w:r w:rsidRPr="006E6279">
              <w:rPr>
                <w:rFonts w:ascii="Calibri" w:eastAsia="Times New Roman" w:hAnsi="Calibri" w:cs="Times New Roman"/>
                <w:i/>
                <w:color w:val="000000"/>
                <w:sz w:val="20"/>
                <w:szCs w:val="20"/>
              </w:rPr>
              <w:t>Ex Ante</w:t>
            </w:r>
          </w:p>
        </w:tc>
      </w:tr>
      <w:tr w:rsidR="00056305" w:rsidRPr="00575029" w:rsidTr="000D1B93">
        <w:tc>
          <w:tcPr>
            <w:tcW w:w="611" w:type="pct"/>
            <w:vMerge/>
            <w:vAlign w:val="center"/>
            <w:hideMark/>
          </w:tcPr>
          <w:p w:rsidR="00056305" w:rsidRPr="00575029" w:rsidRDefault="00056305" w:rsidP="000D1B93">
            <w:pPr>
              <w:spacing w:after="0"/>
              <w:rPr>
                <w:rFonts w:ascii="Calibri" w:eastAsia="Times New Roman" w:hAnsi="Calibri" w:cs="Times New Roman"/>
                <w:color w:val="000000"/>
                <w:sz w:val="20"/>
                <w:szCs w:val="20"/>
              </w:rPr>
            </w:pPr>
          </w:p>
        </w:tc>
        <w:tc>
          <w:tcPr>
            <w:tcW w:w="1137"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Windows</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056305" w:rsidRPr="00575029" w:rsidTr="000D1B93">
        <w:tc>
          <w:tcPr>
            <w:tcW w:w="611" w:type="pct"/>
            <w:vMerge w:val="restart"/>
            <w:shd w:val="clear" w:color="auto" w:fill="auto"/>
            <w:vAlign w:val="center"/>
            <w:hideMark/>
          </w:tcPr>
          <w:p w:rsidR="00056305" w:rsidRPr="00575029" w:rsidRDefault="00056305" w:rsidP="003A300E">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Water Heat</w:t>
            </w:r>
          </w:p>
        </w:tc>
        <w:tc>
          <w:tcPr>
            <w:tcW w:w="1137"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F5E47">
              <w:rPr>
                <w:rFonts w:ascii="Calibri" w:eastAsia="Times New Roman" w:hAnsi="Calibri" w:cs="Times New Roman"/>
                <w:color w:val="000000"/>
                <w:sz w:val="20"/>
                <w:szCs w:val="20"/>
              </w:rPr>
              <w:t>Domestic Hot-Water (</w:t>
            </w:r>
            <w:r>
              <w:rPr>
                <w:rFonts w:ascii="Calibri" w:eastAsia="Times New Roman" w:hAnsi="Calibri" w:cs="Times New Roman"/>
                <w:color w:val="000000"/>
                <w:sz w:val="20"/>
                <w:szCs w:val="20"/>
              </w:rPr>
              <w:t>DHW)</w:t>
            </w:r>
            <w:r w:rsidRPr="00575029">
              <w:rPr>
                <w:rFonts w:ascii="Calibri" w:eastAsia="Times New Roman" w:hAnsi="Calibri" w:cs="Times New Roman"/>
                <w:color w:val="000000"/>
                <w:sz w:val="20"/>
                <w:szCs w:val="20"/>
              </w:rPr>
              <w:t xml:space="preserve"> Bundle***</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(±21%)</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r>
      <w:tr w:rsidR="00056305" w:rsidRPr="00575029" w:rsidTr="000D1B93">
        <w:tc>
          <w:tcPr>
            <w:tcW w:w="611" w:type="pct"/>
            <w:vMerge/>
            <w:vAlign w:val="center"/>
            <w:hideMark/>
          </w:tcPr>
          <w:p w:rsidR="00056305" w:rsidRPr="00575029" w:rsidRDefault="00056305" w:rsidP="000D1B93">
            <w:pPr>
              <w:spacing w:after="0"/>
              <w:rPr>
                <w:rFonts w:ascii="Calibri" w:eastAsia="Times New Roman" w:hAnsi="Calibri" w:cs="Times New Roman"/>
                <w:color w:val="000000"/>
                <w:sz w:val="20"/>
                <w:szCs w:val="20"/>
              </w:rPr>
            </w:pPr>
          </w:p>
        </w:tc>
        <w:tc>
          <w:tcPr>
            <w:tcW w:w="1137"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Water Heater Replacement</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 xml:space="preserve">Reported </w:t>
            </w:r>
            <w:r w:rsidRPr="006E6279">
              <w:rPr>
                <w:rFonts w:ascii="Calibri" w:eastAsia="Times New Roman" w:hAnsi="Calibri" w:cs="Times New Roman"/>
                <w:i/>
                <w:color w:val="000000"/>
                <w:sz w:val="20"/>
                <w:szCs w:val="20"/>
              </w:rPr>
              <w:t>Ex Ante</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836570">
              <w:rPr>
                <w:rFonts w:ascii="Calibri" w:eastAsia="Times New Roman" w:hAnsi="Calibri" w:cs="Times New Roman"/>
                <w:color w:val="000000"/>
                <w:sz w:val="20"/>
                <w:szCs w:val="20"/>
              </w:rPr>
              <w:t>–</w:t>
            </w:r>
          </w:p>
        </w:tc>
      </w:tr>
      <w:tr w:rsidR="00056305" w:rsidRPr="00575029" w:rsidTr="000D1B93">
        <w:tc>
          <w:tcPr>
            <w:tcW w:w="611" w:type="pct"/>
            <w:vMerge/>
            <w:vAlign w:val="center"/>
            <w:hideMark/>
          </w:tcPr>
          <w:p w:rsidR="00056305" w:rsidRPr="00575029" w:rsidRDefault="00056305" w:rsidP="000D1B93">
            <w:pPr>
              <w:spacing w:after="0"/>
              <w:rPr>
                <w:rFonts w:ascii="Calibri" w:eastAsia="Times New Roman" w:hAnsi="Calibri" w:cs="Times New Roman"/>
                <w:color w:val="000000"/>
                <w:sz w:val="20"/>
                <w:szCs w:val="20"/>
              </w:rPr>
            </w:pPr>
          </w:p>
        </w:tc>
        <w:tc>
          <w:tcPr>
            <w:tcW w:w="1137"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Heat Pump Water Heater</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Reported </w:t>
            </w:r>
            <w:r w:rsidRPr="006E6279">
              <w:rPr>
                <w:rFonts w:ascii="Calibri" w:eastAsia="Times New Roman" w:hAnsi="Calibri" w:cs="Times New Roman"/>
                <w:i/>
                <w:color w:val="000000"/>
                <w:sz w:val="20"/>
                <w:szCs w:val="20"/>
              </w:rPr>
              <w:t>Ex Ante</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836570">
              <w:rPr>
                <w:rFonts w:ascii="Calibri" w:eastAsia="Times New Roman" w:hAnsi="Calibri" w:cs="Times New Roman"/>
                <w:color w:val="000000"/>
                <w:sz w:val="20"/>
                <w:szCs w:val="20"/>
              </w:rPr>
              <w:t>–</w:t>
            </w:r>
          </w:p>
        </w:tc>
      </w:tr>
    </w:tbl>
    <w:p w:rsidR="00056305" w:rsidRPr="00A55F33" w:rsidRDefault="00056305" w:rsidP="00056305">
      <w:pPr>
        <w:spacing w:after="0" w:line="240" w:lineRule="auto"/>
        <w:ind w:left="90" w:hanging="90"/>
        <w:rPr>
          <w:rFonts w:ascii="Calibri" w:eastAsia="Times New Roman" w:hAnsi="Calibri" w:cs="Times New Roman"/>
          <w:color w:val="000000"/>
          <w:sz w:val="20"/>
          <w:szCs w:val="20"/>
        </w:rPr>
      </w:pPr>
      <w:r w:rsidRPr="00A55F33">
        <w:rPr>
          <w:rFonts w:ascii="Calibri" w:eastAsia="Times New Roman" w:hAnsi="Calibri" w:cs="Times New Roman"/>
          <w:color w:val="000000"/>
          <w:sz w:val="20"/>
          <w:szCs w:val="20"/>
        </w:rPr>
        <w:t>*</w:t>
      </w:r>
      <w:r>
        <w:rPr>
          <w:rFonts w:ascii="Calibri" w:eastAsia="Times New Roman" w:hAnsi="Calibri" w:cs="Times New Roman"/>
          <w:color w:val="000000"/>
          <w:sz w:val="20"/>
          <w:szCs w:val="20"/>
        </w:rPr>
        <w:t>These</w:t>
      </w:r>
      <w:r w:rsidRPr="00A55F33">
        <w:rPr>
          <w:rFonts w:ascii="Calibri" w:eastAsia="Times New Roman" w:hAnsi="Calibri" w:cs="Times New Roman"/>
          <w:color w:val="000000"/>
          <w:sz w:val="20"/>
          <w:szCs w:val="20"/>
        </w:rPr>
        <w:t xml:space="preserve"> </w:t>
      </w:r>
      <w:r>
        <w:rPr>
          <w:rFonts w:ascii="Calibri" w:eastAsia="Times New Roman" w:hAnsi="Calibri" w:cs="Times New Roman"/>
          <w:color w:val="000000"/>
          <w:sz w:val="20"/>
          <w:szCs w:val="20"/>
        </w:rPr>
        <w:t>p</w:t>
      </w:r>
      <w:r w:rsidRPr="00A55F33">
        <w:rPr>
          <w:rFonts w:ascii="Calibri" w:eastAsia="Times New Roman" w:hAnsi="Calibri" w:cs="Times New Roman"/>
          <w:color w:val="000000"/>
          <w:sz w:val="20"/>
          <w:szCs w:val="20"/>
        </w:rPr>
        <w:t xml:space="preserve">rojects consist of appliance replacements without specific detail in </w:t>
      </w:r>
      <w:r>
        <w:rPr>
          <w:rFonts w:ascii="Calibri" w:eastAsia="Times New Roman" w:hAnsi="Calibri" w:cs="Times New Roman"/>
          <w:color w:val="000000"/>
          <w:sz w:val="20"/>
          <w:szCs w:val="20"/>
        </w:rPr>
        <w:t xml:space="preserve">the </w:t>
      </w:r>
      <w:r w:rsidRPr="00A55F33">
        <w:rPr>
          <w:rFonts w:ascii="Calibri" w:eastAsia="Times New Roman" w:hAnsi="Calibri" w:cs="Times New Roman"/>
          <w:color w:val="000000"/>
          <w:sz w:val="20"/>
          <w:szCs w:val="20"/>
        </w:rPr>
        <w:t>measure description</w:t>
      </w:r>
      <w:r>
        <w:rPr>
          <w:rFonts w:ascii="Calibri" w:eastAsia="Times New Roman" w:hAnsi="Calibri" w:cs="Times New Roman"/>
          <w:color w:val="000000"/>
          <w:sz w:val="20"/>
          <w:szCs w:val="20"/>
        </w:rPr>
        <w:t>s.</w:t>
      </w:r>
    </w:p>
    <w:p w:rsidR="00056305" w:rsidRPr="00A55F33" w:rsidRDefault="00056305" w:rsidP="00056305">
      <w:pPr>
        <w:spacing w:after="0" w:line="240" w:lineRule="auto"/>
        <w:rPr>
          <w:rFonts w:ascii="Calibri" w:eastAsia="Times New Roman" w:hAnsi="Calibri" w:cs="Times New Roman"/>
          <w:color w:val="000000"/>
          <w:sz w:val="20"/>
          <w:szCs w:val="20"/>
        </w:rPr>
      </w:pPr>
      <w:r w:rsidRPr="00A55F33">
        <w:rPr>
          <w:rFonts w:ascii="Calibri" w:eastAsia="Times New Roman" w:hAnsi="Calibri" w:cs="Times New Roman"/>
          <w:color w:val="000000"/>
          <w:sz w:val="20"/>
          <w:szCs w:val="20"/>
        </w:rPr>
        <w:t>**</w:t>
      </w:r>
      <w:r>
        <w:rPr>
          <w:rFonts w:ascii="Calibri" w:eastAsia="Times New Roman" w:hAnsi="Calibri" w:cs="Times New Roman"/>
          <w:color w:val="000000"/>
          <w:sz w:val="20"/>
          <w:szCs w:val="20"/>
        </w:rPr>
        <w:t>These</w:t>
      </w:r>
      <w:r w:rsidRPr="00A55F33">
        <w:rPr>
          <w:rFonts w:ascii="Calibri" w:eastAsia="Times New Roman" w:hAnsi="Calibri" w:cs="Times New Roman"/>
          <w:color w:val="000000"/>
          <w:sz w:val="20"/>
          <w:szCs w:val="20"/>
        </w:rPr>
        <w:t xml:space="preserve"> </w:t>
      </w:r>
      <w:r>
        <w:rPr>
          <w:rFonts w:ascii="Calibri" w:eastAsia="Times New Roman" w:hAnsi="Calibri" w:cs="Times New Roman"/>
          <w:color w:val="000000"/>
          <w:sz w:val="20"/>
          <w:szCs w:val="20"/>
        </w:rPr>
        <w:t>p</w:t>
      </w:r>
      <w:r w:rsidRPr="00A55F33">
        <w:rPr>
          <w:rFonts w:ascii="Calibri" w:eastAsia="Times New Roman" w:hAnsi="Calibri" w:cs="Times New Roman"/>
          <w:color w:val="000000"/>
          <w:sz w:val="20"/>
          <w:szCs w:val="20"/>
        </w:rPr>
        <w:t>rojects consist of insulation installations without location</w:t>
      </w:r>
      <w:r>
        <w:rPr>
          <w:rFonts w:ascii="Calibri" w:eastAsia="Times New Roman" w:hAnsi="Calibri" w:cs="Times New Roman"/>
          <w:color w:val="000000"/>
          <w:sz w:val="20"/>
          <w:szCs w:val="20"/>
        </w:rPr>
        <w:t>s</w:t>
      </w:r>
      <w:r w:rsidRPr="00A55F33">
        <w:rPr>
          <w:rFonts w:ascii="Calibri" w:eastAsia="Times New Roman" w:hAnsi="Calibri" w:cs="Times New Roman"/>
          <w:color w:val="000000"/>
          <w:sz w:val="20"/>
          <w:szCs w:val="20"/>
        </w:rPr>
        <w:t xml:space="preserve"> specified in </w:t>
      </w:r>
      <w:r>
        <w:rPr>
          <w:rFonts w:ascii="Calibri" w:eastAsia="Times New Roman" w:hAnsi="Calibri" w:cs="Times New Roman"/>
          <w:color w:val="000000"/>
          <w:sz w:val="20"/>
          <w:szCs w:val="20"/>
        </w:rPr>
        <w:t xml:space="preserve">the </w:t>
      </w:r>
      <w:r w:rsidRPr="00A55F33">
        <w:rPr>
          <w:rFonts w:ascii="Calibri" w:eastAsia="Times New Roman" w:hAnsi="Calibri" w:cs="Times New Roman"/>
          <w:color w:val="000000"/>
          <w:sz w:val="20"/>
          <w:szCs w:val="20"/>
        </w:rPr>
        <w:t>measure description</w:t>
      </w:r>
      <w:r>
        <w:rPr>
          <w:rFonts w:ascii="Calibri" w:eastAsia="Times New Roman" w:hAnsi="Calibri" w:cs="Times New Roman"/>
          <w:color w:val="000000"/>
          <w:sz w:val="20"/>
          <w:szCs w:val="20"/>
        </w:rPr>
        <w:t>s.</w:t>
      </w:r>
    </w:p>
    <w:p w:rsidR="00056305" w:rsidRPr="00A55F33" w:rsidRDefault="00056305" w:rsidP="00056305">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7651D1" w:rsidRPr="007651D1">
        <w:rPr>
          <w:rFonts w:ascii="Calibri" w:eastAsia="Times New Roman" w:hAnsi="Calibri" w:cs="Times New Roman"/>
          <w:color w:val="000000"/>
          <w:sz w:val="20"/>
          <w:szCs w:val="20"/>
        </w:rPr>
        <w:t xml:space="preserve"> </w:t>
      </w:r>
      <w:r w:rsidR="007651D1">
        <w:rPr>
          <w:rFonts w:ascii="Calibri" w:eastAsia="Times New Roman" w:hAnsi="Calibri" w:cs="Times New Roman"/>
          <w:color w:val="000000"/>
          <w:sz w:val="20"/>
          <w:szCs w:val="20"/>
        </w:rPr>
        <w:t>The measure</w:t>
      </w:r>
      <w:r w:rsidR="007651D1" w:rsidRPr="00A55F33">
        <w:rPr>
          <w:rFonts w:ascii="Calibri" w:eastAsia="Times New Roman" w:hAnsi="Calibri" w:cs="Times New Roman"/>
          <w:color w:val="000000"/>
          <w:sz w:val="20"/>
          <w:szCs w:val="20"/>
        </w:rPr>
        <w:t xml:space="preserve"> </w:t>
      </w:r>
      <w:r w:rsidR="007651D1">
        <w:rPr>
          <w:rFonts w:ascii="Calibri" w:eastAsia="Times New Roman" w:hAnsi="Calibri" w:cs="Times New Roman"/>
          <w:color w:val="000000"/>
          <w:sz w:val="20"/>
          <w:szCs w:val="20"/>
        </w:rPr>
        <w:t>c</w:t>
      </w:r>
      <w:r w:rsidR="007651D1" w:rsidRPr="00A55F33">
        <w:rPr>
          <w:rFonts w:ascii="Calibri" w:eastAsia="Times New Roman" w:hAnsi="Calibri" w:cs="Times New Roman"/>
          <w:color w:val="000000"/>
          <w:sz w:val="20"/>
          <w:szCs w:val="20"/>
        </w:rPr>
        <w:t>ontains a mix of low-flow showerheads, faucet aerators, and pipe insulation</w:t>
      </w:r>
      <w:r>
        <w:rPr>
          <w:rFonts w:ascii="Calibri" w:eastAsia="Times New Roman" w:hAnsi="Calibri" w:cs="Times New Roman"/>
          <w:color w:val="000000"/>
          <w:sz w:val="20"/>
          <w:szCs w:val="20"/>
        </w:rPr>
        <w:t>.</w:t>
      </w:r>
    </w:p>
    <w:p w:rsidR="00056305" w:rsidRDefault="00056305" w:rsidP="00056305">
      <w:pPr>
        <w:pStyle w:val="NormalAfterTablesandFigures"/>
      </w:pPr>
    </w:p>
    <w:p w:rsidR="00056305" w:rsidRDefault="00056305" w:rsidP="003A300E">
      <w:pPr>
        <w:pStyle w:val="Caption"/>
        <w:pageBreakBefore/>
      </w:pPr>
      <w:bookmarkStart w:id="8" w:name="_Ref389465699"/>
      <w:r>
        <w:lastRenderedPageBreak/>
        <w:t xml:space="preserve">Table </w:t>
      </w:r>
      <w:r w:rsidR="002506E1">
        <w:fldChar w:fldCharType="begin"/>
      </w:r>
      <w:r w:rsidR="002506E1">
        <w:instrText xml:space="preserve"> SEQ Table \* ARABIC </w:instrText>
      </w:r>
      <w:r w:rsidR="002506E1">
        <w:fldChar w:fldCharType="separate"/>
      </w:r>
      <w:r w:rsidR="00CD20CF">
        <w:rPr>
          <w:noProof/>
        </w:rPr>
        <w:t>3</w:t>
      </w:r>
      <w:r w:rsidR="002506E1">
        <w:rPr>
          <w:noProof/>
        </w:rPr>
        <w:fldChar w:fldCharType="end"/>
      </w:r>
      <w:bookmarkEnd w:id="8"/>
      <w:r>
        <w:t>. Methodological Approach to Calculating Savings by Measure and Primary Fuel Type—HES-IE</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249"/>
        <w:gridCol w:w="2009"/>
        <w:gridCol w:w="2160"/>
        <w:gridCol w:w="2070"/>
        <w:gridCol w:w="2088"/>
      </w:tblGrid>
      <w:tr w:rsidR="00056305" w:rsidRPr="00575029" w:rsidTr="000D1B93">
        <w:tc>
          <w:tcPr>
            <w:tcW w:w="652" w:type="pct"/>
            <w:vMerge w:val="restart"/>
            <w:shd w:val="clear" w:color="000000" w:fill="005DAA"/>
            <w:vAlign w:val="center"/>
            <w:hideMark/>
          </w:tcPr>
          <w:p w:rsidR="00056305" w:rsidRPr="00575029" w:rsidRDefault="00056305" w:rsidP="000D1B93">
            <w:pPr>
              <w:spacing w:after="0"/>
              <w:jc w:val="center"/>
              <w:rPr>
                <w:rFonts w:ascii="Calibri" w:eastAsia="Times New Roman" w:hAnsi="Calibri" w:cs="Times New Roman"/>
                <w:b/>
                <w:bCs/>
                <w:color w:val="FFFFFF"/>
              </w:rPr>
            </w:pPr>
            <w:r w:rsidRPr="00575029">
              <w:rPr>
                <w:rFonts w:ascii="Calibri" w:eastAsia="Times New Roman" w:hAnsi="Calibri" w:cs="Times New Roman"/>
                <w:b/>
                <w:bCs/>
                <w:color w:val="FFFFFF"/>
              </w:rPr>
              <w:t>Category</w:t>
            </w:r>
          </w:p>
        </w:tc>
        <w:tc>
          <w:tcPr>
            <w:tcW w:w="1049" w:type="pct"/>
            <w:vMerge w:val="restart"/>
            <w:shd w:val="clear" w:color="000000" w:fill="005DAA"/>
            <w:vAlign w:val="center"/>
            <w:hideMark/>
          </w:tcPr>
          <w:p w:rsidR="00056305" w:rsidRPr="00575029" w:rsidRDefault="00056305" w:rsidP="000D1B93">
            <w:pPr>
              <w:spacing w:after="0"/>
              <w:jc w:val="center"/>
              <w:rPr>
                <w:rFonts w:ascii="Calibri" w:eastAsia="Times New Roman" w:hAnsi="Calibri" w:cs="Times New Roman"/>
                <w:b/>
                <w:bCs/>
                <w:color w:val="FFFFFF"/>
              </w:rPr>
            </w:pPr>
            <w:r w:rsidRPr="00575029">
              <w:rPr>
                <w:rFonts w:ascii="Calibri" w:eastAsia="Times New Roman" w:hAnsi="Calibri" w:cs="Times New Roman"/>
                <w:b/>
                <w:bCs/>
                <w:color w:val="FFFFFF"/>
              </w:rPr>
              <w:t>Measure</w:t>
            </w:r>
          </w:p>
        </w:tc>
        <w:tc>
          <w:tcPr>
            <w:tcW w:w="3299" w:type="pct"/>
            <w:gridSpan w:val="3"/>
            <w:shd w:val="clear" w:color="000000" w:fill="005DAA"/>
            <w:vAlign w:val="center"/>
            <w:hideMark/>
          </w:tcPr>
          <w:p w:rsidR="00056305" w:rsidRPr="00575029" w:rsidRDefault="00056305" w:rsidP="000D1B93">
            <w:pPr>
              <w:spacing w:after="0"/>
              <w:jc w:val="center"/>
              <w:rPr>
                <w:rFonts w:ascii="Calibri" w:eastAsia="Times New Roman" w:hAnsi="Calibri" w:cs="Times New Roman"/>
                <w:b/>
                <w:bCs/>
                <w:color w:val="FFFFFF"/>
              </w:rPr>
            </w:pPr>
            <w:r w:rsidRPr="00575029">
              <w:rPr>
                <w:rFonts w:ascii="Calibri" w:eastAsia="Times New Roman" w:hAnsi="Calibri" w:cs="Times New Roman"/>
                <w:b/>
                <w:bCs/>
                <w:color w:val="FFFFFF"/>
              </w:rPr>
              <w:t>HES-IE</w:t>
            </w:r>
          </w:p>
        </w:tc>
      </w:tr>
      <w:tr w:rsidR="00056305" w:rsidRPr="00575029" w:rsidTr="000D1B93">
        <w:tc>
          <w:tcPr>
            <w:tcW w:w="652" w:type="pct"/>
            <w:vMerge/>
            <w:vAlign w:val="center"/>
            <w:hideMark/>
          </w:tcPr>
          <w:p w:rsidR="00056305" w:rsidRPr="00575029" w:rsidRDefault="00056305" w:rsidP="000D1B93">
            <w:pPr>
              <w:spacing w:after="0"/>
              <w:jc w:val="center"/>
              <w:rPr>
                <w:rFonts w:ascii="Calibri" w:eastAsia="Times New Roman" w:hAnsi="Calibri" w:cs="Times New Roman"/>
                <w:b/>
                <w:bCs/>
                <w:color w:val="FFFFFF"/>
              </w:rPr>
            </w:pPr>
          </w:p>
        </w:tc>
        <w:tc>
          <w:tcPr>
            <w:tcW w:w="1049" w:type="pct"/>
            <w:vMerge/>
            <w:vAlign w:val="center"/>
            <w:hideMark/>
          </w:tcPr>
          <w:p w:rsidR="00056305" w:rsidRPr="00575029" w:rsidRDefault="00056305" w:rsidP="000D1B93">
            <w:pPr>
              <w:spacing w:after="0"/>
              <w:jc w:val="center"/>
              <w:rPr>
                <w:rFonts w:ascii="Calibri" w:eastAsia="Times New Roman" w:hAnsi="Calibri" w:cs="Times New Roman"/>
                <w:b/>
                <w:bCs/>
                <w:color w:val="FFFFFF"/>
              </w:rPr>
            </w:pPr>
          </w:p>
        </w:tc>
        <w:tc>
          <w:tcPr>
            <w:tcW w:w="1128" w:type="pct"/>
            <w:shd w:val="clear" w:color="000000" w:fill="005DAA"/>
            <w:vAlign w:val="center"/>
            <w:hideMark/>
          </w:tcPr>
          <w:p w:rsidR="00056305" w:rsidRPr="00575029" w:rsidRDefault="00056305" w:rsidP="000D1B93">
            <w:pPr>
              <w:spacing w:after="0"/>
              <w:jc w:val="center"/>
              <w:rPr>
                <w:rFonts w:ascii="Calibri" w:eastAsia="Times New Roman" w:hAnsi="Calibri" w:cs="Times New Roman"/>
                <w:b/>
                <w:bCs/>
                <w:color w:val="FFFFFF"/>
              </w:rPr>
            </w:pPr>
            <w:r w:rsidRPr="00575029">
              <w:rPr>
                <w:rFonts w:ascii="Calibri" w:eastAsia="Times New Roman" w:hAnsi="Calibri" w:cs="Times New Roman"/>
                <w:b/>
                <w:bCs/>
                <w:color w:val="FFFFFF"/>
              </w:rPr>
              <w:t>Electric</w:t>
            </w:r>
          </w:p>
        </w:tc>
        <w:tc>
          <w:tcPr>
            <w:tcW w:w="1081" w:type="pct"/>
            <w:shd w:val="clear" w:color="000000" w:fill="005DAA"/>
            <w:vAlign w:val="center"/>
            <w:hideMark/>
          </w:tcPr>
          <w:p w:rsidR="00056305" w:rsidRPr="00575029" w:rsidRDefault="00056305" w:rsidP="000D1B93">
            <w:pPr>
              <w:spacing w:after="0"/>
              <w:jc w:val="center"/>
              <w:rPr>
                <w:rFonts w:ascii="Calibri" w:eastAsia="Times New Roman" w:hAnsi="Calibri" w:cs="Times New Roman"/>
                <w:b/>
                <w:bCs/>
                <w:color w:val="FFFFFF"/>
              </w:rPr>
            </w:pPr>
            <w:r w:rsidRPr="00575029">
              <w:rPr>
                <w:rFonts w:ascii="Calibri" w:eastAsia="Times New Roman" w:hAnsi="Calibri" w:cs="Times New Roman"/>
                <w:b/>
                <w:bCs/>
                <w:color w:val="FFFFFF"/>
              </w:rPr>
              <w:t>Gas</w:t>
            </w:r>
          </w:p>
        </w:tc>
        <w:tc>
          <w:tcPr>
            <w:tcW w:w="1090" w:type="pct"/>
            <w:shd w:val="clear" w:color="000000" w:fill="005DAA"/>
            <w:vAlign w:val="center"/>
            <w:hideMark/>
          </w:tcPr>
          <w:p w:rsidR="00056305" w:rsidRPr="00575029" w:rsidRDefault="00056305" w:rsidP="000D1B93">
            <w:pPr>
              <w:spacing w:after="0"/>
              <w:jc w:val="center"/>
              <w:rPr>
                <w:rFonts w:ascii="Calibri" w:eastAsia="Times New Roman" w:hAnsi="Calibri" w:cs="Times New Roman"/>
                <w:b/>
                <w:bCs/>
                <w:color w:val="FFFFFF"/>
              </w:rPr>
            </w:pPr>
            <w:r w:rsidRPr="00575029">
              <w:rPr>
                <w:rFonts w:ascii="Calibri" w:eastAsia="Times New Roman" w:hAnsi="Calibri" w:cs="Times New Roman"/>
                <w:b/>
                <w:bCs/>
                <w:color w:val="FFFFFF"/>
              </w:rPr>
              <w:t>Oil/Propane</w:t>
            </w:r>
          </w:p>
        </w:tc>
      </w:tr>
      <w:tr w:rsidR="00056305" w:rsidRPr="00575029" w:rsidTr="000D1B93">
        <w:tc>
          <w:tcPr>
            <w:tcW w:w="652" w:type="pct"/>
            <w:vMerge w:val="restar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Appliance</w:t>
            </w:r>
          </w:p>
        </w:tc>
        <w:tc>
          <w:tcPr>
            <w:tcW w:w="1049"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Freezer</w:t>
            </w:r>
          </w:p>
        </w:tc>
        <w:tc>
          <w:tcPr>
            <w:tcW w:w="1128"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(±32%)</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7C1125">
              <w:rPr>
                <w:rFonts w:ascii="Calibri" w:eastAsia="Times New Roman" w:hAnsi="Calibri" w:cs="Times New Roman"/>
                <w:color w:val="000000"/>
                <w:sz w:val="20"/>
                <w:szCs w:val="20"/>
              </w:rPr>
              <w:t>–</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7C1125">
              <w:rPr>
                <w:rFonts w:ascii="Calibri" w:eastAsia="Times New Roman" w:hAnsi="Calibri" w:cs="Times New Roman"/>
                <w:color w:val="000000"/>
                <w:sz w:val="20"/>
                <w:szCs w:val="20"/>
              </w:rPr>
              <w:t>–</w:t>
            </w:r>
          </w:p>
        </w:tc>
      </w:tr>
      <w:tr w:rsidR="00056305" w:rsidRPr="00575029" w:rsidTr="000D1B93">
        <w:tc>
          <w:tcPr>
            <w:tcW w:w="652" w:type="pct"/>
            <w:vMerge/>
            <w:vAlign w:val="center"/>
            <w:hideMark/>
          </w:tcPr>
          <w:p w:rsidR="00056305" w:rsidRPr="00575029" w:rsidRDefault="00056305" w:rsidP="000D1B93">
            <w:pPr>
              <w:spacing w:after="0"/>
              <w:rPr>
                <w:rFonts w:ascii="Calibri" w:eastAsia="Times New Roman" w:hAnsi="Calibri" w:cs="Times New Roman"/>
                <w:color w:val="000000"/>
                <w:sz w:val="20"/>
                <w:szCs w:val="20"/>
              </w:rPr>
            </w:pPr>
          </w:p>
        </w:tc>
        <w:tc>
          <w:tcPr>
            <w:tcW w:w="1049"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Refrigerator</w:t>
            </w:r>
          </w:p>
        </w:tc>
        <w:tc>
          <w:tcPr>
            <w:tcW w:w="1128"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(±28%)</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7C1125">
              <w:rPr>
                <w:rFonts w:ascii="Calibri" w:eastAsia="Times New Roman" w:hAnsi="Calibri" w:cs="Times New Roman"/>
                <w:color w:val="000000"/>
                <w:sz w:val="20"/>
                <w:szCs w:val="20"/>
              </w:rPr>
              <w:t>–</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7C1125">
              <w:rPr>
                <w:rFonts w:ascii="Calibri" w:eastAsia="Times New Roman" w:hAnsi="Calibri" w:cs="Times New Roman"/>
                <w:color w:val="000000"/>
                <w:sz w:val="20"/>
                <w:szCs w:val="20"/>
              </w:rPr>
              <w:t>–</w:t>
            </w:r>
          </w:p>
        </w:tc>
      </w:tr>
      <w:tr w:rsidR="00056305" w:rsidRPr="00575029" w:rsidTr="000D1B93">
        <w:tc>
          <w:tcPr>
            <w:tcW w:w="652" w:type="pct"/>
            <w:vMerge/>
            <w:vAlign w:val="center"/>
            <w:hideMark/>
          </w:tcPr>
          <w:p w:rsidR="00056305" w:rsidRPr="00575029" w:rsidRDefault="00056305" w:rsidP="000D1B93">
            <w:pPr>
              <w:spacing w:after="0"/>
              <w:rPr>
                <w:rFonts w:ascii="Calibri" w:eastAsia="Times New Roman" w:hAnsi="Calibri" w:cs="Times New Roman"/>
                <w:color w:val="000000"/>
                <w:sz w:val="20"/>
                <w:szCs w:val="20"/>
              </w:rPr>
            </w:pPr>
          </w:p>
        </w:tc>
        <w:tc>
          <w:tcPr>
            <w:tcW w:w="1049"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Appliance Other*</w:t>
            </w:r>
          </w:p>
        </w:tc>
        <w:tc>
          <w:tcPr>
            <w:tcW w:w="1128"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(±24%)</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Reported </w:t>
            </w:r>
            <w:r w:rsidRPr="006E6279">
              <w:rPr>
                <w:rFonts w:ascii="Calibri" w:eastAsia="Times New Roman" w:hAnsi="Calibri" w:cs="Times New Roman"/>
                <w:i/>
                <w:color w:val="000000"/>
                <w:sz w:val="20"/>
                <w:szCs w:val="20"/>
              </w:rPr>
              <w:t>Ex Ante</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186C54">
              <w:rPr>
                <w:rFonts w:ascii="Calibri" w:eastAsia="Times New Roman" w:hAnsi="Calibri" w:cs="Times New Roman"/>
                <w:color w:val="000000"/>
                <w:sz w:val="20"/>
                <w:szCs w:val="20"/>
              </w:rPr>
              <w:t>–</w:t>
            </w:r>
          </w:p>
        </w:tc>
      </w:tr>
      <w:tr w:rsidR="00056305" w:rsidRPr="00575029" w:rsidTr="000D1B93">
        <w:tc>
          <w:tcPr>
            <w:tcW w:w="652" w:type="pct"/>
            <w:vMerge w:val="restar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HVAC</w:t>
            </w:r>
          </w:p>
        </w:tc>
        <w:tc>
          <w:tcPr>
            <w:tcW w:w="1049"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Central AC</w:t>
            </w:r>
          </w:p>
        </w:tc>
        <w:tc>
          <w:tcPr>
            <w:tcW w:w="1128"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81" w:type="pct"/>
            <w:shd w:val="clear" w:color="auto" w:fill="auto"/>
            <w:hideMark/>
          </w:tcPr>
          <w:p w:rsidR="00056305" w:rsidRPr="00575029" w:rsidRDefault="00056305" w:rsidP="000D1B93">
            <w:pPr>
              <w:spacing w:after="0"/>
              <w:jc w:val="center"/>
              <w:rPr>
                <w:rFonts w:ascii="Calibri" w:eastAsia="Times New Roman" w:hAnsi="Calibri" w:cs="Times New Roman"/>
                <w:color w:val="000000"/>
                <w:sz w:val="20"/>
                <w:szCs w:val="20"/>
              </w:rPr>
            </w:pPr>
            <w:r w:rsidRPr="00747D4C">
              <w:rPr>
                <w:rFonts w:ascii="Calibri" w:eastAsia="Times New Roman" w:hAnsi="Calibri" w:cs="Times New Roman"/>
                <w:color w:val="000000"/>
                <w:sz w:val="20"/>
                <w:szCs w:val="20"/>
              </w:rPr>
              <w:t>–</w:t>
            </w:r>
          </w:p>
        </w:tc>
        <w:tc>
          <w:tcPr>
            <w:tcW w:w="1090" w:type="pct"/>
            <w:shd w:val="clear" w:color="auto" w:fill="auto"/>
            <w:hideMark/>
          </w:tcPr>
          <w:p w:rsidR="00056305" w:rsidRPr="00575029" w:rsidRDefault="00056305" w:rsidP="000D1B93">
            <w:pPr>
              <w:spacing w:after="0"/>
              <w:jc w:val="center"/>
              <w:rPr>
                <w:rFonts w:ascii="Calibri" w:eastAsia="Times New Roman" w:hAnsi="Calibri" w:cs="Times New Roman"/>
                <w:color w:val="000000"/>
                <w:sz w:val="20"/>
                <w:szCs w:val="20"/>
              </w:rPr>
            </w:pPr>
            <w:r w:rsidRPr="00747D4C">
              <w:rPr>
                <w:rFonts w:ascii="Calibri" w:eastAsia="Times New Roman" w:hAnsi="Calibri" w:cs="Times New Roman"/>
                <w:color w:val="000000"/>
                <w:sz w:val="20"/>
                <w:szCs w:val="20"/>
              </w:rPr>
              <w:t>–</w:t>
            </w:r>
          </w:p>
        </w:tc>
      </w:tr>
      <w:tr w:rsidR="00056305" w:rsidRPr="00575029" w:rsidTr="000D1B93">
        <w:tc>
          <w:tcPr>
            <w:tcW w:w="652" w:type="pct"/>
            <w:vMerge/>
            <w:vAlign w:val="center"/>
            <w:hideMark/>
          </w:tcPr>
          <w:p w:rsidR="00056305" w:rsidRPr="00575029" w:rsidRDefault="00056305" w:rsidP="000D1B93">
            <w:pPr>
              <w:spacing w:after="0"/>
              <w:rPr>
                <w:rFonts w:ascii="Calibri" w:eastAsia="Times New Roman" w:hAnsi="Calibri" w:cs="Times New Roman"/>
                <w:color w:val="000000"/>
                <w:sz w:val="20"/>
                <w:szCs w:val="20"/>
              </w:rPr>
            </w:pPr>
          </w:p>
        </w:tc>
        <w:tc>
          <w:tcPr>
            <w:tcW w:w="1049"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Duct Sealing</w:t>
            </w:r>
          </w:p>
        </w:tc>
        <w:tc>
          <w:tcPr>
            <w:tcW w:w="1128"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 Modeling</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 Modeling</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 Modeling</w:t>
            </w:r>
          </w:p>
        </w:tc>
      </w:tr>
      <w:tr w:rsidR="00056305" w:rsidRPr="00575029" w:rsidTr="000D1B93">
        <w:tc>
          <w:tcPr>
            <w:tcW w:w="652" w:type="pct"/>
            <w:vMerge/>
            <w:vAlign w:val="center"/>
            <w:hideMark/>
          </w:tcPr>
          <w:p w:rsidR="00056305" w:rsidRPr="00575029" w:rsidRDefault="00056305" w:rsidP="000D1B93">
            <w:pPr>
              <w:spacing w:after="0"/>
              <w:rPr>
                <w:rFonts w:ascii="Calibri" w:eastAsia="Times New Roman" w:hAnsi="Calibri" w:cs="Times New Roman"/>
                <w:color w:val="000000"/>
                <w:sz w:val="20"/>
                <w:szCs w:val="20"/>
              </w:rPr>
            </w:pPr>
          </w:p>
        </w:tc>
        <w:tc>
          <w:tcPr>
            <w:tcW w:w="1049"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Ductless Heat Pump</w:t>
            </w:r>
          </w:p>
        </w:tc>
        <w:tc>
          <w:tcPr>
            <w:tcW w:w="1128"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(±32%)</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E757C6">
              <w:rPr>
                <w:rFonts w:ascii="Calibri" w:eastAsia="Times New Roman" w:hAnsi="Calibri" w:cs="Times New Roman"/>
                <w:color w:val="000000"/>
                <w:sz w:val="20"/>
                <w:szCs w:val="20"/>
              </w:rPr>
              <w:t>–</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E757C6">
              <w:rPr>
                <w:rFonts w:ascii="Calibri" w:eastAsia="Times New Roman" w:hAnsi="Calibri" w:cs="Times New Roman"/>
                <w:color w:val="000000"/>
                <w:sz w:val="20"/>
                <w:szCs w:val="20"/>
              </w:rPr>
              <w:t>–</w:t>
            </w:r>
          </w:p>
        </w:tc>
      </w:tr>
      <w:tr w:rsidR="00056305" w:rsidRPr="00575029" w:rsidTr="000D1B93">
        <w:tc>
          <w:tcPr>
            <w:tcW w:w="652" w:type="pct"/>
            <w:vMerge/>
            <w:vAlign w:val="center"/>
            <w:hideMark/>
          </w:tcPr>
          <w:p w:rsidR="00056305" w:rsidRPr="00575029" w:rsidRDefault="00056305" w:rsidP="000D1B93">
            <w:pPr>
              <w:spacing w:after="0"/>
              <w:rPr>
                <w:rFonts w:ascii="Calibri" w:eastAsia="Times New Roman" w:hAnsi="Calibri" w:cs="Times New Roman"/>
                <w:color w:val="000000"/>
                <w:sz w:val="20"/>
                <w:szCs w:val="20"/>
              </w:rPr>
            </w:pPr>
          </w:p>
        </w:tc>
        <w:tc>
          <w:tcPr>
            <w:tcW w:w="1049"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Heating System Replacement</w:t>
            </w:r>
          </w:p>
        </w:tc>
        <w:tc>
          <w:tcPr>
            <w:tcW w:w="1128"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7C1125">
              <w:rPr>
                <w:rFonts w:ascii="Calibri" w:eastAsia="Times New Roman" w:hAnsi="Calibri" w:cs="Times New Roman"/>
                <w:color w:val="000000"/>
                <w:sz w:val="20"/>
                <w:szCs w:val="20"/>
              </w:rPr>
              <w:t>–</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(±14%)</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(±14%)</w:t>
            </w:r>
          </w:p>
        </w:tc>
      </w:tr>
      <w:tr w:rsidR="00056305" w:rsidRPr="00575029" w:rsidTr="000D1B93">
        <w:tc>
          <w:tcPr>
            <w:tcW w:w="652" w:type="pct"/>
            <w:vMerge/>
            <w:vAlign w:val="center"/>
            <w:hideMark/>
          </w:tcPr>
          <w:p w:rsidR="00056305" w:rsidRPr="00575029" w:rsidRDefault="00056305" w:rsidP="000D1B93">
            <w:pPr>
              <w:spacing w:after="0"/>
              <w:rPr>
                <w:rFonts w:ascii="Calibri" w:eastAsia="Times New Roman" w:hAnsi="Calibri" w:cs="Times New Roman"/>
                <w:color w:val="000000"/>
                <w:sz w:val="20"/>
                <w:szCs w:val="20"/>
              </w:rPr>
            </w:pPr>
          </w:p>
        </w:tc>
        <w:tc>
          <w:tcPr>
            <w:tcW w:w="1049"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Window AC</w:t>
            </w:r>
          </w:p>
        </w:tc>
        <w:tc>
          <w:tcPr>
            <w:tcW w:w="1128"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FA6C85">
              <w:rPr>
                <w:rFonts w:ascii="Calibri" w:eastAsia="Times New Roman" w:hAnsi="Calibri" w:cs="Times New Roman"/>
                <w:color w:val="000000"/>
                <w:sz w:val="20"/>
                <w:szCs w:val="20"/>
              </w:rPr>
              <w:t>–</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FA6C85">
              <w:rPr>
                <w:rFonts w:ascii="Calibri" w:eastAsia="Times New Roman" w:hAnsi="Calibri" w:cs="Times New Roman"/>
                <w:color w:val="000000"/>
                <w:sz w:val="20"/>
                <w:szCs w:val="20"/>
              </w:rPr>
              <w:t>–</w:t>
            </w:r>
          </w:p>
        </w:tc>
      </w:tr>
      <w:tr w:rsidR="00056305" w:rsidRPr="00575029" w:rsidTr="000D1B93">
        <w:tc>
          <w:tcPr>
            <w:tcW w:w="652"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Lighting</w:t>
            </w:r>
          </w:p>
        </w:tc>
        <w:tc>
          <w:tcPr>
            <w:tcW w:w="1049"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Lighting</w:t>
            </w:r>
          </w:p>
        </w:tc>
        <w:tc>
          <w:tcPr>
            <w:tcW w:w="1128"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(±6%)</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FA6C85">
              <w:rPr>
                <w:rFonts w:ascii="Calibri" w:eastAsia="Times New Roman" w:hAnsi="Calibri" w:cs="Times New Roman"/>
                <w:color w:val="000000"/>
                <w:sz w:val="20"/>
                <w:szCs w:val="20"/>
              </w:rPr>
              <w:t>–</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FA6C85">
              <w:rPr>
                <w:rFonts w:ascii="Calibri" w:eastAsia="Times New Roman" w:hAnsi="Calibri" w:cs="Times New Roman"/>
                <w:color w:val="000000"/>
                <w:sz w:val="20"/>
                <w:szCs w:val="20"/>
              </w:rPr>
              <w:t>–</w:t>
            </w:r>
          </w:p>
        </w:tc>
      </w:tr>
      <w:tr w:rsidR="00056305" w:rsidRPr="00575029" w:rsidTr="000D1B93">
        <w:tc>
          <w:tcPr>
            <w:tcW w:w="652"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Other</w:t>
            </w:r>
          </w:p>
        </w:tc>
        <w:tc>
          <w:tcPr>
            <w:tcW w:w="1049"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Other</w:t>
            </w:r>
          </w:p>
        </w:tc>
        <w:tc>
          <w:tcPr>
            <w:tcW w:w="1128"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Reported </w:t>
            </w:r>
            <w:r w:rsidRPr="006E6279">
              <w:rPr>
                <w:rFonts w:ascii="Calibri" w:eastAsia="Times New Roman" w:hAnsi="Calibri" w:cs="Times New Roman"/>
                <w:i/>
                <w:color w:val="000000"/>
                <w:sz w:val="20"/>
                <w:szCs w:val="20"/>
              </w:rPr>
              <w:t>Ex Ante</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Reported </w:t>
            </w:r>
            <w:r w:rsidR="007C64E6" w:rsidRPr="007C64E6">
              <w:rPr>
                <w:rFonts w:ascii="Calibri" w:eastAsia="Times New Roman" w:hAnsi="Calibri" w:cs="Times New Roman"/>
                <w:i/>
                <w:color w:val="000000"/>
                <w:sz w:val="20"/>
                <w:szCs w:val="20"/>
              </w:rPr>
              <w:t>Ex Ante</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FA6C85">
              <w:rPr>
                <w:rFonts w:ascii="Calibri" w:eastAsia="Times New Roman" w:hAnsi="Calibri" w:cs="Times New Roman"/>
                <w:color w:val="000000"/>
                <w:sz w:val="20"/>
                <w:szCs w:val="20"/>
              </w:rPr>
              <w:t>–</w:t>
            </w:r>
          </w:p>
        </w:tc>
      </w:tr>
      <w:tr w:rsidR="00056305" w:rsidRPr="00575029" w:rsidTr="000D1B93">
        <w:tc>
          <w:tcPr>
            <w:tcW w:w="652" w:type="pct"/>
            <w:vMerge w:val="restar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Shell</w:t>
            </w:r>
          </w:p>
        </w:tc>
        <w:tc>
          <w:tcPr>
            <w:tcW w:w="1049"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Air Sealing</w:t>
            </w:r>
          </w:p>
        </w:tc>
        <w:tc>
          <w:tcPr>
            <w:tcW w:w="1128"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 Modeling</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(±31%)</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(±31%)</w:t>
            </w:r>
          </w:p>
        </w:tc>
      </w:tr>
      <w:tr w:rsidR="00056305" w:rsidRPr="00575029" w:rsidTr="000D1B93">
        <w:tc>
          <w:tcPr>
            <w:tcW w:w="652" w:type="pct"/>
            <w:vMerge/>
            <w:vAlign w:val="center"/>
            <w:hideMark/>
          </w:tcPr>
          <w:p w:rsidR="00056305" w:rsidRPr="00575029" w:rsidRDefault="00056305" w:rsidP="000D1B93">
            <w:pPr>
              <w:spacing w:after="0"/>
              <w:rPr>
                <w:rFonts w:ascii="Calibri" w:eastAsia="Times New Roman" w:hAnsi="Calibri" w:cs="Times New Roman"/>
                <w:color w:val="000000"/>
                <w:sz w:val="20"/>
                <w:szCs w:val="20"/>
              </w:rPr>
            </w:pPr>
          </w:p>
        </w:tc>
        <w:tc>
          <w:tcPr>
            <w:tcW w:w="1049"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Attic Insulation</w:t>
            </w:r>
          </w:p>
        </w:tc>
        <w:tc>
          <w:tcPr>
            <w:tcW w:w="1128"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 Modeling</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 Modeling</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 Modeling</w:t>
            </w:r>
          </w:p>
        </w:tc>
      </w:tr>
      <w:tr w:rsidR="00056305" w:rsidRPr="00575029" w:rsidTr="000D1B93">
        <w:tc>
          <w:tcPr>
            <w:tcW w:w="652" w:type="pct"/>
            <w:vMerge/>
            <w:vAlign w:val="center"/>
            <w:hideMark/>
          </w:tcPr>
          <w:p w:rsidR="00056305" w:rsidRPr="00575029" w:rsidRDefault="00056305" w:rsidP="000D1B93">
            <w:pPr>
              <w:spacing w:after="0"/>
              <w:rPr>
                <w:rFonts w:ascii="Calibri" w:eastAsia="Times New Roman" w:hAnsi="Calibri" w:cs="Times New Roman"/>
                <w:color w:val="000000"/>
                <w:sz w:val="20"/>
                <w:szCs w:val="20"/>
              </w:rPr>
            </w:pPr>
          </w:p>
        </w:tc>
        <w:tc>
          <w:tcPr>
            <w:tcW w:w="1049"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Wall Insulation</w:t>
            </w:r>
          </w:p>
        </w:tc>
        <w:tc>
          <w:tcPr>
            <w:tcW w:w="1128"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 Modeling</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(±30%)</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(±30%)</w:t>
            </w:r>
          </w:p>
        </w:tc>
      </w:tr>
      <w:tr w:rsidR="00056305" w:rsidRPr="00575029" w:rsidTr="000D1B93">
        <w:tc>
          <w:tcPr>
            <w:tcW w:w="652" w:type="pct"/>
            <w:vMerge/>
            <w:vAlign w:val="center"/>
            <w:hideMark/>
          </w:tcPr>
          <w:p w:rsidR="00056305" w:rsidRPr="00575029" w:rsidRDefault="00056305" w:rsidP="000D1B93">
            <w:pPr>
              <w:spacing w:after="0"/>
              <w:rPr>
                <w:rFonts w:ascii="Calibri" w:eastAsia="Times New Roman" w:hAnsi="Calibri" w:cs="Times New Roman"/>
                <w:color w:val="000000"/>
                <w:sz w:val="20"/>
                <w:szCs w:val="20"/>
              </w:rPr>
            </w:pPr>
          </w:p>
        </w:tc>
        <w:tc>
          <w:tcPr>
            <w:tcW w:w="1049"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Insulation Other**</w:t>
            </w:r>
          </w:p>
        </w:tc>
        <w:tc>
          <w:tcPr>
            <w:tcW w:w="1128"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Reported </w:t>
            </w:r>
            <w:r w:rsidRPr="006E6279">
              <w:rPr>
                <w:rFonts w:ascii="Calibri" w:eastAsia="Times New Roman" w:hAnsi="Calibri" w:cs="Times New Roman"/>
                <w:i/>
                <w:color w:val="000000"/>
                <w:sz w:val="20"/>
                <w:szCs w:val="20"/>
              </w:rPr>
              <w:t>Ex Ante</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AA4942">
              <w:rPr>
                <w:rFonts w:ascii="Calibri" w:eastAsia="Times New Roman" w:hAnsi="Calibri" w:cs="Times New Roman"/>
                <w:color w:val="000000"/>
                <w:sz w:val="20"/>
                <w:szCs w:val="20"/>
              </w:rPr>
              <w:t>–</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AA4942">
              <w:rPr>
                <w:rFonts w:ascii="Calibri" w:eastAsia="Times New Roman" w:hAnsi="Calibri" w:cs="Times New Roman"/>
                <w:color w:val="000000"/>
                <w:sz w:val="20"/>
                <w:szCs w:val="20"/>
              </w:rPr>
              <w:t>–</w:t>
            </w:r>
          </w:p>
        </w:tc>
      </w:tr>
      <w:tr w:rsidR="00056305" w:rsidRPr="00575029" w:rsidTr="000D1B93">
        <w:tc>
          <w:tcPr>
            <w:tcW w:w="652" w:type="pct"/>
            <w:vMerge/>
            <w:vAlign w:val="center"/>
            <w:hideMark/>
          </w:tcPr>
          <w:p w:rsidR="00056305" w:rsidRPr="00575029" w:rsidRDefault="00056305" w:rsidP="000D1B93">
            <w:pPr>
              <w:spacing w:after="0"/>
              <w:rPr>
                <w:rFonts w:ascii="Calibri" w:eastAsia="Times New Roman" w:hAnsi="Calibri" w:cs="Times New Roman"/>
                <w:color w:val="000000"/>
                <w:sz w:val="20"/>
                <w:szCs w:val="20"/>
              </w:rPr>
            </w:pPr>
          </w:p>
        </w:tc>
        <w:tc>
          <w:tcPr>
            <w:tcW w:w="1049"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Windows</w:t>
            </w:r>
          </w:p>
        </w:tc>
        <w:tc>
          <w:tcPr>
            <w:tcW w:w="1128"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r>
      <w:tr w:rsidR="00056305" w:rsidRPr="00575029" w:rsidTr="000D1B93">
        <w:tc>
          <w:tcPr>
            <w:tcW w:w="652" w:type="pct"/>
            <w:vMerge w:val="restar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Water Heat</w:t>
            </w:r>
          </w:p>
        </w:tc>
        <w:tc>
          <w:tcPr>
            <w:tcW w:w="1049"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DHW</w:t>
            </w:r>
            <w:r w:rsidRPr="00575029">
              <w:rPr>
                <w:rFonts w:ascii="Calibri" w:eastAsia="Times New Roman" w:hAnsi="Calibri" w:cs="Times New Roman"/>
                <w:color w:val="000000"/>
                <w:sz w:val="20"/>
                <w:szCs w:val="20"/>
              </w:rPr>
              <w:t xml:space="preserve"> Bundle***</w:t>
            </w:r>
          </w:p>
        </w:tc>
        <w:tc>
          <w:tcPr>
            <w:tcW w:w="1128"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(±26%)</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(±26%)</w:t>
            </w:r>
          </w:p>
        </w:tc>
      </w:tr>
      <w:tr w:rsidR="00056305" w:rsidRPr="00575029" w:rsidTr="000D1B93">
        <w:tc>
          <w:tcPr>
            <w:tcW w:w="652" w:type="pct"/>
            <w:vMerge/>
            <w:vAlign w:val="center"/>
            <w:hideMark/>
          </w:tcPr>
          <w:p w:rsidR="00056305" w:rsidRPr="00575029" w:rsidRDefault="00056305" w:rsidP="000D1B93">
            <w:pPr>
              <w:spacing w:after="0"/>
              <w:rPr>
                <w:rFonts w:ascii="Calibri" w:eastAsia="Times New Roman" w:hAnsi="Calibri" w:cs="Times New Roman"/>
                <w:color w:val="000000"/>
                <w:sz w:val="20"/>
                <w:szCs w:val="20"/>
              </w:rPr>
            </w:pPr>
          </w:p>
        </w:tc>
        <w:tc>
          <w:tcPr>
            <w:tcW w:w="1049"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Water Heater Temp Setback</w:t>
            </w:r>
          </w:p>
        </w:tc>
        <w:tc>
          <w:tcPr>
            <w:tcW w:w="1128"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r>
      <w:tr w:rsidR="00056305" w:rsidRPr="00575029" w:rsidTr="000D1B93">
        <w:tc>
          <w:tcPr>
            <w:tcW w:w="652" w:type="pct"/>
            <w:vMerge/>
            <w:vAlign w:val="center"/>
            <w:hideMark/>
          </w:tcPr>
          <w:p w:rsidR="00056305" w:rsidRPr="00575029" w:rsidRDefault="00056305" w:rsidP="000D1B93">
            <w:pPr>
              <w:spacing w:after="0"/>
              <w:rPr>
                <w:rFonts w:ascii="Calibri" w:eastAsia="Times New Roman" w:hAnsi="Calibri" w:cs="Times New Roman"/>
                <w:color w:val="000000"/>
                <w:sz w:val="20"/>
                <w:szCs w:val="20"/>
              </w:rPr>
            </w:pPr>
          </w:p>
        </w:tc>
        <w:tc>
          <w:tcPr>
            <w:tcW w:w="1049" w:type="pct"/>
            <w:shd w:val="clear" w:color="auto" w:fill="auto"/>
            <w:vAlign w:val="center"/>
            <w:hideMark/>
          </w:tcPr>
          <w:p w:rsidR="00056305" w:rsidRPr="00575029" w:rsidRDefault="00056305" w:rsidP="000D1B9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Water Heater Replacement</w:t>
            </w:r>
          </w:p>
        </w:tc>
        <w:tc>
          <w:tcPr>
            <w:tcW w:w="1128"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Reported </w:t>
            </w:r>
            <w:r w:rsidRPr="006E6279">
              <w:rPr>
                <w:rFonts w:ascii="Calibri" w:eastAsia="Times New Roman" w:hAnsi="Calibri" w:cs="Times New Roman"/>
                <w:i/>
                <w:color w:val="000000"/>
                <w:sz w:val="20"/>
                <w:szCs w:val="20"/>
              </w:rPr>
              <w:t>Ex Ante</w:t>
            </w:r>
          </w:p>
        </w:tc>
        <w:tc>
          <w:tcPr>
            <w:tcW w:w="1081"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Reported </w:t>
            </w:r>
            <w:r w:rsidRPr="006E6279">
              <w:rPr>
                <w:rFonts w:ascii="Calibri" w:eastAsia="Times New Roman" w:hAnsi="Calibri" w:cs="Times New Roman"/>
                <w:i/>
                <w:color w:val="000000"/>
                <w:sz w:val="20"/>
                <w:szCs w:val="20"/>
              </w:rPr>
              <w:t>Ex Ante</w:t>
            </w:r>
          </w:p>
        </w:tc>
        <w:tc>
          <w:tcPr>
            <w:tcW w:w="1090" w:type="pct"/>
            <w:shd w:val="clear" w:color="auto" w:fill="auto"/>
            <w:vAlign w:val="center"/>
            <w:hideMark/>
          </w:tcPr>
          <w:p w:rsidR="00056305" w:rsidRPr="00575029" w:rsidRDefault="00056305" w:rsidP="000D1B93">
            <w:pPr>
              <w:spacing w:after="0"/>
              <w:jc w:val="center"/>
              <w:rPr>
                <w:rFonts w:ascii="Calibri" w:eastAsia="Times New Roman" w:hAnsi="Calibri" w:cs="Times New Roman"/>
                <w:color w:val="000000"/>
                <w:sz w:val="20"/>
                <w:szCs w:val="20"/>
              </w:rPr>
            </w:pPr>
            <w:r w:rsidRPr="007C1125">
              <w:rPr>
                <w:rFonts w:ascii="Calibri" w:eastAsia="Times New Roman" w:hAnsi="Calibri" w:cs="Times New Roman"/>
                <w:color w:val="000000"/>
                <w:sz w:val="20"/>
                <w:szCs w:val="20"/>
              </w:rPr>
              <w:t>–</w:t>
            </w:r>
          </w:p>
        </w:tc>
      </w:tr>
    </w:tbl>
    <w:p w:rsidR="00056305" w:rsidRPr="00A55F33" w:rsidRDefault="00056305" w:rsidP="00056305">
      <w:pPr>
        <w:spacing w:after="0" w:line="240" w:lineRule="auto"/>
        <w:ind w:left="90" w:hanging="90"/>
        <w:rPr>
          <w:sz w:val="20"/>
          <w:szCs w:val="20"/>
        </w:rPr>
      </w:pPr>
      <w:r w:rsidRPr="00A55F33">
        <w:rPr>
          <w:rFonts w:ascii="Calibri" w:eastAsia="Times New Roman" w:hAnsi="Calibri" w:cs="Times New Roman"/>
          <w:color w:val="000000"/>
          <w:sz w:val="20"/>
          <w:szCs w:val="20"/>
        </w:rPr>
        <w:t>*</w:t>
      </w:r>
      <w:r>
        <w:rPr>
          <w:rFonts w:ascii="Calibri" w:eastAsia="Times New Roman" w:hAnsi="Calibri" w:cs="Times New Roman"/>
          <w:color w:val="000000"/>
          <w:sz w:val="20"/>
          <w:szCs w:val="20"/>
        </w:rPr>
        <w:t>These</w:t>
      </w:r>
      <w:r w:rsidRPr="00A55F33">
        <w:rPr>
          <w:rFonts w:ascii="Calibri" w:eastAsia="Times New Roman" w:hAnsi="Calibri" w:cs="Times New Roman"/>
          <w:color w:val="000000"/>
          <w:sz w:val="20"/>
          <w:szCs w:val="20"/>
        </w:rPr>
        <w:t xml:space="preserve"> </w:t>
      </w:r>
      <w:r>
        <w:rPr>
          <w:rFonts w:ascii="Calibri" w:eastAsia="Times New Roman" w:hAnsi="Calibri" w:cs="Times New Roman"/>
          <w:color w:val="000000"/>
          <w:sz w:val="20"/>
          <w:szCs w:val="20"/>
        </w:rPr>
        <w:t>p</w:t>
      </w:r>
      <w:r w:rsidRPr="00A55F33">
        <w:rPr>
          <w:rFonts w:ascii="Calibri" w:eastAsia="Times New Roman" w:hAnsi="Calibri" w:cs="Times New Roman"/>
          <w:color w:val="000000"/>
          <w:sz w:val="20"/>
          <w:szCs w:val="20"/>
        </w:rPr>
        <w:t>rojects consist of appliance replacements without specific detail in measure description</w:t>
      </w:r>
      <w:r>
        <w:rPr>
          <w:rFonts w:ascii="Calibri" w:eastAsia="Times New Roman" w:hAnsi="Calibri" w:cs="Times New Roman"/>
          <w:color w:val="000000"/>
          <w:sz w:val="20"/>
          <w:szCs w:val="20"/>
        </w:rPr>
        <w:t>s.</w:t>
      </w:r>
    </w:p>
    <w:p w:rsidR="00056305" w:rsidRPr="00A55F33" w:rsidRDefault="00056305" w:rsidP="00056305">
      <w:pPr>
        <w:spacing w:after="0" w:line="240" w:lineRule="auto"/>
        <w:rPr>
          <w:rFonts w:ascii="Calibri" w:eastAsia="Times New Roman" w:hAnsi="Calibri" w:cs="Times New Roman"/>
          <w:color w:val="000000"/>
          <w:sz w:val="20"/>
          <w:szCs w:val="20"/>
        </w:rPr>
      </w:pPr>
      <w:r w:rsidRPr="00A55F33">
        <w:rPr>
          <w:rFonts w:ascii="Calibri" w:eastAsia="Times New Roman" w:hAnsi="Calibri" w:cs="Times New Roman"/>
          <w:color w:val="000000"/>
          <w:sz w:val="20"/>
          <w:szCs w:val="20"/>
        </w:rPr>
        <w:t>**</w:t>
      </w:r>
      <w:r>
        <w:rPr>
          <w:rFonts w:ascii="Calibri" w:eastAsia="Times New Roman" w:hAnsi="Calibri" w:cs="Times New Roman"/>
          <w:color w:val="000000"/>
          <w:sz w:val="20"/>
          <w:szCs w:val="20"/>
        </w:rPr>
        <w:t>These</w:t>
      </w:r>
      <w:r w:rsidRPr="00A55F33">
        <w:rPr>
          <w:rFonts w:ascii="Calibri" w:eastAsia="Times New Roman" w:hAnsi="Calibri" w:cs="Times New Roman"/>
          <w:color w:val="000000"/>
          <w:sz w:val="20"/>
          <w:szCs w:val="20"/>
        </w:rPr>
        <w:t xml:space="preserve"> </w:t>
      </w:r>
      <w:r>
        <w:rPr>
          <w:rFonts w:ascii="Calibri" w:eastAsia="Times New Roman" w:hAnsi="Calibri" w:cs="Times New Roman"/>
          <w:color w:val="000000"/>
          <w:sz w:val="20"/>
          <w:szCs w:val="20"/>
        </w:rPr>
        <w:t>p</w:t>
      </w:r>
      <w:r w:rsidRPr="00A55F33">
        <w:rPr>
          <w:rFonts w:ascii="Calibri" w:eastAsia="Times New Roman" w:hAnsi="Calibri" w:cs="Times New Roman"/>
          <w:color w:val="000000"/>
          <w:sz w:val="20"/>
          <w:szCs w:val="20"/>
        </w:rPr>
        <w:t>rojects consist of insulation installations without location</w:t>
      </w:r>
      <w:r>
        <w:rPr>
          <w:rFonts w:ascii="Calibri" w:eastAsia="Times New Roman" w:hAnsi="Calibri" w:cs="Times New Roman"/>
          <w:color w:val="000000"/>
          <w:sz w:val="20"/>
          <w:szCs w:val="20"/>
        </w:rPr>
        <w:t>s</w:t>
      </w:r>
      <w:r w:rsidRPr="00A55F33">
        <w:rPr>
          <w:rFonts w:ascii="Calibri" w:eastAsia="Times New Roman" w:hAnsi="Calibri" w:cs="Times New Roman"/>
          <w:color w:val="000000"/>
          <w:sz w:val="20"/>
          <w:szCs w:val="20"/>
        </w:rPr>
        <w:t xml:space="preserve"> specified in measure description</w:t>
      </w:r>
      <w:r>
        <w:rPr>
          <w:rFonts w:ascii="Calibri" w:eastAsia="Times New Roman" w:hAnsi="Calibri" w:cs="Times New Roman"/>
          <w:color w:val="000000"/>
          <w:sz w:val="20"/>
          <w:szCs w:val="20"/>
        </w:rPr>
        <w:t>s.</w:t>
      </w:r>
    </w:p>
    <w:p w:rsidR="00056305" w:rsidRPr="00A55F33" w:rsidRDefault="00056305" w:rsidP="00056305">
      <w:pPr>
        <w:spacing w:after="0" w:line="240" w:lineRule="auto"/>
        <w:rPr>
          <w:rFonts w:ascii="Calibri" w:eastAsia="Times New Roman" w:hAnsi="Calibri" w:cs="Times New Roman"/>
          <w:color w:val="000000"/>
          <w:sz w:val="20"/>
          <w:szCs w:val="20"/>
        </w:rPr>
      </w:pPr>
      <w:r w:rsidRPr="00A55F33">
        <w:rPr>
          <w:rFonts w:ascii="Calibri" w:eastAsia="Times New Roman" w:hAnsi="Calibri" w:cs="Times New Roman"/>
          <w:color w:val="000000"/>
          <w:sz w:val="20"/>
          <w:szCs w:val="20"/>
        </w:rPr>
        <w:t>***</w:t>
      </w:r>
      <w:r>
        <w:rPr>
          <w:rFonts w:ascii="Calibri" w:eastAsia="Times New Roman" w:hAnsi="Calibri" w:cs="Times New Roman"/>
          <w:color w:val="000000"/>
          <w:sz w:val="20"/>
          <w:szCs w:val="20"/>
        </w:rPr>
        <w:t>The measure</w:t>
      </w:r>
      <w:r w:rsidRPr="00A55F33">
        <w:rPr>
          <w:rFonts w:ascii="Calibri" w:eastAsia="Times New Roman" w:hAnsi="Calibri" w:cs="Times New Roman"/>
          <w:color w:val="000000"/>
          <w:sz w:val="20"/>
          <w:szCs w:val="20"/>
        </w:rPr>
        <w:t xml:space="preserve"> </w:t>
      </w:r>
      <w:r>
        <w:rPr>
          <w:rFonts w:ascii="Calibri" w:eastAsia="Times New Roman" w:hAnsi="Calibri" w:cs="Times New Roman"/>
          <w:color w:val="000000"/>
          <w:sz w:val="20"/>
          <w:szCs w:val="20"/>
        </w:rPr>
        <w:t>c</w:t>
      </w:r>
      <w:r w:rsidRPr="00A55F33">
        <w:rPr>
          <w:rFonts w:ascii="Calibri" w:eastAsia="Times New Roman" w:hAnsi="Calibri" w:cs="Times New Roman"/>
          <w:color w:val="000000"/>
          <w:sz w:val="20"/>
          <w:szCs w:val="20"/>
        </w:rPr>
        <w:t>ontains a mix of low-flow showerheads, faucet aerators, and pipe insulation</w:t>
      </w:r>
      <w:r>
        <w:rPr>
          <w:rFonts w:ascii="Calibri" w:eastAsia="Times New Roman" w:hAnsi="Calibri" w:cs="Times New Roman"/>
          <w:color w:val="000000"/>
          <w:sz w:val="20"/>
          <w:szCs w:val="20"/>
        </w:rPr>
        <w:t>.</w:t>
      </w:r>
    </w:p>
    <w:p w:rsidR="00056305" w:rsidRPr="00056305" w:rsidRDefault="00056305" w:rsidP="003A300E">
      <w:pPr>
        <w:pStyle w:val="NormalAfterTablesandFigures"/>
      </w:pPr>
    </w:p>
    <w:p w:rsidR="00E716B9" w:rsidRDefault="00E716B9" w:rsidP="00E716B9">
      <w:pPr>
        <w:pStyle w:val="Heading2"/>
      </w:pPr>
      <w:bookmarkStart w:id="9" w:name="_Toc389663830"/>
      <w:r>
        <w:t>Results</w:t>
      </w:r>
      <w:bookmarkEnd w:id="9"/>
    </w:p>
    <w:p w:rsidR="0049243C" w:rsidRPr="00216AA8" w:rsidRDefault="005C2163" w:rsidP="0049243C">
      <w:r>
        <w:fldChar w:fldCharType="begin"/>
      </w:r>
      <w:r w:rsidR="003F02FC">
        <w:instrText xml:space="preserve"> REF _Ref389465892 \h </w:instrText>
      </w:r>
      <w:r>
        <w:fldChar w:fldCharType="separate"/>
      </w:r>
      <w:r w:rsidR="00CD20CF">
        <w:t xml:space="preserve">Table </w:t>
      </w:r>
      <w:r w:rsidR="00CD20CF">
        <w:rPr>
          <w:noProof/>
        </w:rPr>
        <w:t>4</w:t>
      </w:r>
      <w:r>
        <w:fldChar w:fldCharType="end"/>
      </w:r>
      <w:r w:rsidR="0049243C">
        <w:t xml:space="preserve"> presents evaluated adjusted gross electric and gas en</w:t>
      </w:r>
      <w:r w:rsidR="005E5865">
        <w:t>ergy savings for the 2011 HES</w:t>
      </w:r>
      <w:r w:rsidR="0049243C">
        <w:t xml:space="preserve"> program.</w:t>
      </w:r>
    </w:p>
    <w:p w:rsidR="0049243C" w:rsidRPr="00216AA8" w:rsidRDefault="0049243C" w:rsidP="0049243C">
      <w:pPr>
        <w:pStyle w:val="Caption"/>
      </w:pPr>
      <w:bookmarkStart w:id="10" w:name="_Ref389465892"/>
      <w:r>
        <w:t xml:space="preserve">Table </w:t>
      </w:r>
      <w:r w:rsidR="002506E1">
        <w:fldChar w:fldCharType="begin"/>
      </w:r>
      <w:r w:rsidR="002506E1">
        <w:instrText xml:space="preserve"> SEQ Table \* ARABIC </w:instrText>
      </w:r>
      <w:r w:rsidR="002506E1">
        <w:fldChar w:fldCharType="separate"/>
      </w:r>
      <w:r w:rsidR="00CD20CF">
        <w:rPr>
          <w:noProof/>
        </w:rPr>
        <w:t>4</w:t>
      </w:r>
      <w:r w:rsidR="002506E1">
        <w:rPr>
          <w:noProof/>
        </w:rPr>
        <w:fldChar w:fldCharType="end"/>
      </w:r>
      <w:bookmarkEnd w:id="10"/>
      <w:r>
        <w:t xml:space="preserve">. Total 2011 Evaluated HES Electric and Gas Savings </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434"/>
        <w:gridCol w:w="1426"/>
        <w:gridCol w:w="1221"/>
        <w:gridCol w:w="1859"/>
      </w:tblGrid>
      <w:tr w:rsidR="0049243C" w:rsidRPr="00216AA8" w:rsidTr="000D1B93">
        <w:trPr>
          <w:jc w:val="center"/>
        </w:trPr>
        <w:tc>
          <w:tcPr>
            <w:tcW w:w="0" w:type="auto"/>
            <w:shd w:val="clear" w:color="000000" w:fill="005DAA"/>
            <w:vAlign w:val="center"/>
            <w:hideMark/>
          </w:tcPr>
          <w:p w:rsidR="0049243C" w:rsidRPr="00216AA8" w:rsidRDefault="0049243C" w:rsidP="000D1B93">
            <w:pPr>
              <w:spacing w:after="0" w:line="240" w:lineRule="auto"/>
              <w:jc w:val="center"/>
              <w:rPr>
                <w:rFonts w:ascii="Calibri" w:eastAsia="Times New Roman" w:hAnsi="Calibri" w:cs="Times New Roman"/>
                <w:b/>
                <w:bCs/>
                <w:color w:val="FFFFFF"/>
              </w:rPr>
            </w:pPr>
            <w:r w:rsidRPr="00216AA8">
              <w:rPr>
                <w:rFonts w:ascii="Calibri" w:eastAsia="Times New Roman" w:hAnsi="Calibri" w:cs="Times New Roman"/>
                <w:b/>
                <w:bCs/>
                <w:color w:val="FFFFFF"/>
              </w:rPr>
              <w:t>Value</w:t>
            </w:r>
          </w:p>
        </w:tc>
        <w:tc>
          <w:tcPr>
            <w:tcW w:w="0" w:type="auto"/>
            <w:shd w:val="clear" w:color="000000" w:fill="005DAA"/>
            <w:vAlign w:val="center"/>
            <w:hideMark/>
          </w:tcPr>
          <w:p w:rsidR="0049243C" w:rsidRPr="00216AA8" w:rsidRDefault="0049243C" w:rsidP="000D1B93">
            <w:pPr>
              <w:spacing w:after="0" w:line="240" w:lineRule="auto"/>
              <w:jc w:val="center"/>
              <w:rPr>
                <w:rFonts w:ascii="Calibri" w:eastAsia="Times New Roman" w:hAnsi="Calibri" w:cs="Times New Roman"/>
                <w:b/>
                <w:bCs/>
                <w:color w:val="FFFFFF"/>
              </w:rPr>
            </w:pPr>
            <w:r w:rsidRPr="00216AA8">
              <w:rPr>
                <w:rFonts w:ascii="Calibri" w:eastAsia="Times New Roman" w:hAnsi="Calibri" w:cs="Times New Roman"/>
                <w:b/>
                <w:bCs/>
                <w:color w:val="FFFFFF"/>
              </w:rPr>
              <w:t>Annual MWh</w:t>
            </w:r>
          </w:p>
        </w:tc>
        <w:tc>
          <w:tcPr>
            <w:tcW w:w="0" w:type="auto"/>
            <w:shd w:val="clear" w:color="000000" w:fill="005DAA"/>
            <w:vAlign w:val="center"/>
            <w:hideMark/>
          </w:tcPr>
          <w:p w:rsidR="0049243C" w:rsidRPr="00216AA8" w:rsidRDefault="0049243C" w:rsidP="000D1B93">
            <w:pPr>
              <w:spacing w:after="0" w:line="240" w:lineRule="auto"/>
              <w:jc w:val="center"/>
              <w:rPr>
                <w:rFonts w:ascii="Calibri" w:eastAsia="Times New Roman" w:hAnsi="Calibri" w:cs="Times New Roman"/>
                <w:b/>
                <w:bCs/>
                <w:color w:val="FFFFFF"/>
              </w:rPr>
            </w:pPr>
            <w:r>
              <w:rPr>
                <w:rFonts w:ascii="Calibri" w:eastAsia="Times New Roman" w:hAnsi="Calibri" w:cs="Times New Roman"/>
                <w:b/>
                <w:bCs/>
                <w:color w:val="FFFFFF"/>
              </w:rPr>
              <w:t>Annual kW</w:t>
            </w:r>
          </w:p>
        </w:tc>
        <w:tc>
          <w:tcPr>
            <w:tcW w:w="0" w:type="auto"/>
            <w:shd w:val="clear" w:color="000000" w:fill="005DAA"/>
            <w:vAlign w:val="center"/>
            <w:hideMark/>
          </w:tcPr>
          <w:p w:rsidR="0049243C" w:rsidRPr="00216AA8" w:rsidRDefault="0049243C" w:rsidP="000D1B93">
            <w:pPr>
              <w:spacing w:after="0" w:line="240" w:lineRule="auto"/>
              <w:jc w:val="center"/>
              <w:rPr>
                <w:rFonts w:ascii="Calibri" w:eastAsia="Times New Roman" w:hAnsi="Calibri" w:cs="Times New Roman"/>
                <w:b/>
                <w:bCs/>
                <w:color w:val="FFFFFF"/>
              </w:rPr>
            </w:pPr>
            <w:r w:rsidRPr="00216AA8">
              <w:rPr>
                <w:rFonts w:ascii="Calibri" w:eastAsia="Times New Roman" w:hAnsi="Calibri" w:cs="Times New Roman"/>
                <w:b/>
                <w:bCs/>
                <w:color w:val="FFFFFF"/>
              </w:rPr>
              <w:t>Annual CCF (000s)</w:t>
            </w:r>
          </w:p>
        </w:tc>
      </w:tr>
      <w:tr w:rsidR="0049243C" w:rsidRPr="00216AA8" w:rsidTr="000D1B93">
        <w:trPr>
          <w:jc w:val="center"/>
        </w:trPr>
        <w:tc>
          <w:tcPr>
            <w:tcW w:w="0" w:type="auto"/>
            <w:shd w:val="clear" w:color="auto" w:fill="auto"/>
            <w:vAlign w:val="center"/>
            <w:hideMark/>
          </w:tcPr>
          <w:p w:rsidR="0049243C" w:rsidRPr="00216AA8" w:rsidRDefault="0049243C" w:rsidP="000D1B93">
            <w:pPr>
              <w:spacing w:after="0" w:line="240" w:lineRule="auto"/>
              <w:rPr>
                <w:rFonts w:ascii="Calibri" w:eastAsia="Times New Roman" w:hAnsi="Calibri" w:cs="Times New Roman"/>
                <w:color w:val="000000"/>
                <w:sz w:val="20"/>
                <w:szCs w:val="20"/>
              </w:rPr>
            </w:pPr>
            <w:r w:rsidRPr="00216AA8">
              <w:rPr>
                <w:rFonts w:ascii="Calibri" w:eastAsia="Times New Roman" w:hAnsi="Calibri" w:cs="Times New Roman"/>
                <w:color w:val="000000"/>
                <w:sz w:val="20"/>
                <w:szCs w:val="20"/>
              </w:rPr>
              <w:t>Reported Savings</w:t>
            </w:r>
          </w:p>
        </w:tc>
        <w:tc>
          <w:tcPr>
            <w:tcW w:w="0" w:type="auto"/>
            <w:shd w:val="clear" w:color="auto" w:fill="auto"/>
            <w:vAlign w:val="center"/>
          </w:tcPr>
          <w:p w:rsidR="0049243C" w:rsidRPr="00216AA8" w:rsidRDefault="005E5865" w:rsidP="005E586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19,991</w:t>
            </w:r>
          </w:p>
        </w:tc>
        <w:tc>
          <w:tcPr>
            <w:tcW w:w="0" w:type="auto"/>
            <w:shd w:val="clear" w:color="auto" w:fill="auto"/>
            <w:vAlign w:val="center"/>
          </w:tcPr>
          <w:p w:rsidR="0049243C" w:rsidRPr="00216AA8" w:rsidRDefault="005E5865" w:rsidP="005E586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3,413</w:t>
            </w:r>
          </w:p>
        </w:tc>
        <w:tc>
          <w:tcPr>
            <w:tcW w:w="0" w:type="auto"/>
            <w:shd w:val="clear" w:color="auto" w:fill="auto"/>
            <w:vAlign w:val="center"/>
          </w:tcPr>
          <w:p w:rsidR="0049243C" w:rsidRPr="00216AA8" w:rsidRDefault="005E5865" w:rsidP="005E586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569</w:t>
            </w:r>
          </w:p>
        </w:tc>
      </w:tr>
      <w:tr w:rsidR="0049243C" w:rsidRPr="00216AA8" w:rsidTr="000D1B93">
        <w:trPr>
          <w:jc w:val="center"/>
        </w:trPr>
        <w:tc>
          <w:tcPr>
            <w:tcW w:w="0" w:type="auto"/>
            <w:shd w:val="clear" w:color="auto" w:fill="auto"/>
            <w:vAlign w:val="center"/>
            <w:hideMark/>
          </w:tcPr>
          <w:p w:rsidR="0049243C" w:rsidRPr="00216AA8" w:rsidRDefault="0049243C" w:rsidP="000D1B93">
            <w:pPr>
              <w:spacing w:after="0" w:line="240" w:lineRule="auto"/>
              <w:rPr>
                <w:rFonts w:ascii="Calibri" w:eastAsia="Times New Roman" w:hAnsi="Calibri" w:cs="Times New Roman"/>
                <w:color w:val="000000"/>
                <w:sz w:val="20"/>
                <w:szCs w:val="20"/>
              </w:rPr>
            </w:pPr>
            <w:r w:rsidRPr="00216AA8">
              <w:rPr>
                <w:rFonts w:ascii="Calibri" w:eastAsia="Times New Roman" w:hAnsi="Calibri" w:cs="Times New Roman"/>
                <w:color w:val="000000"/>
                <w:sz w:val="20"/>
                <w:szCs w:val="20"/>
              </w:rPr>
              <w:t>Evaluated Adjusted Savings</w:t>
            </w:r>
          </w:p>
        </w:tc>
        <w:tc>
          <w:tcPr>
            <w:tcW w:w="0" w:type="auto"/>
            <w:shd w:val="clear" w:color="auto" w:fill="auto"/>
            <w:vAlign w:val="center"/>
          </w:tcPr>
          <w:p w:rsidR="0049243C" w:rsidRPr="00216AA8" w:rsidRDefault="005E5865" w:rsidP="005E586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22,158</w:t>
            </w:r>
          </w:p>
        </w:tc>
        <w:tc>
          <w:tcPr>
            <w:tcW w:w="0" w:type="auto"/>
            <w:shd w:val="clear" w:color="auto" w:fill="auto"/>
            <w:vAlign w:val="center"/>
          </w:tcPr>
          <w:p w:rsidR="0049243C" w:rsidRPr="00216AA8" w:rsidRDefault="005E5865" w:rsidP="005E586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3,783</w:t>
            </w:r>
          </w:p>
        </w:tc>
        <w:tc>
          <w:tcPr>
            <w:tcW w:w="0" w:type="auto"/>
            <w:shd w:val="clear" w:color="auto" w:fill="auto"/>
            <w:vAlign w:val="center"/>
          </w:tcPr>
          <w:p w:rsidR="0049243C" w:rsidRPr="00216AA8" w:rsidRDefault="005E5865" w:rsidP="005E586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382</w:t>
            </w:r>
          </w:p>
        </w:tc>
      </w:tr>
      <w:tr w:rsidR="0049243C" w:rsidRPr="00216AA8" w:rsidTr="000D1B93">
        <w:trPr>
          <w:jc w:val="center"/>
        </w:trPr>
        <w:tc>
          <w:tcPr>
            <w:tcW w:w="0" w:type="auto"/>
            <w:shd w:val="clear" w:color="auto" w:fill="auto"/>
            <w:vAlign w:val="center"/>
            <w:hideMark/>
          </w:tcPr>
          <w:p w:rsidR="0049243C" w:rsidRPr="00216AA8" w:rsidRDefault="0049243C" w:rsidP="000D1B93">
            <w:pPr>
              <w:spacing w:after="0" w:line="240" w:lineRule="auto"/>
              <w:rPr>
                <w:rFonts w:ascii="Calibri" w:eastAsia="Times New Roman" w:hAnsi="Calibri" w:cs="Times New Roman"/>
                <w:color w:val="000000"/>
                <w:sz w:val="20"/>
                <w:szCs w:val="20"/>
              </w:rPr>
            </w:pPr>
            <w:r w:rsidRPr="00216AA8">
              <w:rPr>
                <w:rFonts w:ascii="Calibri" w:eastAsia="Times New Roman" w:hAnsi="Calibri" w:cs="Times New Roman"/>
                <w:color w:val="000000"/>
                <w:sz w:val="20"/>
                <w:szCs w:val="20"/>
              </w:rPr>
              <w:t>Realization Rate</w:t>
            </w:r>
          </w:p>
        </w:tc>
        <w:tc>
          <w:tcPr>
            <w:tcW w:w="0" w:type="auto"/>
            <w:gridSpan w:val="2"/>
            <w:shd w:val="clear" w:color="auto" w:fill="auto"/>
            <w:vAlign w:val="center"/>
          </w:tcPr>
          <w:p w:rsidR="0049243C" w:rsidRPr="00216AA8" w:rsidRDefault="005E5865" w:rsidP="005E586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111%</w:t>
            </w:r>
          </w:p>
        </w:tc>
        <w:tc>
          <w:tcPr>
            <w:tcW w:w="0" w:type="auto"/>
            <w:shd w:val="clear" w:color="auto" w:fill="auto"/>
            <w:vAlign w:val="center"/>
          </w:tcPr>
          <w:p w:rsidR="0049243C" w:rsidRPr="00216AA8" w:rsidRDefault="005E5865" w:rsidP="005E586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64%</w:t>
            </w:r>
          </w:p>
        </w:tc>
      </w:tr>
    </w:tbl>
    <w:p w:rsidR="0049243C" w:rsidRDefault="0049243C" w:rsidP="0049243C">
      <w:pPr>
        <w:pStyle w:val="NormalAfterTablesandFigures"/>
      </w:pPr>
    </w:p>
    <w:p w:rsidR="0049243C" w:rsidRDefault="003F02FC" w:rsidP="0049243C">
      <w:r>
        <w:t>T</w:t>
      </w:r>
      <w:r w:rsidR="005E5865">
        <w:t>he HES</w:t>
      </w:r>
      <w:r w:rsidR="0049243C">
        <w:t xml:space="preserve"> program</w:t>
      </w:r>
      <w:r>
        <w:t xml:space="preserve"> produced </w:t>
      </w:r>
      <w:r w:rsidR="0049243C">
        <w:t xml:space="preserve">evaluated adjusted gross savings lower than reported savings, with an adjusted gross realization rate </w:t>
      </w:r>
      <w:r w:rsidR="0049243C" w:rsidRPr="007A156B">
        <w:t xml:space="preserve">of </w:t>
      </w:r>
      <w:r w:rsidR="005E5865">
        <w:t>111</w:t>
      </w:r>
      <w:r w:rsidR="0049243C" w:rsidRPr="007A156B">
        <w:t>%</w:t>
      </w:r>
      <w:r w:rsidR="0049243C">
        <w:t xml:space="preserve"> for electric and </w:t>
      </w:r>
      <w:r w:rsidR="005E5865">
        <w:t>64</w:t>
      </w:r>
      <w:r w:rsidR="0049243C">
        <w:t xml:space="preserve">% for gas. Evaluated savings </w:t>
      </w:r>
      <w:r>
        <w:t>were</w:t>
      </w:r>
      <w:r w:rsidR="0049243C">
        <w:t xml:space="preserve"> calculated using analytical methods specific to each measure, as described in more detail below</w:t>
      </w:r>
    </w:p>
    <w:p w:rsidR="0049243C" w:rsidRDefault="005C2163" w:rsidP="0049243C">
      <w:r>
        <w:lastRenderedPageBreak/>
        <w:fldChar w:fldCharType="begin"/>
      </w:r>
      <w:r w:rsidR="00662AC0">
        <w:instrText xml:space="preserve"> REF _Ref389466004 \h </w:instrText>
      </w:r>
      <w:r>
        <w:fldChar w:fldCharType="separate"/>
      </w:r>
      <w:r w:rsidR="00CD20CF">
        <w:t xml:space="preserve">Table </w:t>
      </w:r>
      <w:r w:rsidR="00CD20CF">
        <w:rPr>
          <w:noProof/>
        </w:rPr>
        <w:t>5</w:t>
      </w:r>
      <w:r>
        <w:fldChar w:fldCharType="end"/>
      </w:r>
      <w:r w:rsidR="0049243C">
        <w:t xml:space="preserve"> and </w:t>
      </w:r>
      <w:r>
        <w:fldChar w:fldCharType="begin"/>
      </w:r>
      <w:r w:rsidR="00662AC0">
        <w:instrText xml:space="preserve"> REF _Ref389466009 \h </w:instrText>
      </w:r>
      <w:r>
        <w:fldChar w:fldCharType="separate"/>
      </w:r>
      <w:r w:rsidR="00CD20CF">
        <w:t xml:space="preserve">Table </w:t>
      </w:r>
      <w:r w:rsidR="00CD20CF">
        <w:rPr>
          <w:noProof/>
        </w:rPr>
        <w:t>6</w:t>
      </w:r>
      <w:r>
        <w:fldChar w:fldCharType="end"/>
      </w:r>
      <w:r w:rsidR="0049243C">
        <w:t xml:space="preserve"> present the distribution of HES electric and gas savings at the measure-level, comparing reported </w:t>
      </w:r>
      <w:r w:rsidR="0049243C" w:rsidRPr="00296386">
        <w:rPr>
          <w:i/>
        </w:rPr>
        <w:t>ex ante</w:t>
      </w:r>
      <w:r w:rsidR="0049243C">
        <w:t xml:space="preserve"> savings to estimates of evaluated gross savings. The savings estimates below reflect average household savings for participants receiving a given measure. </w:t>
      </w:r>
    </w:p>
    <w:p w:rsidR="0049243C" w:rsidRDefault="0049243C" w:rsidP="0049243C">
      <w:pPr>
        <w:pStyle w:val="Caption"/>
      </w:pPr>
      <w:bookmarkStart w:id="11" w:name="_Ref389466004"/>
      <w:r>
        <w:t xml:space="preserve">Table </w:t>
      </w:r>
      <w:r w:rsidR="002506E1">
        <w:fldChar w:fldCharType="begin"/>
      </w:r>
      <w:r w:rsidR="002506E1">
        <w:instrText xml:space="preserve"> SEQ Table \* ARABIC </w:instrText>
      </w:r>
      <w:r w:rsidR="002506E1">
        <w:fldChar w:fldCharType="separate"/>
      </w:r>
      <w:r w:rsidR="00CD20CF">
        <w:rPr>
          <w:noProof/>
        </w:rPr>
        <w:t>5</w:t>
      </w:r>
      <w:r w:rsidR="002506E1">
        <w:rPr>
          <w:noProof/>
        </w:rPr>
        <w:fldChar w:fldCharType="end"/>
      </w:r>
      <w:bookmarkEnd w:id="11"/>
      <w:r>
        <w:t xml:space="preserve">. Comparison of </w:t>
      </w:r>
      <w:r w:rsidRPr="00CF4F75">
        <w:rPr>
          <w:i/>
        </w:rPr>
        <w:t>Ex Ante</w:t>
      </w:r>
      <w:r>
        <w:t xml:space="preserve"> and </w:t>
      </w:r>
      <w:r w:rsidR="005025C1">
        <w:t xml:space="preserve">Evaluated </w:t>
      </w:r>
      <w:r>
        <w:t>Gross Savings by Measure—HES Electric</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80"/>
        <w:gridCol w:w="1786"/>
        <w:gridCol w:w="1889"/>
        <w:gridCol w:w="1343"/>
        <w:gridCol w:w="1230"/>
        <w:gridCol w:w="2148"/>
      </w:tblGrid>
      <w:tr w:rsidR="0049243C" w:rsidRPr="007331E7" w:rsidTr="00662AC0">
        <w:trPr>
          <w:tblHeader/>
        </w:trPr>
        <w:tc>
          <w:tcPr>
            <w:tcW w:w="620" w:type="pct"/>
            <w:shd w:val="clear" w:color="000000" w:fill="005DAA"/>
            <w:vAlign w:val="center"/>
            <w:hideMark/>
          </w:tcPr>
          <w:p w:rsidR="0049243C" w:rsidRPr="007331E7" w:rsidRDefault="0049243C" w:rsidP="0049243C">
            <w:pPr>
              <w:spacing w:after="0"/>
              <w:jc w:val="center"/>
              <w:rPr>
                <w:rFonts w:ascii="Calibri" w:eastAsia="Times New Roman" w:hAnsi="Calibri" w:cs="Times New Roman"/>
                <w:b/>
                <w:bCs/>
                <w:color w:val="FFFFFF"/>
              </w:rPr>
            </w:pPr>
            <w:r w:rsidRPr="007331E7">
              <w:rPr>
                <w:rFonts w:ascii="Calibri" w:eastAsia="Times New Roman" w:hAnsi="Calibri" w:cs="Times New Roman"/>
                <w:b/>
                <w:bCs/>
                <w:color w:val="FFFFFF"/>
              </w:rPr>
              <w:t>Category</w:t>
            </w:r>
          </w:p>
        </w:tc>
        <w:tc>
          <w:tcPr>
            <w:tcW w:w="936" w:type="pct"/>
            <w:shd w:val="clear" w:color="000000" w:fill="005DAA"/>
            <w:vAlign w:val="center"/>
            <w:hideMark/>
          </w:tcPr>
          <w:p w:rsidR="0049243C" w:rsidRPr="007331E7" w:rsidRDefault="0049243C" w:rsidP="0049243C">
            <w:pPr>
              <w:spacing w:after="0"/>
              <w:jc w:val="center"/>
              <w:rPr>
                <w:rFonts w:ascii="Calibri" w:eastAsia="Times New Roman" w:hAnsi="Calibri" w:cs="Times New Roman"/>
                <w:b/>
                <w:bCs/>
                <w:color w:val="FFFFFF"/>
              </w:rPr>
            </w:pPr>
            <w:r w:rsidRPr="007331E7">
              <w:rPr>
                <w:rFonts w:ascii="Calibri" w:eastAsia="Times New Roman" w:hAnsi="Calibri" w:cs="Times New Roman"/>
                <w:b/>
                <w:bCs/>
                <w:color w:val="FFFFFF"/>
              </w:rPr>
              <w:t>Measure</w:t>
            </w:r>
          </w:p>
        </w:tc>
        <w:tc>
          <w:tcPr>
            <w:tcW w:w="990" w:type="pct"/>
            <w:shd w:val="clear" w:color="000000" w:fill="005DAA"/>
            <w:vAlign w:val="center"/>
            <w:hideMark/>
          </w:tcPr>
          <w:p w:rsidR="0049243C" w:rsidRDefault="0049243C" w:rsidP="0049243C">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 xml:space="preserve">Reported </w:t>
            </w:r>
            <w:r w:rsidRPr="00CF4F75">
              <w:rPr>
                <w:rFonts w:ascii="Calibri" w:eastAsia="Times New Roman" w:hAnsi="Calibri" w:cs="Times New Roman"/>
                <w:b/>
                <w:bCs/>
                <w:i/>
                <w:color w:val="FFFFFF"/>
              </w:rPr>
              <w:t>Ex ante</w:t>
            </w:r>
            <w:r>
              <w:rPr>
                <w:rFonts w:ascii="Calibri" w:eastAsia="Times New Roman" w:hAnsi="Calibri" w:cs="Times New Roman"/>
                <w:b/>
                <w:bCs/>
                <w:color w:val="FFFFFF"/>
              </w:rPr>
              <w:t xml:space="preserve"> Savings (kWh/</w:t>
            </w:r>
          </w:p>
          <w:p w:rsidR="0049243C" w:rsidRPr="007331E7" w:rsidRDefault="0049243C" w:rsidP="0049243C">
            <w:pPr>
              <w:spacing w:after="0"/>
              <w:jc w:val="center"/>
              <w:rPr>
                <w:rFonts w:ascii="Calibri" w:eastAsia="Times New Roman" w:hAnsi="Calibri" w:cs="Times New Roman"/>
                <w:b/>
                <w:bCs/>
                <w:color w:val="FFFFFF"/>
              </w:rPr>
            </w:pPr>
            <w:r w:rsidRPr="007331E7">
              <w:rPr>
                <w:rFonts w:ascii="Calibri" w:eastAsia="Times New Roman" w:hAnsi="Calibri" w:cs="Times New Roman"/>
                <w:b/>
                <w:bCs/>
                <w:color w:val="FFFFFF"/>
              </w:rPr>
              <w:t>Household) *</w:t>
            </w:r>
            <w:r w:rsidRPr="007331E7">
              <w:rPr>
                <w:rFonts w:ascii="Calibri" w:eastAsia="Times New Roman" w:hAnsi="Calibri" w:cs="Times New Roman"/>
                <w:b/>
                <w:bCs/>
                <w:color w:val="FFFFFF"/>
              </w:rPr>
              <w:br/>
              <w:t>(A)</w:t>
            </w:r>
          </w:p>
        </w:tc>
        <w:tc>
          <w:tcPr>
            <w:tcW w:w="705" w:type="pct"/>
            <w:shd w:val="clear" w:color="000000" w:fill="005DAA"/>
            <w:vAlign w:val="center"/>
            <w:hideMark/>
          </w:tcPr>
          <w:p w:rsidR="0049243C" w:rsidRPr="007331E7" w:rsidRDefault="0049243C" w:rsidP="0049243C">
            <w:pPr>
              <w:spacing w:after="0"/>
              <w:jc w:val="center"/>
              <w:rPr>
                <w:rFonts w:ascii="Calibri" w:eastAsia="Times New Roman" w:hAnsi="Calibri" w:cs="Times New Roman"/>
                <w:b/>
                <w:bCs/>
                <w:color w:val="FFFFFF"/>
              </w:rPr>
            </w:pPr>
            <w:r w:rsidRPr="007331E7">
              <w:rPr>
                <w:rFonts w:ascii="Calibri" w:eastAsia="Times New Roman" w:hAnsi="Calibri" w:cs="Times New Roman"/>
                <w:b/>
                <w:bCs/>
                <w:color w:val="FFFFFF"/>
              </w:rPr>
              <w:t>Gross</w:t>
            </w:r>
            <w:r w:rsidR="005025C1">
              <w:rPr>
                <w:rFonts w:ascii="Calibri" w:eastAsia="Times New Roman" w:hAnsi="Calibri" w:cs="Times New Roman"/>
                <w:b/>
                <w:bCs/>
                <w:color w:val="FFFFFF"/>
              </w:rPr>
              <w:t xml:space="preserve"> Savings (kWh/ Household)</w:t>
            </w:r>
            <w:r w:rsidRPr="007331E7">
              <w:rPr>
                <w:rFonts w:ascii="Calibri" w:eastAsia="Times New Roman" w:hAnsi="Calibri" w:cs="Times New Roman"/>
                <w:b/>
                <w:bCs/>
                <w:color w:val="FFFFFF"/>
              </w:rPr>
              <w:br/>
              <w:t>(B)</w:t>
            </w:r>
          </w:p>
        </w:tc>
        <w:tc>
          <w:tcPr>
            <w:tcW w:w="623" w:type="pct"/>
            <w:shd w:val="clear" w:color="000000" w:fill="005DAA"/>
            <w:vAlign w:val="center"/>
            <w:hideMark/>
          </w:tcPr>
          <w:p w:rsidR="0049243C" w:rsidRPr="007331E7" w:rsidRDefault="005025C1" w:rsidP="0049243C">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Realization Rate</w:t>
            </w:r>
            <w:r w:rsidR="0049243C" w:rsidRPr="007331E7">
              <w:rPr>
                <w:rFonts w:ascii="Calibri" w:eastAsia="Times New Roman" w:hAnsi="Calibri" w:cs="Times New Roman"/>
                <w:b/>
                <w:bCs/>
                <w:color w:val="FFFFFF"/>
              </w:rPr>
              <w:t xml:space="preserve"> </w:t>
            </w:r>
            <w:r w:rsidR="0049243C" w:rsidRPr="007331E7">
              <w:rPr>
                <w:rFonts w:ascii="Calibri" w:eastAsia="Times New Roman" w:hAnsi="Calibri" w:cs="Times New Roman"/>
                <w:b/>
                <w:bCs/>
                <w:color w:val="FFFFFF"/>
              </w:rPr>
              <w:br/>
              <w:t>(B/A)</w:t>
            </w:r>
          </w:p>
        </w:tc>
        <w:tc>
          <w:tcPr>
            <w:tcW w:w="1125" w:type="pct"/>
            <w:shd w:val="clear" w:color="000000" w:fill="005DAA"/>
            <w:vAlign w:val="center"/>
            <w:hideMark/>
          </w:tcPr>
          <w:p w:rsidR="0049243C" w:rsidRPr="007331E7" w:rsidRDefault="0049243C" w:rsidP="0049243C">
            <w:pPr>
              <w:spacing w:after="0"/>
              <w:jc w:val="center"/>
              <w:rPr>
                <w:rFonts w:ascii="Calibri" w:eastAsia="Times New Roman" w:hAnsi="Calibri" w:cs="Times New Roman"/>
                <w:b/>
                <w:bCs/>
                <w:color w:val="FFFFFF"/>
              </w:rPr>
            </w:pPr>
            <w:r w:rsidRPr="007331E7">
              <w:rPr>
                <w:rFonts w:ascii="Calibri" w:eastAsia="Times New Roman" w:hAnsi="Calibri" w:cs="Times New Roman"/>
                <w:b/>
                <w:bCs/>
                <w:color w:val="FFFFFF"/>
              </w:rPr>
              <w:t>Method</w:t>
            </w:r>
          </w:p>
        </w:tc>
      </w:tr>
      <w:tr w:rsidR="0049243C" w:rsidRPr="007331E7" w:rsidTr="000D1B93">
        <w:tc>
          <w:tcPr>
            <w:tcW w:w="620"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Appliance</w:t>
            </w:r>
          </w:p>
        </w:tc>
        <w:tc>
          <w:tcPr>
            <w:tcW w:w="936"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Dehumidifier</w:t>
            </w:r>
          </w:p>
        </w:tc>
        <w:tc>
          <w:tcPr>
            <w:tcW w:w="990" w:type="pct"/>
            <w:shd w:val="clear" w:color="auto" w:fill="auto"/>
            <w:vAlign w:val="center"/>
            <w:hideMark/>
          </w:tcPr>
          <w:p w:rsidR="0049243C" w:rsidRPr="007331E7" w:rsidRDefault="0049243C" w:rsidP="0049243C">
            <w:pPr>
              <w:spacing w:after="0"/>
              <w:jc w:val="right"/>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382</w:t>
            </w:r>
          </w:p>
        </w:tc>
        <w:tc>
          <w:tcPr>
            <w:tcW w:w="705" w:type="pct"/>
            <w:shd w:val="clear" w:color="auto" w:fill="auto"/>
            <w:vAlign w:val="center"/>
            <w:hideMark/>
          </w:tcPr>
          <w:p w:rsidR="0049243C" w:rsidRPr="007331E7" w:rsidRDefault="0049243C" w:rsidP="005E5865">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w:t>
            </w:r>
            <w:r w:rsidR="005E5865">
              <w:rPr>
                <w:rFonts w:ascii="Calibri" w:eastAsia="Times New Roman" w:hAnsi="Calibri" w:cs="Times New Roman"/>
                <w:color w:val="000000"/>
                <w:sz w:val="20"/>
                <w:szCs w:val="20"/>
              </w:rPr>
              <w:t>1</w:t>
            </w:r>
          </w:p>
        </w:tc>
        <w:tc>
          <w:tcPr>
            <w:tcW w:w="623" w:type="pct"/>
            <w:shd w:val="clear" w:color="auto" w:fill="auto"/>
            <w:vAlign w:val="center"/>
            <w:hideMark/>
          </w:tcPr>
          <w:p w:rsidR="0049243C" w:rsidRPr="007331E7" w:rsidRDefault="0049243C"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w:t>
            </w:r>
            <w:r w:rsidRPr="007331E7">
              <w:rPr>
                <w:rFonts w:ascii="Calibri" w:eastAsia="Times New Roman" w:hAnsi="Calibri" w:cs="Times New Roman"/>
                <w:color w:val="000000"/>
                <w:sz w:val="20"/>
                <w:szCs w:val="20"/>
              </w:rPr>
              <w:t>%</w:t>
            </w:r>
          </w:p>
        </w:tc>
        <w:tc>
          <w:tcPr>
            <w:tcW w:w="1125"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Engineering Algorithm</w:t>
            </w:r>
          </w:p>
        </w:tc>
      </w:tr>
      <w:tr w:rsidR="0049243C" w:rsidRPr="007331E7" w:rsidTr="000D1B93">
        <w:tc>
          <w:tcPr>
            <w:tcW w:w="620"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Appliance</w:t>
            </w:r>
          </w:p>
        </w:tc>
        <w:tc>
          <w:tcPr>
            <w:tcW w:w="936"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Freezer</w:t>
            </w:r>
          </w:p>
        </w:tc>
        <w:tc>
          <w:tcPr>
            <w:tcW w:w="990" w:type="pct"/>
            <w:shd w:val="clear" w:color="auto" w:fill="auto"/>
            <w:vAlign w:val="center"/>
            <w:hideMark/>
          </w:tcPr>
          <w:p w:rsidR="0049243C" w:rsidRPr="007331E7" w:rsidRDefault="0049243C" w:rsidP="0049243C">
            <w:pPr>
              <w:spacing w:after="0"/>
              <w:jc w:val="right"/>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705</w:t>
            </w:r>
          </w:p>
        </w:tc>
        <w:tc>
          <w:tcPr>
            <w:tcW w:w="705" w:type="pct"/>
            <w:shd w:val="clear" w:color="auto" w:fill="auto"/>
            <w:vAlign w:val="center"/>
            <w:hideMark/>
          </w:tcPr>
          <w:p w:rsidR="0049243C" w:rsidRPr="007331E7" w:rsidRDefault="0049243C" w:rsidP="0049243C">
            <w:pPr>
              <w:spacing w:after="0"/>
              <w:jc w:val="right"/>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6</w:t>
            </w:r>
            <w:r w:rsidR="005E5865">
              <w:rPr>
                <w:rFonts w:ascii="Calibri" w:eastAsia="Times New Roman" w:hAnsi="Calibri" w:cs="Times New Roman"/>
                <w:color w:val="000000"/>
                <w:sz w:val="20"/>
                <w:szCs w:val="20"/>
              </w:rPr>
              <w:t>6</w:t>
            </w:r>
          </w:p>
        </w:tc>
        <w:tc>
          <w:tcPr>
            <w:tcW w:w="623" w:type="pct"/>
            <w:shd w:val="clear" w:color="auto" w:fill="auto"/>
            <w:vAlign w:val="center"/>
            <w:hideMark/>
          </w:tcPr>
          <w:p w:rsidR="0049243C" w:rsidRPr="007331E7"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9</w:t>
            </w:r>
            <w:r w:rsidR="0049243C" w:rsidRPr="007331E7">
              <w:rPr>
                <w:rFonts w:ascii="Calibri" w:eastAsia="Times New Roman" w:hAnsi="Calibri" w:cs="Times New Roman"/>
                <w:color w:val="000000"/>
                <w:sz w:val="20"/>
                <w:szCs w:val="20"/>
              </w:rPr>
              <w:t>%</w:t>
            </w:r>
          </w:p>
        </w:tc>
        <w:tc>
          <w:tcPr>
            <w:tcW w:w="1125"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Engineering Algorithm</w:t>
            </w:r>
          </w:p>
        </w:tc>
      </w:tr>
      <w:tr w:rsidR="0049243C" w:rsidRPr="007331E7" w:rsidTr="000D1B93">
        <w:tc>
          <w:tcPr>
            <w:tcW w:w="620"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Appliance</w:t>
            </w:r>
          </w:p>
        </w:tc>
        <w:tc>
          <w:tcPr>
            <w:tcW w:w="936"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Refrigerator</w:t>
            </w:r>
          </w:p>
        </w:tc>
        <w:tc>
          <w:tcPr>
            <w:tcW w:w="990" w:type="pct"/>
            <w:shd w:val="clear" w:color="auto" w:fill="auto"/>
            <w:vAlign w:val="center"/>
            <w:hideMark/>
          </w:tcPr>
          <w:p w:rsidR="0049243C" w:rsidRPr="007331E7" w:rsidRDefault="0049243C" w:rsidP="0049243C">
            <w:pPr>
              <w:spacing w:after="0"/>
              <w:jc w:val="right"/>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243</w:t>
            </w:r>
          </w:p>
        </w:tc>
        <w:tc>
          <w:tcPr>
            <w:tcW w:w="705" w:type="pct"/>
            <w:shd w:val="clear" w:color="auto" w:fill="auto"/>
            <w:vAlign w:val="center"/>
            <w:hideMark/>
          </w:tcPr>
          <w:p w:rsidR="0049243C" w:rsidRPr="007331E7"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189</w:t>
            </w:r>
          </w:p>
        </w:tc>
        <w:tc>
          <w:tcPr>
            <w:tcW w:w="623" w:type="pct"/>
            <w:shd w:val="clear" w:color="auto" w:fill="auto"/>
            <w:vAlign w:val="center"/>
            <w:hideMark/>
          </w:tcPr>
          <w:p w:rsidR="0049243C" w:rsidRPr="007331E7"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78</w:t>
            </w:r>
            <w:r w:rsidR="0049243C" w:rsidRPr="007331E7">
              <w:rPr>
                <w:rFonts w:ascii="Calibri" w:eastAsia="Times New Roman" w:hAnsi="Calibri" w:cs="Times New Roman"/>
                <w:color w:val="000000"/>
                <w:sz w:val="20"/>
                <w:szCs w:val="20"/>
              </w:rPr>
              <w:t>%</w:t>
            </w:r>
          </w:p>
        </w:tc>
        <w:tc>
          <w:tcPr>
            <w:tcW w:w="1125"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Engineering Algorithm</w:t>
            </w:r>
          </w:p>
        </w:tc>
      </w:tr>
      <w:tr w:rsidR="0049243C" w:rsidRPr="007331E7" w:rsidTr="000D1B93">
        <w:tc>
          <w:tcPr>
            <w:tcW w:w="620"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Appliance</w:t>
            </w:r>
          </w:p>
        </w:tc>
        <w:tc>
          <w:tcPr>
            <w:tcW w:w="936"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Clothes Washer</w:t>
            </w:r>
          </w:p>
        </w:tc>
        <w:tc>
          <w:tcPr>
            <w:tcW w:w="990" w:type="pct"/>
            <w:shd w:val="clear" w:color="auto" w:fill="auto"/>
            <w:vAlign w:val="center"/>
            <w:hideMark/>
          </w:tcPr>
          <w:p w:rsidR="0049243C" w:rsidRPr="007331E7" w:rsidRDefault="0049243C" w:rsidP="0049243C">
            <w:pPr>
              <w:spacing w:after="0"/>
              <w:jc w:val="right"/>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1,430</w:t>
            </w:r>
          </w:p>
        </w:tc>
        <w:tc>
          <w:tcPr>
            <w:tcW w:w="705" w:type="pct"/>
            <w:shd w:val="clear" w:color="auto" w:fill="auto"/>
            <w:vAlign w:val="center"/>
            <w:hideMark/>
          </w:tcPr>
          <w:p w:rsidR="0049243C" w:rsidRPr="007331E7"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644</w:t>
            </w:r>
          </w:p>
        </w:tc>
        <w:tc>
          <w:tcPr>
            <w:tcW w:w="623" w:type="pct"/>
            <w:shd w:val="clear" w:color="auto" w:fill="auto"/>
            <w:vAlign w:val="center"/>
            <w:hideMark/>
          </w:tcPr>
          <w:p w:rsidR="0049243C" w:rsidRPr="007331E7"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45</w:t>
            </w:r>
            <w:r w:rsidR="0049243C" w:rsidRPr="007331E7">
              <w:rPr>
                <w:rFonts w:ascii="Calibri" w:eastAsia="Times New Roman" w:hAnsi="Calibri" w:cs="Times New Roman"/>
                <w:color w:val="000000"/>
                <w:sz w:val="20"/>
                <w:szCs w:val="20"/>
              </w:rPr>
              <w:t>%</w:t>
            </w:r>
          </w:p>
        </w:tc>
        <w:tc>
          <w:tcPr>
            <w:tcW w:w="1125"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Engineering Algorithm</w:t>
            </w:r>
          </w:p>
        </w:tc>
      </w:tr>
      <w:tr w:rsidR="0049243C" w:rsidRPr="007331E7" w:rsidTr="000D1B93">
        <w:tc>
          <w:tcPr>
            <w:tcW w:w="620"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HVAC</w:t>
            </w:r>
          </w:p>
        </w:tc>
        <w:tc>
          <w:tcPr>
            <w:tcW w:w="936"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Central AC</w:t>
            </w:r>
          </w:p>
        </w:tc>
        <w:tc>
          <w:tcPr>
            <w:tcW w:w="990" w:type="pct"/>
            <w:shd w:val="clear" w:color="auto" w:fill="auto"/>
            <w:vAlign w:val="center"/>
            <w:hideMark/>
          </w:tcPr>
          <w:p w:rsidR="0049243C" w:rsidRPr="007331E7" w:rsidRDefault="0049243C" w:rsidP="0049243C">
            <w:pPr>
              <w:spacing w:after="0"/>
              <w:jc w:val="right"/>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471</w:t>
            </w:r>
          </w:p>
        </w:tc>
        <w:tc>
          <w:tcPr>
            <w:tcW w:w="705" w:type="pct"/>
            <w:shd w:val="clear" w:color="auto" w:fill="auto"/>
            <w:vAlign w:val="center"/>
            <w:hideMark/>
          </w:tcPr>
          <w:p w:rsidR="0049243C" w:rsidRPr="007331E7" w:rsidRDefault="0049243C" w:rsidP="0049243C">
            <w:pPr>
              <w:spacing w:after="0"/>
              <w:jc w:val="right"/>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3</w:t>
            </w:r>
            <w:r w:rsidR="005E5865">
              <w:rPr>
                <w:rFonts w:ascii="Calibri" w:eastAsia="Times New Roman" w:hAnsi="Calibri" w:cs="Times New Roman"/>
                <w:color w:val="000000"/>
                <w:sz w:val="20"/>
                <w:szCs w:val="20"/>
              </w:rPr>
              <w:t>86</w:t>
            </w:r>
          </w:p>
        </w:tc>
        <w:tc>
          <w:tcPr>
            <w:tcW w:w="623" w:type="pct"/>
            <w:shd w:val="clear" w:color="auto" w:fill="auto"/>
            <w:vAlign w:val="center"/>
            <w:hideMark/>
          </w:tcPr>
          <w:p w:rsidR="0049243C" w:rsidRPr="007331E7"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82</w:t>
            </w:r>
            <w:r w:rsidR="0049243C" w:rsidRPr="007331E7">
              <w:rPr>
                <w:rFonts w:ascii="Calibri" w:eastAsia="Times New Roman" w:hAnsi="Calibri" w:cs="Times New Roman"/>
                <w:color w:val="000000"/>
                <w:sz w:val="20"/>
                <w:szCs w:val="20"/>
              </w:rPr>
              <w:t>%</w:t>
            </w:r>
          </w:p>
        </w:tc>
        <w:tc>
          <w:tcPr>
            <w:tcW w:w="1125"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Engineering Algorithm</w:t>
            </w:r>
          </w:p>
        </w:tc>
      </w:tr>
      <w:tr w:rsidR="0049243C" w:rsidRPr="007331E7" w:rsidTr="000D1B93">
        <w:tc>
          <w:tcPr>
            <w:tcW w:w="620"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HVAC</w:t>
            </w:r>
          </w:p>
        </w:tc>
        <w:tc>
          <w:tcPr>
            <w:tcW w:w="936"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Duct Sealing</w:t>
            </w:r>
          </w:p>
        </w:tc>
        <w:tc>
          <w:tcPr>
            <w:tcW w:w="990" w:type="pct"/>
            <w:shd w:val="clear" w:color="auto" w:fill="auto"/>
            <w:vAlign w:val="center"/>
            <w:hideMark/>
          </w:tcPr>
          <w:p w:rsidR="0049243C" w:rsidRPr="007331E7" w:rsidRDefault="0049243C" w:rsidP="0049243C">
            <w:pPr>
              <w:spacing w:after="0"/>
              <w:jc w:val="right"/>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309</w:t>
            </w:r>
          </w:p>
        </w:tc>
        <w:tc>
          <w:tcPr>
            <w:tcW w:w="705" w:type="pct"/>
            <w:shd w:val="clear" w:color="auto" w:fill="auto"/>
            <w:vAlign w:val="center"/>
            <w:hideMark/>
          </w:tcPr>
          <w:p w:rsidR="0049243C" w:rsidRPr="007331E7"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103</w:t>
            </w:r>
          </w:p>
        </w:tc>
        <w:tc>
          <w:tcPr>
            <w:tcW w:w="623" w:type="pct"/>
            <w:shd w:val="clear" w:color="auto" w:fill="auto"/>
            <w:vAlign w:val="center"/>
            <w:hideMark/>
          </w:tcPr>
          <w:p w:rsidR="0049243C" w:rsidRPr="007331E7"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33</w:t>
            </w:r>
            <w:r w:rsidR="0049243C" w:rsidRPr="007331E7">
              <w:rPr>
                <w:rFonts w:ascii="Calibri" w:eastAsia="Times New Roman" w:hAnsi="Calibri" w:cs="Times New Roman"/>
                <w:color w:val="000000"/>
                <w:sz w:val="20"/>
                <w:szCs w:val="20"/>
              </w:rPr>
              <w:t>%</w:t>
            </w:r>
          </w:p>
        </w:tc>
        <w:tc>
          <w:tcPr>
            <w:tcW w:w="1125"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Simulation Modeling</w:t>
            </w:r>
          </w:p>
        </w:tc>
      </w:tr>
      <w:tr w:rsidR="0049243C" w:rsidRPr="007331E7" w:rsidTr="000D1B93">
        <w:tc>
          <w:tcPr>
            <w:tcW w:w="620"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HVAC</w:t>
            </w:r>
          </w:p>
        </w:tc>
        <w:tc>
          <w:tcPr>
            <w:tcW w:w="936"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Heating System Replacement</w:t>
            </w:r>
          </w:p>
        </w:tc>
        <w:tc>
          <w:tcPr>
            <w:tcW w:w="990" w:type="pct"/>
            <w:shd w:val="clear" w:color="auto" w:fill="auto"/>
            <w:vAlign w:val="center"/>
            <w:hideMark/>
          </w:tcPr>
          <w:p w:rsidR="0049243C" w:rsidRPr="007331E7" w:rsidRDefault="0049243C" w:rsidP="0049243C">
            <w:pPr>
              <w:spacing w:after="0"/>
              <w:jc w:val="right"/>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285</w:t>
            </w:r>
          </w:p>
        </w:tc>
        <w:tc>
          <w:tcPr>
            <w:tcW w:w="705" w:type="pct"/>
            <w:shd w:val="clear" w:color="auto" w:fill="auto"/>
            <w:vAlign w:val="center"/>
            <w:hideMark/>
          </w:tcPr>
          <w:p w:rsidR="0049243C" w:rsidRPr="007331E7"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380</w:t>
            </w:r>
          </w:p>
        </w:tc>
        <w:tc>
          <w:tcPr>
            <w:tcW w:w="623" w:type="pct"/>
            <w:shd w:val="clear" w:color="auto" w:fill="auto"/>
            <w:vAlign w:val="center"/>
            <w:hideMark/>
          </w:tcPr>
          <w:p w:rsidR="0049243C" w:rsidRPr="007331E7"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133</w:t>
            </w:r>
            <w:r w:rsidR="0049243C" w:rsidRPr="007331E7">
              <w:rPr>
                <w:rFonts w:ascii="Calibri" w:eastAsia="Times New Roman" w:hAnsi="Calibri" w:cs="Times New Roman"/>
                <w:color w:val="000000"/>
                <w:sz w:val="20"/>
                <w:szCs w:val="20"/>
              </w:rPr>
              <w:t>%</w:t>
            </w:r>
          </w:p>
        </w:tc>
        <w:tc>
          <w:tcPr>
            <w:tcW w:w="1125"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Engineering Algorithm</w:t>
            </w:r>
          </w:p>
        </w:tc>
      </w:tr>
      <w:tr w:rsidR="0049243C" w:rsidRPr="00195020" w:rsidTr="000D1B93">
        <w:tc>
          <w:tcPr>
            <w:tcW w:w="620" w:type="pct"/>
            <w:shd w:val="clear" w:color="auto" w:fill="auto"/>
            <w:vAlign w:val="center"/>
            <w:hideMark/>
          </w:tcPr>
          <w:p w:rsidR="0049243C" w:rsidRPr="00195020" w:rsidRDefault="0049243C" w:rsidP="0049243C">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HVAC</w:t>
            </w:r>
          </w:p>
        </w:tc>
        <w:tc>
          <w:tcPr>
            <w:tcW w:w="936" w:type="pct"/>
            <w:shd w:val="clear" w:color="auto" w:fill="auto"/>
            <w:vAlign w:val="center"/>
            <w:hideMark/>
          </w:tcPr>
          <w:p w:rsidR="0049243C" w:rsidRPr="00195020" w:rsidRDefault="0049243C" w:rsidP="0049243C">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Heat Pump</w:t>
            </w:r>
          </w:p>
        </w:tc>
        <w:tc>
          <w:tcPr>
            <w:tcW w:w="990" w:type="pct"/>
            <w:shd w:val="clear" w:color="auto" w:fill="auto"/>
            <w:vAlign w:val="center"/>
            <w:hideMark/>
          </w:tcPr>
          <w:p w:rsidR="0049243C" w:rsidRPr="00195020" w:rsidRDefault="0049243C" w:rsidP="005E5865">
            <w:pPr>
              <w:spacing w:after="0"/>
              <w:jc w:val="right"/>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9</w:t>
            </w:r>
            <w:r w:rsidR="005E5865">
              <w:rPr>
                <w:rFonts w:ascii="Calibri" w:eastAsia="Times New Roman" w:hAnsi="Calibri" w:cs="Times New Roman"/>
                <w:color w:val="000000"/>
                <w:sz w:val="20"/>
                <w:szCs w:val="20"/>
              </w:rPr>
              <w:t>7</w:t>
            </w:r>
            <w:r w:rsidRPr="00195020">
              <w:rPr>
                <w:rFonts w:ascii="Calibri" w:eastAsia="Times New Roman" w:hAnsi="Calibri" w:cs="Times New Roman"/>
                <w:color w:val="000000"/>
                <w:sz w:val="20"/>
                <w:szCs w:val="20"/>
              </w:rPr>
              <w:t>7</w:t>
            </w:r>
          </w:p>
        </w:tc>
        <w:tc>
          <w:tcPr>
            <w:tcW w:w="705" w:type="pct"/>
            <w:shd w:val="clear" w:color="auto" w:fill="auto"/>
            <w:vAlign w:val="center"/>
            <w:hideMark/>
          </w:tcPr>
          <w:p w:rsidR="0049243C" w:rsidRPr="00195020"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758</w:t>
            </w:r>
          </w:p>
        </w:tc>
        <w:tc>
          <w:tcPr>
            <w:tcW w:w="623" w:type="pct"/>
            <w:shd w:val="clear" w:color="auto" w:fill="auto"/>
            <w:vAlign w:val="center"/>
            <w:hideMark/>
          </w:tcPr>
          <w:p w:rsidR="0049243C" w:rsidRPr="00195020"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78</w:t>
            </w:r>
            <w:r w:rsidR="0049243C" w:rsidRPr="00195020">
              <w:rPr>
                <w:rFonts w:ascii="Calibri" w:eastAsia="Times New Roman" w:hAnsi="Calibri" w:cs="Times New Roman"/>
                <w:color w:val="000000"/>
                <w:sz w:val="20"/>
                <w:szCs w:val="20"/>
              </w:rPr>
              <w:t>%</w:t>
            </w:r>
          </w:p>
        </w:tc>
        <w:tc>
          <w:tcPr>
            <w:tcW w:w="1125" w:type="pct"/>
            <w:shd w:val="clear" w:color="auto" w:fill="auto"/>
            <w:vAlign w:val="center"/>
            <w:hideMark/>
          </w:tcPr>
          <w:p w:rsidR="0049243C" w:rsidRPr="00195020" w:rsidRDefault="0049243C" w:rsidP="0049243C">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Engineering Algorithm</w:t>
            </w:r>
          </w:p>
        </w:tc>
      </w:tr>
      <w:tr w:rsidR="0049243C" w:rsidRPr="00195020" w:rsidTr="000D1B93">
        <w:tc>
          <w:tcPr>
            <w:tcW w:w="620" w:type="pct"/>
            <w:shd w:val="clear" w:color="auto" w:fill="auto"/>
            <w:vAlign w:val="center"/>
            <w:hideMark/>
          </w:tcPr>
          <w:p w:rsidR="0049243C" w:rsidRPr="00195020" w:rsidRDefault="0049243C" w:rsidP="0049243C">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HVAC</w:t>
            </w:r>
          </w:p>
        </w:tc>
        <w:tc>
          <w:tcPr>
            <w:tcW w:w="936" w:type="pct"/>
            <w:shd w:val="clear" w:color="auto" w:fill="auto"/>
            <w:vAlign w:val="center"/>
            <w:hideMark/>
          </w:tcPr>
          <w:p w:rsidR="0049243C" w:rsidRPr="00195020" w:rsidRDefault="0049243C" w:rsidP="0049243C">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Ductless Heat Pump**</w:t>
            </w:r>
          </w:p>
        </w:tc>
        <w:tc>
          <w:tcPr>
            <w:tcW w:w="990" w:type="pct"/>
            <w:shd w:val="clear" w:color="auto" w:fill="auto"/>
            <w:vAlign w:val="center"/>
            <w:hideMark/>
          </w:tcPr>
          <w:p w:rsidR="0049243C" w:rsidRPr="00195020" w:rsidRDefault="0049243C" w:rsidP="0049243C">
            <w:pPr>
              <w:spacing w:after="0"/>
              <w:jc w:val="right"/>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2,844</w:t>
            </w:r>
          </w:p>
        </w:tc>
        <w:tc>
          <w:tcPr>
            <w:tcW w:w="705" w:type="pct"/>
            <w:shd w:val="clear" w:color="auto" w:fill="auto"/>
            <w:vAlign w:val="center"/>
            <w:hideMark/>
          </w:tcPr>
          <w:p w:rsidR="0049243C" w:rsidRPr="00195020"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1,311</w:t>
            </w:r>
          </w:p>
        </w:tc>
        <w:tc>
          <w:tcPr>
            <w:tcW w:w="623" w:type="pct"/>
            <w:shd w:val="clear" w:color="auto" w:fill="auto"/>
            <w:vAlign w:val="center"/>
            <w:hideMark/>
          </w:tcPr>
          <w:p w:rsidR="0049243C" w:rsidRPr="00195020"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46</w:t>
            </w:r>
            <w:r w:rsidR="0049243C" w:rsidRPr="00195020">
              <w:rPr>
                <w:rFonts w:ascii="Calibri" w:eastAsia="Times New Roman" w:hAnsi="Calibri" w:cs="Times New Roman"/>
                <w:color w:val="000000"/>
                <w:sz w:val="20"/>
                <w:szCs w:val="20"/>
              </w:rPr>
              <w:t>%</w:t>
            </w:r>
          </w:p>
        </w:tc>
        <w:tc>
          <w:tcPr>
            <w:tcW w:w="1125" w:type="pct"/>
            <w:shd w:val="clear" w:color="auto" w:fill="auto"/>
            <w:vAlign w:val="center"/>
            <w:hideMark/>
          </w:tcPr>
          <w:p w:rsidR="0049243C" w:rsidRPr="00195020" w:rsidRDefault="0049243C" w:rsidP="0049243C">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Billing Analysis (±35%)</w:t>
            </w:r>
          </w:p>
        </w:tc>
      </w:tr>
      <w:tr w:rsidR="0049243C" w:rsidRPr="00195020" w:rsidTr="000D1B93">
        <w:tc>
          <w:tcPr>
            <w:tcW w:w="620" w:type="pct"/>
            <w:shd w:val="clear" w:color="auto" w:fill="auto"/>
            <w:vAlign w:val="center"/>
            <w:hideMark/>
          </w:tcPr>
          <w:p w:rsidR="0049243C" w:rsidRPr="00195020" w:rsidRDefault="0049243C" w:rsidP="0049243C">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HVAC</w:t>
            </w:r>
          </w:p>
        </w:tc>
        <w:tc>
          <w:tcPr>
            <w:tcW w:w="936" w:type="pct"/>
            <w:shd w:val="clear" w:color="auto" w:fill="auto"/>
            <w:vAlign w:val="center"/>
            <w:hideMark/>
          </w:tcPr>
          <w:p w:rsidR="0049243C" w:rsidRPr="00195020" w:rsidRDefault="0049243C" w:rsidP="0049243C">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Ground-Source Heat Pump</w:t>
            </w:r>
          </w:p>
        </w:tc>
        <w:tc>
          <w:tcPr>
            <w:tcW w:w="990" w:type="pct"/>
            <w:shd w:val="clear" w:color="auto" w:fill="auto"/>
            <w:vAlign w:val="center"/>
            <w:hideMark/>
          </w:tcPr>
          <w:p w:rsidR="0049243C" w:rsidRPr="00195020" w:rsidRDefault="0049243C" w:rsidP="0049243C">
            <w:pPr>
              <w:spacing w:after="0"/>
              <w:jc w:val="right"/>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2,018</w:t>
            </w:r>
          </w:p>
        </w:tc>
        <w:tc>
          <w:tcPr>
            <w:tcW w:w="705" w:type="pct"/>
            <w:shd w:val="clear" w:color="auto" w:fill="auto"/>
            <w:vAlign w:val="center"/>
            <w:hideMark/>
          </w:tcPr>
          <w:p w:rsidR="0049243C" w:rsidRPr="00195020"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1,982</w:t>
            </w:r>
          </w:p>
        </w:tc>
        <w:tc>
          <w:tcPr>
            <w:tcW w:w="623" w:type="pct"/>
            <w:shd w:val="clear" w:color="auto" w:fill="auto"/>
            <w:vAlign w:val="center"/>
            <w:hideMark/>
          </w:tcPr>
          <w:p w:rsidR="0049243C" w:rsidRPr="00195020"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98</w:t>
            </w:r>
            <w:r w:rsidR="0049243C" w:rsidRPr="00195020">
              <w:rPr>
                <w:rFonts w:ascii="Calibri" w:eastAsia="Times New Roman" w:hAnsi="Calibri" w:cs="Times New Roman"/>
                <w:color w:val="000000"/>
                <w:sz w:val="20"/>
                <w:szCs w:val="20"/>
              </w:rPr>
              <w:t>%</w:t>
            </w:r>
          </w:p>
        </w:tc>
        <w:tc>
          <w:tcPr>
            <w:tcW w:w="1125" w:type="pct"/>
            <w:shd w:val="clear" w:color="auto" w:fill="auto"/>
            <w:vAlign w:val="center"/>
            <w:hideMark/>
          </w:tcPr>
          <w:p w:rsidR="0049243C" w:rsidRPr="00195020" w:rsidRDefault="0049243C" w:rsidP="0049243C">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Engineering Algorithm</w:t>
            </w:r>
          </w:p>
        </w:tc>
      </w:tr>
      <w:tr w:rsidR="0049243C" w:rsidRPr="00195020" w:rsidTr="000D1B93">
        <w:tc>
          <w:tcPr>
            <w:tcW w:w="620" w:type="pct"/>
            <w:shd w:val="clear" w:color="auto" w:fill="auto"/>
            <w:vAlign w:val="center"/>
            <w:hideMark/>
          </w:tcPr>
          <w:p w:rsidR="0049243C" w:rsidRPr="00195020" w:rsidRDefault="0049243C" w:rsidP="0049243C">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Lighting</w:t>
            </w:r>
          </w:p>
        </w:tc>
        <w:tc>
          <w:tcPr>
            <w:tcW w:w="936" w:type="pct"/>
            <w:shd w:val="clear" w:color="auto" w:fill="auto"/>
            <w:vAlign w:val="center"/>
            <w:hideMark/>
          </w:tcPr>
          <w:p w:rsidR="0049243C" w:rsidRPr="00195020" w:rsidRDefault="0049243C" w:rsidP="0049243C">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Lighting</w:t>
            </w:r>
          </w:p>
        </w:tc>
        <w:tc>
          <w:tcPr>
            <w:tcW w:w="990" w:type="pct"/>
            <w:shd w:val="clear" w:color="auto" w:fill="auto"/>
            <w:vAlign w:val="center"/>
            <w:hideMark/>
          </w:tcPr>
          <w:p w:rsidR="0049243C" w:rsidRPr="00195020" w:rsidRDefault="0049243C" w:rsidP="0049243C">
            <w:pPr>
              <w:spacing w:after="0"/>
              <w:jc w:val="right"/>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652</w:t>
            </w:r>
          </w:p>
        </w:tc>
        <w:tc>
          <w:tcPr>
            <w:tcW w:w="705" w:type="pct"/>
            <w:shd w:val="clear" w:color="auto" w:fill="auto"/>
            <w:vAlign w:val="center"/>
            <w:hideMark/>
          </w:tcPr>
          <w:p w:rsidR="0049243C" w:rsidRPr="00195020"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782</w:t>
            </w:r>
          </w:p>
        </w:tc>
        <w:tc>
          <w:tcPr>
            <w:tcW w:w="623" w:type="pct"/>
            <w:shd w:val="clear" w:color="auto" w:fill="auto"/>
            <w:vAlign w:val="center"/>
            <w:hideMark/>
          </w:tcPr>
          <w:p w:rsidR="0049243C" w:rsidRPr="00195020"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120</w:t>
            </w:r>
            <w:r w:rsidR="0049243C" w:rsidRPr="00195020">
              <w:rPr>
                <w:rFonts w:ascii="Calibri" w:eastAsia="Times New Roman" w:hAnsi="Calibri" w:cs="Times New Roman"/>
                <w:color w:val="000000"/>
                <w:sz w:val="20"/>
                <w:szCs w:val="20"/>
              </w:rPr>
              <w:t>%</w:t>
            </w:r>
          </w:p>
        </w:tc>
        <w:tc>
          <w:tcPr>
            <w:tcW w:w="1125" w:type="pct"/>
            <w:shd w:val="clear" w:color="auto" w:fill="auto"/>
            <w:vAlign w:val="center"/>
            <w:hideMark/>
          </w:tcPr>
          <w:p w:rsidR="0049243C" w:rsidRPr="00195020" w:rsidRDefault="0049243C" w:rsidP="0049243C">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Billing Analysis (±6%)</w:t>
            </w:r>
          </w:p>
        </w:tc>
      </w:tr>
      <w:tr w:rsidR="0049243C" w:rsidRPr="00195020" w:rsidTr="000D1B93">
        <w:tc>
          <w:tcPr>
            <w:tcW w:w="620" w:type="pct"/>
            <w:shd w:val="clear" w:color="auto" w:fill="auto"/>
            <w:vAlign w:val="center"/>
            <w:hideMark/>
          </w:tcPr>
          <w:p w:rsidR="0049243C" w:rsidRPr="00195020" w:rsidRDefault="0049243C" w:rsidP="0049243C">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Other</w:t>
            </w:r>
          </w:p>
        </w:tc>
        <w:tc>
          <w:tcPr>
            <w:tcW w:w="936" w:type="pct"/>
            <w:shd w:val="clear" w:color="auto" w:fill="auto"/>
            <w:vAlign w:val="center"/>
            <w:hideMark/>
          </w:tcPr>
          <w:p w:rsidR="0049243C" w:rsidRPr="00195020" w:rsidRDefault="0049243C" w:rsidP="0049243C">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Other</w:t>
            </w:r>
          </w:p>
        </w:tc>
        <w:tc>
          <w:tcPr>
            <w:tcW w:w="990" w:type="pct"/>
            <w:shd w:val="clear" w:color="auto" w:fill="auto"/>
            <w:vAlign w:val="center"/>
            <w:hideMark/>
          </w:tcPr>
          <w:p w:rsidR="0049243C" w:rsidRPr="00195020" w:rsidRDefault="0049243C" w:rsidP="0049243C">
            <w:pPr>
              <w:spacing w:after="0"/>
              <w:jc w:val="right"/>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259</w:t>
            </w:r>
          </w:p>
        </w:tc>
        <w:tc>
          <w:tcPr>
            <w:tcW w:w="705" w:type="pct"/>
            <w:shd w:val="clear" w:color="auto" w:fill="auto"/>
            <w:vAlign w:val="center"/>
            <w:hideMark/>
          </w:tcPr>
          <w:p w:rsidR="0049243C" w:rsidRPr="00195020"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259</w:t>
            </w:r>
          </w:p>
        </w:tc>
        <w:tc>
          <w:tcPr>
            <w:tcW w:w="623" w:type="pct"/>
            <w:shd w:val="clear" w:color="auto" w:fill="auto"/>
            <w:vAlign w:val="center"/>
            <w:hideMark/>
          </w:tcPr>
          <w:p w:rsidR="0049243C" w:rsidRPr="00195020"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r w:rsidR="0049243C" w:rsidRPr="00195020">
              <w:rPr>
                <w:rFonts w:ascii="Calibri" w:eastAsia="Times New Roman" w:hAnsi="Calibri" w:cs="Times New Roman"/>
                <w:color w:val="000000"/>
                <w:sz w:val="20"/>
                <w:szCs w:val="20"/>
              </w:rPr>
              <w:t>%</w:t>
            </w:r>
          </w:p>
        </w:tc>
        <w:tc>
          <w:tcPr>
            <w:tcW w:w="1125" w:type="pct"/>
            <w:shd w:val="clear" w:color="auto" w:fill="auto"/>
            <w:vAlign w:val="center"/>
            <w:hideMark/>
          </w:tcPr>
          <w:p w:rsidR="0049243C" w:rsidRPr="00195020" w:rsidRDefault="0049243C" w:rsidP="0049243C">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 xml:space="preserve">Reported </w:t>
            </w:r>
            <w:r w:rsidRPr="00195020">
              <w:rPr>
                <w:rFonts w:ascii="Calibri" w:eastAsia="Times New Roman" w:hAnsi="Calibri" w:cs="Times New Roman"/>
                <w:i/>
                <w:color w:val="000000"/>
                <w:sz w:val="20"/>
                <w:szCs w:val="20"/>
              </w:rPr>
              <w:t>Ex Ante</w:t>
            </w:r>
          </w:p>
        </w:tc>
      </w:tr>
      <w:tr w:rsidR="0049243C" w:rsidRPr="00195020" w:rsidTr="000D1B93">
        <w:tc>
          <w:tcPr>
            <w:tcW w:w="620" w:type="pct"/>
            <w:shd w:val="clear" w:color="auto" w:fill="auto"/>
            <w:vAlign w:val="center"/>
            <w:hideMark/>
          </w:tcPr>
          <w:p w:rsidR="0049243C" w:rsidRPr="00195020" w:rsidRDefault="0049243C" w:rsidP="0049243C">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Shell</w:t>
            </w:r>
          </w:p>
        </w:tc>
        <w:tc>
          <w:tcPr>
            <w:tcW w:w="936" w:type="pct"/>
            <w:shd w:val="clear" w:color="auto" w:fill="auto"/>
            <w:vAlign w:val="center"/>
            <w:hideMark/>
          </w:tcPr>
          <w:p w:rsidR="0049243C" w:rsidRPr="00195020" w:rsidRDefault="0049243C" w:rsidP="0049243C">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Air Sealing</w:t>
            </w:r>
          </w:p>
        </w:tc>
        <w:tc>
          <w:tcPr>
            <w:tcW w:w="990" w:type="pct"/>
            <w:shd w:val="clear" w:color="auto" w:fill="auto"/>
            <w:vAlign w:val="center"/>
            <w:hideMark/>
          </w:tcPr>
          <w:p w:rsidR="0049243C" w:rsidRPr="00195020" w:rsidRDefault="0049243C" w:rsidP="0049243C">
            <w:pPr>
              <w:spacing w:after="0"/>
              <w:jc w:val="right"/>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154</w:t>
            </w:r>
          </w:p>
        </w:tc>
        <w:tc>
          <w:tcPr>
            <w:tcW w:w="705" w:type="pct"/>
            <w:shd w:val="clear" w:color="auto" w:fill="auto"/>
            <w:vAlign w:val="center"/>
            <w:hideMark/>
          </w:tcPr>
          <w:p w:rsidR="0049243C" w:rsidRPr="00195020"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269</w:t>
            </w:r>
          </w:p>
        </w:tc>
        <w:tc>
          <w:tcPr>
            <w:tcW w:w="623" w:type="pct"/>
            <w:shd w:val="clear" w:color="auto" w:fill="auto"/>
            <w:vAlign w:val="center"/>
            <w:hideMark/>
          </w:tcPr>
          <w:p w:rsidR="0049243C" w:rsidRPr="00195020"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175</w:t>
            </w:r>
            <w:r w:rsidR="0049243C" w:rsidRPr="00195020">
              <w:rPr>
                <w:rFonts w:ascii="Calibri" w:eastAsia="Times New Roman" w:hAnsi="Calibri" w:cs="Times New Roman"/>
                <w:color w:val="000000"/>
                <w:sz w:val="20"/>
                <w:szCs w:val="20"/>
              </w:rPr>
              <w:t>%</w:t>
            </w:r>
          </w:p>
        </w:tc>
        <w:tc>
          <w:tcPr>
            <w:tcW w:w="1125" w:type="pct"/>
            <w:shd w:val="clear" w:color="auto" w:fill="auto"/>
            <w:vAlign w:val="center"/>
            <w:hideMark/>
          </w:tcPr>
          <w:p w:rsidR="0049243C" w:rsidRPr="00195020" w:rsidRDefault="0049243C" w:rsidP="0049243C">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Billing Analysis (±21%)</w:t>
            </w:r>
          </w:p>
        </w:tc>
      </w:tr>
      <w:tr w:rsidR="0049243C" w:rsidRPr="007331E7" w:rsidTr="000D1B93">
        <w:tc>
          <w:tcPr>
            <w:tcW w:w="620" w:type="pct"/>
            <w:shd w:val="clear" w:color="auto" w:fill="auto"/>
            <w:vAlign w:val="center"/>
            <w:hideMark/>
          </w:tcPr>
          <w:p w:rsidR="0049243C" w:rsidRPr="00195020" w:rsidRDefault="0049243C" w:rsidP="0049243C">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Shell</w:t>
            </w:r>
          </w:p>
        </w:tc>
        <w:tc>
          <w:tcPr>
            <w:tcW w:w="936" w:type="pct"/>
            <w:shd w:val="clear" w:color="auto" w:fill="auto"/>
            <w:vAlign w:val="center"/>
            <w:hideMark/>
          </w:tcPr>
          <w:p w:rsidR="0049243C" w:rsidRPr="00195020" w:rsidRDefault="0049243C" w:rsidP="0049243C">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Insulation Other</w:t>
            </w:r>
          </w:p>
        </w:tc>
        <w:tc>
          <w:tcPr>
            <w:tcW w:w="990" w:type="pct"/>
            <w:shd w:val="clear" w:color="auto" w:fill="auto"/>
            <w:vAlign w:val="center"/>
            <w:hideMark/>
          </w:tcPr>
          <w:p w:rsidR="0049243C" w:rsidRPr="00195020" w:rsidRDefault="0049243C" w:rsidP="0049243C">
            <w:pPr>
              <w:spacing w:after="0"/>
              <w:jc w:val="right"/>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368</w:t>
            </w:r>
          </w:p>
        </w:tc>
        <w:tc>
          <w:tcPr>
            <w:tcW w:w="705" w:type="pct"/>
            <w:shd w:val="clear" w:color="auto" w:fill="auto"/>
            <w:vAlign w:val="center"/>
            <w:hideMark/>
          </w:tcPr>
          <w:p w:rsidR="0049243C" w:rsidRPr="00195020"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368</w:t>
            </w:r>
          </w:p>
        </w:tc>
        <w:tc>
          <w:tcPr>
            <w:tcW w:w="623" w:type="pct"/>
            <w:shd w:val="clear" w:color="auto" w:fill="auto"/>
            <w:vAlign w:val="center"/>
            <w:hideMark/>
          </w:tcPr>
          <w:p w:rsidR="0049243C" w:rsidRPr="00195020"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r w:rsidR="0049243C" w:rsidRPr="00195020">
              <w:rPr>
                <w:rFonts w:ascii="Calibri" w:eastAsia="Times New Roman" w:hAnsi="Calibri" w:cs="Times New Roman"/>
                <w:color w:val="000000"/>
                <w:sz w:val="20"/>
                <w:szCs w:val="20"/>
              </w:rPr>
              <w:t>%</w:t>
            </w:r>
          </w:p>
        </w:tc>
        <w:tc>
          <w:tcPr>
            <w:tcW w:w="1125"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 xml:space="preserve">Reported </w:t>
            </w:r>
            <w:r w:rsidRPr="00C20399">
              <w:rPr>
                <w:rFonts w:ascii="Calibri" w:eastAsia="Times New Roman" w:hAnsi="Calibri" w:cs="Times New Roman"/>
                <w:i/>
                <w:color w:val="000000"/>
                <w:sz w:val="20"/>
                <w:szCs w:val="20"/>
              </w:rPr>
              <w:t>Ex Ante</w:t>
            </w:r>
          </w:p>
        </w:tc>
      </w:tr>
      <w:tr w:rsidR="0049243C" w:rsidRPr="007331E7" w:rsidTr="000D1B93">
        <w:tc>
          <w:tcPr>
            <w:tcW w:w="620"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Shell</w:t>
            </w:r>
          </w:p>
        </w:tc>
        <w:tc>
          <w:tcPr>
            <w:tcW w:w="936"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Windows</w:t>
            </w:r>
          </w:p>
        </w:tc>
        <w:tc>
          <w:tcPr>
            <w:tcW w:w="990" w:type="pct"/>
            <w:shd w:val="clear" w:color="auto" w:fill="auto"/>
            <w:vAlign w:val="center"/>
            <w:hideMark/>
          </w:tcPr>
          <w:p w:rsidR="0049243C" w:rsidRPr="007331E7" w:rsidRDefault="0049243C" w:rsidP="0049243C">
            <w:pPr>
              <w:spacing w:after="0"/>
              <w:jc w:val="right"/>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3,190</w:t>
            </w:r>
          </w:p>
        </w:tc>
        <w:tc>
          <w:tcPr>
            <w:tcW w:w="705" w:type="pct"/>
            <w:shd w:val="clear" w:color="auto" w:fill="auto"/>
            <w:vAlign w:val="center"/>
            <w:hideMark/>
          </w:tcPr>
          <w:p w:rsidR="0049243C" w:rsidRPr="007331E7"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3,196</w:t>
            </w:r>
          </w:p>
        </w:tc>
        <w:tc>
          <w:tcPr>
            <w:tcW w:w="623" w:type="pct"/>
            <w:shd w:val="clear" w:color="auto" w:fill="auto"/>
            <w:vAlign w:val="center"/>
            <w:hideMark/>
          </w:tcPr>
          <w:p w:rsidR="0049243C" w:rsidRPr="007331E7"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r w:rsidR="0049243C" w:rsidRPr="007331E7">
              <w:rPr>
                <w:rFonts w:ascii="Calibri" w:eastAsia="Times New Roman" w:hAnsi="Calibri" w:cs="Times New Roman"/>
                <w:color w:val="000000"/>
                <w:sz w:val="20"/>
                <w:szCs w:val="20"/>
              </w:rPr>
              <w:t>%</w:t>
            </w:r>
          </w:p>
        </w:tc>
        <w:tc>
          <w:tcPr>
            <w:tcW w:w="1125"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Engineering Algorithm</w:t>
            </w:r>
          </w:p>
        </w:tc>
      </w:tr>
      <w:tr w:rsidR="0049243C" w:rsidRPr="007331E7" w:rsidTr="000D1B93">
        <w:tc>
          <w:tcPr>
            <w:tcW w:w="620"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Shell</w:t>
            </w:r>
          </w:p>
        </w:tc>
        <w:tc>
          <w:tcPr>
            <w:tcW w:w="936"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Attic Insulation</w:t>
            </w:r>
          </w:p>
        </w:tc>
        <w:tc>
          <w:tcPr>
            <w:tcW w:w="990" w:type="pct"/>
            <w:shd w:val="clear" w:color="auto" w:fill="auto"/>
            <w:vAlign w:val="center"/>
            <w:hideMark/>
          </w:tcPr>
          <w:p w:rsidR="0049243C" w:rsidRPr="007331E7" w:rsidRDefault="0049243C" w:rsidP="0049243C">
            <w:pPr>
              <w:spacing w:after="0"/>
              <w:jc w:val="right"/>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708</w:t>
            </w:r>
          </w:p>
        </w:tc>
        <w:tc>
          <w:tcPr>
            <w:tcW w:w="705" w:type="pct"/>
            <w:shd w:val="clear" w:color="auto" w:fill="auto"/>
            <w:vAlign w:val="center"/>
            <w:hideMark/>
          </w:tcPr>
          <w:p w:rsidR="0049243C" w:rsidRPr="007331E7"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481</w:t>
            </w:r>
          </w:p>
        </w:tc>
        <w:tc>
          <w:tcPr>
            <w:tcW w:w="623" w:type="pct"/>
            <w:shd w:val="clear" w:color="auto" w:fill="auto"/>
            <w:vAlign w:val="center"/>
            <w:hideMark/>
          </w:tcPr>
          <w:p w:rsidR="0049243C" w:rsidRPr="007331E7"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68</w:t>
            </w:r>
            <w:r w:rsidR="0049243C" w:rsidRPr="007331E7">
              <w:rPr>
                <w:rFonts w:ascii="Calibri" w:eastAsia="Times New Roman" w:hAnsi="Calibri" w:cs="Times New Roman"/>
                <w:color w:val="000000"/>
                <w:sz w:val="20"/>
                <w:szCs w:val="20"/>
              </w:rPr>
              <w:t>%</w:t>
            </w:r>
          </w:p>
        </w:tc>
        <w:tc>
          <w:tcPr>
            <w:tcW w:w="1125"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Simulation Modeling</w:t>
            </w:r>
          </w:p>
        </w:tc>
      </w:tr>
      <w:tr w:rsidR="0049243C" w:rsidRPr="007331E7" w:rsidTr="000D1B93">
        <w:tc>
          <w:tcPr>
            <w:tcW w:w="620"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Shell</w:t>
            </w:r>
          </w:p>
        </w:tc>
        <w:tc>
          <w:tcPr>
            <w:tcW w:w="936"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Wall Insulation</w:t>
            </w:r>
          </w:p>
        </w:tc>
        <w:tc>
          <w:tcPr>
            <w:tcW w:w="990" w:type="pct"/>
            <w:shd w:val="clear" w:color="auto" w:fill="auto"/>
            <w:vAlign w:val="center"/>
            <w:hideMark/>
          </w:tcPr>
          <w:p w:rsidR="0049243C" w:rsidRPr="007331E7" w:rsidRDefault="0049243C" w:rsidP="0049243C">
            <w:pPr>
              <w:spacing w:after="0"/>
              <w:jc w:val="right"/>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1,876</w:t>
            </w:r>
          </w:p>
        </w:tc>
        <w:tc>
          <w:tcPr>
            <w:tcW w:w="705" w:type="pct"/>
            <w:shd w:val="clear" w:color="auto" w:fill="auto"/>
            <w:vAlign w:val="center"/>
            <w:hideMark/>
          </w:tcPr>
          <w:p w:rsidR="0049243C" w:rsidRPr="007331E7"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1,575</w:t>
            </w:r>
          </w:p>
        </w:tc>
        <w:tc>
          <w:tcPr>
            <w:tcW w:w="623" w:type="pct"/>
            <w:shd w:val="clear" w:color="auto" w:fill="auto"/>
            <w:vAlign w:val="center"/>
            <w:hideMark/>
          </w:tcPr>
          <w:p w:rsidR="0049243C" w:rsidRPr="007331E7"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84</w:t>
            </w:r>
            <w:r w:rsidR="0049243C" w:rsidRPr="007331E7">
              <w:rPr>
                <w:rFonts w:ascii="Calibri" w:eastAsia="Times New Roman" w:hAnsi="Calibri" w:cs="Times New Roman"/>
                <w:color w:val="000000"/>
                <w:sz w:val="20"/>
                <w:szCs w:val="20"/>
              </w:rPr>
              <w:t>%</w:t>
            </w:r>
          </w:p>
        </w:tc>
        <w:tc>
          <w:tcPr>
            <w:tcW w:w="1125"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Simulation Modeling</w:t>
            </w:r>
          </w:p>
        </w:tc>
      </w:tr>
      <w:tr w:rsidR="0049243C" w:rsidRPr="007331E7" w:rsidTr="000D1B93">
        <w:tc>
          <w:tcPr>
            <w:tcW w:w="620"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Water Heat</w:t>
            </w:r>
          </w:p>
        </w:tc>
        <w:tc>
          <w:tcPr>
            <w:tcW w:w="936"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Heat Pump Water Heater</w:t>
            </w:r>
          </w:p>
        </w:tc>
        <w:tc>
          <w:tcPr>
            <w:tcW w:w="990" w:type="pct"/>
            <w:shd w:val="clear" w:color="auto" w:fill="auto"/>
            <w:vAlign w:val="center"/>
            <w:hideMark/>
          </w:tcPr>
          <w:p w:rsidR="0049243C" w:rsidRPr="007331E7" w:rsidRDefault="0049243C" w:rsidP="0049243C">
            <w:pPr>
              <w:spacing w:after="0"/>
              <w:jc w:val="right"/>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1,762</w:t>
            </w:r>
          </w:p>
        </w:tc>
        <w:tc>
          <w:tcPr>
            <w:tcW w:w="705" w:type="pct"/>
            <w:shd w:val="clear" w:color="auto" w:fill="auto"/>
            <w:vAlign w:val="center"/>
            <w:hideMark/>
          </w:tcPr>
          <w:p w:rsidR="0049243C" w:rsidRPr="007331E7"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1,762</w:t>
            </w:r>
          </w:p>
        </w:tc>
        <w:tc>
          <w:tcPr>
            <w:tcW w:w="623" w:type="pct"/>
            <w:shd w:val="clear" w:color="auto" w:fill="auto"/>
            <w:vAlign w:val="center"/>
            <w:hideMark/>
          </w:tcPr>
          <w:p w:rsidR="0049243C" w:rsidRPr="007331E7"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r w:rsidR="0049243C" w:rsidRPr="007331E7">
              <w:rPr>
                <w:rFonts w:ascii="Calibri" w:eastAsia="Times New Roman" w:hAnsi="Calibri" w:cs="Times New Roman"/>
                <w:color w:val="000000"/>
                <w:sz w:val="20"/>
                <w:szCs w:val="20"/>
              </w:rPr>
              <w:t>%</w:t>
            </w:r>
          </w:p>
        </w:tc>
        <w:tc>
          <w:tcPr>
            <w:tcW w:w="1125"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 xml:space="preserve">Reported </w:t>
            </w:r>
            <w:r w:rsidRPr="007331E7">
              <w:rPr>
                <w:rFonts w:ascii="Calibri" w:eastAsia="Times New Roman" w:hAnsi="Calibri" w:cs="Times New Roman"/>
                <w:i/>
                <w:color w:val="000000"/>
                <w:sz w:val="20"/>
                <w:szCs w:val="20"/>
              </w:rPr>
              <w:t>Ex Ante</w:t>
            </w:r>
          </w:p>
        </w:tc>
      </w:tr>
      <w:tr w:rsidR="0049243C" w:rsidRPr="007331E7" w:rsidTr="000D1B93">
        <w:tc>
          <w:tcPr>
            <w:tcW w:w="620" w:type="pct"/>
            <w:tcBorders>
              <w:bottom w:val="single" w:sz="4" w:space="0" w:color="BFBFBF"/>
            </w:tcBorders>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Water Heat</w:t>
            </w:r>
          </w:p>
        </w:tc>
        <w:tc>
          <w:tcPr>
            <w:tcW w:w="936" w:type="pct"/>
            <w:tcBorders>
              <w:bottom w:val="single" w:sz="4" w:space="0" w:color="BFBFBF"/>
            </w:tcBorders>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DWH Bundle</w:t>
            </w:r>
          </w:p>
        </w:tc>
        <w:tc>
          <w:tcPr>
            <w:tcW w:w="990" w:type="pct"/>
            <w:tcBorders>
              <w:bottom w:val="single" w:sz="4" w:space="0" w:color="BFBFBF"/>
            </w:tcBorders>
            <w:shd w:val="clear" w:color="auto" w:fill="auto"/>
            <w:vAlign w:val="center"/>
            <w:hideMark/>
          </w:tcPr>
          <w:p w:rsidR="0049243C" w:rsidRPr="007331E7" w:rsidRDefault="0049243C" w:rsidP="0049243C">
            <w:pPr>
              <w:spacing w:after="0"/>
              <w:jc w:val="right"/>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482</w:t>
            </w:r>
          </w:p>
        </w:tc>
        <w:tc>
          <w:tcPr>
            <w:tcW w:w="705" w:type="pct"/>
            <w:shd w:val="clear" w:color="auto" w:fill="auto"/>
            <w:vAlign w:val="center"/>
            <w:hideMark/>
          </w:tcPr>
          <w:p w:rsidR="0049243C" w:rsidRPr="007331E7"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359</w:t>
            </w:r>
          </w:p>
        </w:tc>
        <w:tc>
          <w:tcPr>
            <w:tcW w:w="623" w:type="pct"/>
            <w:shd w:val="clear" w:color="auto" w:fill="auto"/>
            <w:vAlign w:val="center"/>
            <w:hideMark/>
          </w:tcPr>
          <w:p w:rsidR="0049243C" w:rsidRPr="007331E7" w:rsidRDefault="005E5865"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82</w:t>
            </w:r>
            <w:r w:rsidR="0049243C" w:rsidRPr="007331E7">
              <w:rPr>
                <w:rFonts w:ascii="Calibri" w:eastAsia="Times New Roman" w:hAnsi="Calibri" w:cs="Times New Roman"/>
                <w:color w:val="000000"/>
                <w:sz w:val="20"/>
                <w:szCs w:val="20"/>
              </w:rPr>
              <w:t>%</w:t>
            </w:r>
          </w:p>
        </w:tc>
        <w:tc>
          <w:tcPr>
            <w:tcW w:w="1125" w:type="pct"/>
            <w:shd w:val="clear" w:color="auto" w:fill="auto"/>
            <w:vAlign w:val="center"/>
            <w:hideMark/>
          </w:tcPr>
          <w:p w:rsidR="0049243C" w:rsidRPr="007331E7" w:rsidRDefault="0049243C" w:rsidP="0049243C">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Billing Analysis (±21%)</w:t>
            </w:r>
          </w:p>
        </w:tc>
      </w:tr>
    </w:tbl>
    <w:p w:rsidR="0049243C" w:rsidRPr="004863EE" w:rsidRDefault="0049243C" w:rsidP="0049243C">
      <w:pPr>
        <w:spacing w:after="0" w:line="240" w:lineRule="auto"/>
        <w:ind w:left="90" w:hanging="90"/>
        <w:rPr>
          <w:rFonts w:ascii="Calibri" w:eastAsia="Times New Roman" w:hAnsi="Calibri" w:cs="Times New Roman"/>
          <w:bCs/>
          <w:sz w:val="20"/>
          <w:szCs w:val="20"/>
        </w:rPr>
      </w:pPr>
      <w:r w:rsidRPr="004863EE">
        <w:rPr>
          <w:rFonts w:ascii="Calibri" w:eastAsia="Times New Roman" w:hAnsi="Calibri" w:cs="Times New Roman"/>
          <w:bCs/>
          <w:sz w:val="20"/>
          <w:szCs w:val="20"/>
        </w:rPr>
        <w:t xml:space="preserve">*Average </w:t>
      </w:r>
      <w:r w:rsidRPr="00296386">
        <w:rPr>
          <w:rFonts w:ascii="Calibri" w:eastAsia="Times New Roman" w:hAnsi="Calibri" w:cs="Times New Roman"/>
          <w:bCs/>
          <w:i/>
          <w:sz w:val="20"/>
          <w:szCs w:val="20"/>
        </w:rPr>
        <w:t>ex ante</w:t>
      </w:r>
      <w:r w:rsidRPr="004863EE">
        <w:rPr>
          <w:rFonts w:ascii="Calibri" w:eastAsia="Times New Roman" w:hAnsi="Calibri" w:cs="Times New Roman"/>
          <w:bCs/>
          <w:sz w:val="20"/>
          <w:szCs w:val="20"/>
        </w:rPr>
        <w:t xml:space="preserve"> savings per household </w:t>
      </w:r>
      <w:r>
        <w:rPr>
          <w:rFonts w:ascii="Calibri" w:eastAsia="Times New Roman" w:hAnsi="Calibri" w:cs="Times New Roman"/>
          <w:bCs/>
          <w:sz w:val="20"/>
          <w:szCs w:val="20"/>
        </w:rPr>
        <w:t>are</w:t>
      </w:r>
      <w:r w:rsidRPr="004863EE">
        <w:rPr>
          <w:rFonts w:ascii="Calibri" w:eastAsia="Times New Roman" w:hAnsi="Calibri" w:cs="Times New Roman"/>
          <w:bCs/>
          <w:sz w:val="20"/>
          <w:szCs w:val="20"/>
        </w:rPr>
        <w:t xml:space="preserve"> </w:t>
      </w:r>
      <w:r>
        <w:rPr>
          <w:rFonts w:ascii="Calibri" w:eastAsia="Times New Roman" w:hAnsi="Calibri" w:cs="Times New Roman"/>
          <w:bCs/>
          <w:sz w:val="20"/>
          <w:szCs w:val="20"/>
        </w:rPr>
        <w:t>the program population, except for measures estimated through billing analysis, which are based on the billing analysis participant sample</w:t>
      </w:r>
      <w:r w:rsidRPr="004863EE">
        <w:rPr>
          <w:rFonts w:ascii="Calibri" w:eastAsia="Times New Roman" w:hAnsi="Calibri" w:cs="Times New Roman"/>
          <w:bCs/>
          <w:sz w:val="20"/>
          <w:szCs w:val="20"/>
        </w:rPr>
        <w:t>.</w:t>
      </w:r>
    </w:p>
    <w:p w:rsidR="0049243C" w:rsidRDefault="0049243C" w:rsidP="0049243C">
      <w:pPr>
        <w:spacing w:after="0" w:line="240" w:lineRule="auto"/>
        <w:ind w:left="180" w:hanging="180"/>
        <w:rPr>
          <w:rFonts w:ascii="Calibri" w:eastAsia="Times New Roman" w:hAnsi="Calibri" w:cs="Times New Roman"/>
          <w:bCs/>
          <w:sz w:val="20"/>
          <w:szCs w:val="20"/>
        </w:rPr>
      </w:pPr>
      <w:r w:rsidRPr="004863EE">
        <w:rPr>
          <w:rFonts w:ascii="Calibri" w:eastAsia="Times New Roman" w:hAnsi="Calibri" w:cs="Times New Roman"/>
          <w:bCs/>
          <w:sz w:val="20"/>
          <w:szCs w:val="20"/>
        </w:rPr>
        <w:t>**While the bi</w:t>
      </w:r>
      <w:r>
        <w:rPr>
          <w:rFonts w:ascii="Calibri" w:eastAsia="Times New Roman" w:hAnsi="Calibri" w:cs="Times New Roman"/>
          <w:bCs/>
          <w:sz w:val="20"/>
          <w:szCs w:val="20"/>
        </w:rPr>
        <w:t>l</w:t>
      </w:r>
      <w:r w:rsidRPr="004863EE">
        <w:rPr>
          <w:rFonts w:ascii="Calibri" w:eastAsia="Times New Roman" w:hAnsi="Calibri" w:cs="Times New Roman"/>
          <w:bCs/>
          <w:sz w:val="20"/>
          <w:szCs w:val="20"/>
        </w:rPr>
        <w:t xml:space="preserve">ling analysis estimate </w:t>
      </w:r>
      <w:r>
        <w:rPr>
          <w:rFonts w:ascii="Calibri" w:eastAsia="Times New Roman" w:hAnsi="Calibri" w:cs="Times New Roman"/>
          <w:bCs/>
          <w:sz w:val="20"/>
          <w:szCs w:val="20"/>
        </w:rPr>
        <w:t xml:space="preserve">falls </w:t>
      </w:r>
      <w:r w:rsidRPr="004863EE">
        <w:rPr>
          <w:rFonts w:ascii="Calibri" w:eastAsia="Times New Roman" w:hAnsi="Calibri" w:cs="Times New Roman"/>
          <w:bCs/>
          <w:sz w:val="20"/>
          <w:szCs w:val="20"/>
        </w:rPr>
        <w:t xml:space="preserve">below </w:t>
      </w:r>
      <w:r w:rsidRPr="00296386">
        <w:rPr>
          <w:rFonts w:ascii="Calibri" w:eastAsia="Times New Roman" w:hAnsi="Calibri" w:cs="Times New Roman"/>
          <w:bCs/>
          <w:i/>
          <w:sz w:val="20"/>
          <w:szCs w:val="20"/>
        </w:rPr>
        <w:t>ex ante</w:t>
      </w:r>
      <w:r w:rsidRPr="004863EE">
        <w:rPr>
          <w:rFonts w:ascii="Calibri" w:eastAsia="Times New Roman" w:hAnsi="Calibri" w:cs="Times New Roman"/>
          <w:bCs/>
          <w:sz w:val="20"/>
          <w:szCs w:val="20"/>
        </w:rPr>
        <w:t xml:space="preserve"> savings for </w:t>
      </w:r>
      <w:r>
        <w:rPr>
          <w:rFonts w:ascii="Calibri" w:eastAsia="Times New Roman" w:hAnsi="Calibri" w:cs="Times New Roman"/>
          <w:bCs/>
          <w:sz w:val="20"/>
          <w:szCs w:val="20"/>
        </w:rPr>
        <w:t xml:space="preserve">one of </w:t>
      </w:r>
      <w:r w:rsidRPr="004863EE">
        <w:rPr>
          <w:rFonts w:ascii="Calibri" w:eastAsia="Times New Roman" w:hAnsi="Calibri" w:cs="Times New Roman"/>
          <w:bCs/>
          <w:sz w:val="20"/>
          <w:szCs w:val="20"/>
        </w:rPr>
        <w:t xml:space="preserve">these measures, it should be noted </w:t>
      </w:r>
      <w:r>
        <w:rPr>
          <w:rFonts w:ascii="Calibri" w:eastAsia="Times New Roman" w:hAnsi="Calibri" w:cs="Times New Roman"/>
          <w:bCs/>
          <w:sz w:val="20"/>
          <w:szCs w:val="20"/>
        </w:rPr>
        <w:br/>
      </w:r>
      <w:r w:rsidRPr="004863EE">
        <w:rPr>
          <w:rFonts w:ascii="Calibri" w:eastAsia="Times New Roman" w:hAnsi="Calibri" w:cs="Times New Roman"/>
          <w:bCs/>
          <w:sz w:val="20"/>
          <w:szCs w:val="20"/>
        </w:rPr>
        <w:t xml:space="preserve">that the billing analysis estimate assumes an existing equipment baseline and </w:t>
      </w:r>
      <w:r>
        <w:rPr>
          <w:rFonts w:ascii="Calibri" w:eastAsia="Times New Roman" w:hAnsi="Calibri" w:cs="Times New Roman"/>
          <w:bCs/>
          <w:sz w:val="20"/>
          <w:szCs w:val="20"/>
        </w:rPr>
        <w:t xml:space="preserve">may </w:t>
      </w:r>
      <w:r w:rsidRPr="004863EE">
        <w:rPr>
          <w:rFonts w:ascii="Calibri" w:eastAsia="Times New Roman" w:hAnsi="Calibri" w:cs="Times New Roman"/>
          <w:bCs/>
          <w:sz w:val="20"/>
          <w:szCs w:val="20"/>
        </w:rPr>
        <w:t>overstate savings for these measures</w:t>
      </w:r>
      <w:r>
        <w:rPr>
          <w:rFonts w:ascii="Calibri" w:eastAsia="Times New Roman" w:hAnsi="Calibri" w:cs="Times New Roman"/>
          <w:bCs/>
          <w:sz w:val="20"/>
          <w:szCs w:val="20"/>
        </w:rPr>
        <w:t>.</w:t>
      </w:r>
    </w:p>
    <w:p w:rsidR="0049243C" w:rsidRDefault="0049243C" w:rsidP="0049243C">
      <w:pPr>
        <w:pStyle w:val="NormalAfterTablesandFigures"/>
      </w:pPr>
    </w:p>
    <w:p w:rsidR="0049243C" w:rsidRDefault="0049243C" w:rsidP="003A300E">
      <w:pPr>
        <w:pStyle w:val="Caption"/>
        <w:pageBreakBefore/>
      </w:pPr>
      <w:bookmarkStart w:id="12" w:name="_Ref389466009"/>
      <w:r>
        <w:lastRenderedPageBreak/>
        <w:t xml:space="preserve">Table </w:t>
      </w:r>
      <w:r w:rsidR="002506E1">
        <w:fldChar w:fldCharType="begin"/>
      </w:r>
      <w:r w:rsidR="002506E1">
        <w:instrText xml:space="preserve"> SEQ Table \* ARABIC </w:instrText>
      </w:r>
      <w:r w:rsidR="002506E1">
        <w:fldChar w:fldCharType="separate"/>
      </w:r>
      <w:r w:rsidR="00CD20CF">
        <w:rPr>
          <w:noProof/>
        </w:rPr>
        <w:t>6</w:t>
      </w:r>
      <w:r w:rsidR="002506E1">
        <w:rPr>
          <w:noProof/>
        </w:rPr>
        <w:fldChar w:fldCharType="end"/>
      </w:r>
      <w:bookmarkEnd w:id="12"/>
      <w:r>
        <w:t xml:space="preserve">. Comparison of </w:t>
      </w:r>
      <w:r w:rsidRPr="00CF4F75">
        <w:rPr>
          <w:i/>
        </w:rPr>
        <w:t>Ex Ante</w:t>
      </w:r>
      <w:r>
        <w:t xml:space="preserve"> and </w:t>
      </w:r>
      <w:r w:rsidR="005025C1">
        <w:t>Evaluated</w:t>
      </w:r>
      <w:r>
        <w:t xml:space="preserve"> Gross Savings by Measure—HES Gas</w:t>
      </w:r>
    </w:p>
    <w:tbl>
      <w:tblPr>
        <w:tblW w:w="5000" w:type="pct"/>
        <w:tblLook w:val="04A0" w:firstRow="1" w:lastRow="0" w:firstColumn="1" w:lastColumn="0" w:noHBand="0" w:noVBand="1"/>
      </w:tblPr>
      <w:tblGrid>
        <w:gridCol w:w="1187"/>
        <w:gridCol w:w="1793"/>
        <w:gridCol w:w="1808"/>
        <w:gridCol w:w="1350"/>
        <w:gridCol w:w="1283"/>
        <w:gridCol w:w="2155"/>
      </w:tblGrid>
      <w:tr w:rsidR="0049243C" w:rsidRPr="003F11F6" w:rsidTr="000D1B93">
        <w:tc>
          <w:tcPr>
            <w:tcW w:w="620"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49243C" w:rsidRPr="003F11F6" w:rsidRDefault="0049243C" w:rsidP="0049243C">
            <w:pPr>
              <w:spacing w:after="0"/>
              <w:jc w:val="center"/>
              <w:rPr>
                <w:rFonts w:ascii="Calibri" w:eastAsia="Times New Roman" w:hAnsi="Calibri" w:cs="Times New Roman"/>
                <w:b/>
                <w:bCs/>
                <w:color w:val="FFFFFF"/>
              </w:rPr>
            </w:pPr>
            <w:r w:rsidRPr="003F11F6">
              <w:rPr>
                <w:rFonts w:ascii="Calibri" w:eastAsia="Times New Roman" w:hAnsi="Calibri" w:cs="Times New Roman"/>
                <w:b/>
                <w:bCs/>
                <w:color w:val="FFFFFF"/>
              </w:rPr>
              <w:t>Category</w:t>
            </w:r>
          </w:p>
        </w:tc>
        <w:tc>
          <w:tcPr>
            <w:tcW w:w="936"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49243C" w:rsidRPr="003F11F6" w:rsidRDefault="0049243C" w:rsidP="0049243C">
            <w:pPr>
              <w:spacing w:after="0"/>
              <w:jc w:val="center"/>
              <w:rPr>
                <w:rFonts w:ascii="Calibri" w:eastAsia="Times New Roman" w:hAnsi="Calibri" w:cs="Times New Roman"/>
                <w:b/>
                <w:bCs/>
                <w:color w:val="FFFFFF"/>
              </w:rPr>
            </w:pPr>
            <w:r w:rsidRPr="003F11F6">
              <w:rPr>
                <w:rFonts w:ascii="Calibri" w:eastAsia="Times New Roman" w:hAnsi="Calibri" w:cs="Times New Roman"/>
                <w:b/>
                <w:bCs/>
                <w:color w:val="FFFFFF"/>
              </w:rPr>
              <w:t>Measure</w:t>
            </w:r>
          </w:p>
        </w:tc>
        <w:tc>
          <w:tcPr>
            <w:tcW w:w="944"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49243C" w:rsidRPr="003F11F6" w:rsidRDefault="0049243C" w:rsidP="0049243C">
            <w:pPr>
              <w:spacing w:after="0"/>
              <w:jc w:val="center"/>
              <w:rPr>
                <w:rFonts w:ascii="Calibri" w:eastAsia="Times New Roman" w:hAnsi="Calibri" w:cs="Times New Roman"/>
                <w:b/>
                <w:bCs/>
                <w:color w:val="FFFFFF"/>
              </w:rPr>
            </w:pPr>
            <w:r w:rsidRPr="003F11F6">
              <w:rPr>
                <w:rFonts w:ascii="Calibri" w:eastAsia="Times New Roman" w:hAnsi="Calibri" w:cs="Times New Roman"/>
                <w:b/>
                <w:bCs/>
                <w:color w:val="FFFFFF"/>
              </w:rPr>
              <w:t xml:space="preserve">Reported </w:t>
            </w:r>
            <w:r w:rsidRPr="003F11F6">
              <w:rPr>
                <w:rFonts w:ascii="Calibri" w:eastAsia="Times New Roman" w:hAnsi="Calibri" w:cs="Times New Roman"/>
                <w:b/>
                <w:bCs/>
                <w:i/>
                <w:color w:val="FFFFFF"/>
              </w:rPr>
              <w:t>Ex ante</w:t>
            </w:r>
            <w:r w:rsidR="005025C1">
              <w:rPr>
                <w:rFonts w:ascii="Calibri" w:eastAsia="Times New Roman" w:hAnsi="Calibri" w:cs="Times New Roman"/>
                <w:b/>
                <w:bCs/>
                <w:color w:val="FFFFFF"/>
              </w:rPr>
              <w:t xml:space="preserve"> Savings (CCF</w:t>
            </w:r>
            <w:r w:rsidRPr="003F11F6">
              <w:rPr>
                <w:rFonts w:ascii="Calibri" w:eastAsia="Times New Roman" w:hAnsi="Calibri" w:cs="Times New Roman"/>
                <w:b/>
                <w:bCs/>
                <w:color w:val="FFFFFF"/>
              </w:rPr>
              <w:t>/ Household) *</w:t>
            </w:r>
            <w:r w:rsidRPr="003F11F6">
              <w:rPr>
                <w:rFonts w:ascii="Calibri" w:eastAsia="Times New Roman" w:hAnsi="Calibri" w:cs="Times New Roman"/>
                <w:b/>
                <w:bCs/>
                <w:color w:val="FFFFFF"/>
              </w:rPr>
              <w:br/>
              <w:t>(A)</w:t>
            </w:r>
          </w:p>
        </w:tc>
        <w:tc>
          <w:tcPr>
            <w:tcW w:w="705"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5025C1" w:rsidRDefault="005025C1" w:rsidP="0049243C">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Gross Savings (</w:t>
            </w:r>
            <w:r w:rsidR="0049243C" w:rsidRPr="003F11F6">
              <w:rPr>
                <w:rFonts w:ascii="Calibri" w:eastAsia="Times New Roman" w:hAnsi="Calibri" w:cs="Times New Roman"/>
                <w:b/>
                <w:bCs/>
                <w:color w:val="FFFFFF"/>
              </w:rPr>
              <w:t>CCF</w:t>
            </w:r>
            <w:r>
              <w:rPr>
                <w:rFonts w:ascii="Calibri" w:eastAsia="Times New Roman" w:hAnsi="Calibri" w:cs="Times New Roman"/>
                <w:b/>
                <w:bCs/>
                <w:color w:val="FFFFFF"/>
              </w:rPr>
              <w:t>/</w:t>
            </w:r>
          </w:p>
          <w:p w:rsidR="0049243C" w:rsidRPr="003F11F6" w:rsidRDefault="005025C1" w:rsidP="0049243C">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Household)</w:t>
            </w:r>
            <w:r w:rsidR="0049243C" w:rsidRPr="003F11F6">
              <w:rPr>
                <w:rFonts w:ascii="Calibri" w:eastAsia="Times New Roman" w:hAnsi="Calibri" w:cs="Times New Roman"/>
                <w:b/>
                <w:bCs/>
                <w:color w:val="FFFFFF"/>
              </w:rPr>
              <w:t xml:space="preserve"> </w:t>
            </w:r>
            <w:r w:rsidR="0049243C" w:rsidRPr="003F11F6">
              <w:rPr>
                <w:rFonts w:ascii="Calibri" w:eastAsia="Times New Roman" w:hAnsi="Calibri" w:cs="Times New Roman"/>
                <w:b/>
                <w:bCs/>
                <w:color w:val="FFFFFF"/>
              </w:rPr>
              <w:br/>
              <w:t>(B)</w:t>
            </w:r>
          </w:p>
        </w:tc>
        <w:tc>
          <w:tcPr>
            <w:tcW w:w="670"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49243C" w:rsidRPr="003F11F6" w:rsidRDefault="005025C1" w:rsidP="0049243C">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Realization Rate</w:t>
            </w:r>
            <w:r w:rsidR="0049243C" w:rsidRPr="003F11F6">
              <w:rPr>
                <w:rFonts w:ascii="Calibri" w:eastAsia="Times New Roman" w:hAnsi="Calibri" w:cs="Times New Roman"/>
                <w:b/>
                <w:bCs/>
                <w:color w:val="FFFFFF"/>
              </w:rPr>
              <w:t xml:space="preserve"> </w:t>
            </w:r>
            <w:r w:rsidR="0049243C" w:rsidRPr="003F11F6">
              <w:rPr>
                <w:rFonts w:ascii="Calibri" w:eastAsia="Times New Roman" w:hAnsi="Calibri" w:cs="Times New Roman"/>
                <w:b/>
                <w:bCs/>
                <w:color w:val="FFFFFF"/>
              </w:rPr>
              <w:br/>
              <w:t>(B/A)</w:t>
            </w:r>
          </w:p>
        </w:tc>
        <w:tc>
          <w:tcPr>
            <w:tcW w:w="1125"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49243C" w:rsidRPr="003F11F6" w:rsidRDefault="0049243C" w:rsidP="0049243C">
            <w:pPr>
              <w:spacing w:after="0"/>
              <w:jc w:val="center"/>
              <w:rPr>
                <w:rFonts w:ascii="Calibri" w:eastAsia="Times New Roman" w:hAnsi="Calibri" w:cs="Times New Roman"/>
                <w:b/>
                <w:bCs/>
                <w:color w:val="FFFFFF"/>
              </w:rPr>
            </w:pPr>
            <w:r w:rsidRPr="003F11F6">
              <w:rPr>
                <w:rFonts w:ascii="Calibri" w:eastAsia="Times New Roman" w:hAnsi="Calibri" w:cs="Times New Roman"/>
                <w:b/>
                <w:bCs/>
                <w:color w:val="FFFFFF"/>
              </w:rPr>
              <w:t>Method</w:t>
            </w:r>
          </w:p>
        </w:tc>
      </w:tr>
      <w:tr w:rsidR="0049243C" w:rsidRPr="003F11F6" w:rsidTr="000D1B93">
        <w:tc>
          <w:tcPr>
            <w:tcW w:w="62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Appliance</w:t>
            </w:r>
          </w:p>
        </w:tc>
        <w:tc>
          <w:tcPr>
            <w:tcW w:w="93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Clothes Washer</w:t>
            </w:r>
          </w:p>
        </w:tc>
        <w:tc>
          <w:tcPr>
            <w:tcW w:w="944"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20</w:t>
            </w:r>
          </w:p>
        </w:tc>
        <w:tc>
          <w:tcPr>
            <w:tcW w:w="70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67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w:t>
            </w:r>
          </w:p>
        </w:tc>
        <w:tc>
          <w:tcPr>
            <w:tcW w:w="112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Engineering Algorithm</w:t>
            </w:r>
          </w:p>
        </w:tc>
      </w:tr>
      <w:tr w:rsidR="0049243C" w:rsidRPr="003F11F6" w:rsidTr="000D1B93">
        <w:tc>
          <w:tcPr>
            <w:tcW w:w="62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HVAC</w:t>
            </w:r>
          </w:p>
        </w:tc>
        <w:tc>
          <w:tcPr>
            <w:tcW w:w="93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Duct Sealing</w:t>
            </w:r>
          </w:p>
        </w:tc>
        <w:tc>
          <w:tcPr>
            <w:tcW w:w="944"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jc w:val="right"/>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45</w:t>
            </w:r>
          </w:p>
        </w:tc>
        <w:tc>
          <w:tcPr>
            <w:tcW w:w="70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jc w:val="right"/>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19</w:t>
            </w:r>
          </w:p>
        </w:tc>
        <w:tc>
          <w:tcPr>
            <w:tcW w:w="67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42</w:t>
            </w:r>
            <w:r w:rsidR="0049243C" w:rsidRPr="003F11F6">
              <w:rPr>
                <w:rFonts w:ascii="Calibri" w:eastAsia="Times New Roman" w:hAnsi="Calibri" w:cs="Times New Roman"/>
                <w:color w:val="000000"/>
                <w:sz w:val="20"/>
                <w:szCs w:val="20"/>
              </w:rPr>
              <w:t>%</w:t>
            </w:r>
          </w:p>
        </w:tc>
        <w:tc>
          <w:tcPr>
            <w:tcW w:w="112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Simulation Modeling</w:t>
            </w:r>
          </w:p>
        </w:tc>
      </w:tr>
      <w:tr w:rsidR="0049243C" w:rsidRPr="003F11F6" w:rsidTr="000D1B93">
        <w:tc>
          <w:tcPr>
            <w:tcW w:w="62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195020" w:rsidRDefault="0049243C" w:rsidP="0049243C">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HVAC</w:t>
            </w:r>
          </w:p>
        </w:tc>
        <w:tc>
          <w:tcPr>
            <w:tcW w:w="93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195020" w:rsidRDefault="009930BF" w:rsidP="0049243C">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Heating System Replacement</w:t>
            </w:r>
          </w:p>
        </w:tc>
        <w:tc>
          <w:tcPr>
            <w:tcW w:w="944"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195020" w:rsidRDefault="0049243C" w:rsidP="0049243C">
            <w:pPr>
              <w:spacing w:after="0"/>
              <w:jc w:val="right"/>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1,004</w:t>
            </w:r>
          </w:p>
        </w:tc>
        <w:tc>
          <w:tcPr>
            <w:tcW w:w="70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195020" w:rsidRDefault="0049243C" w:rsidP="00A01111">
            <w:pPr>
              <w:spacing w:after="0"/>
              <w:jc w:val="right"/>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2</w:t>
            </w:r>
            <w:r w:rsidR="00A01111">
              <w:rPr>
                <w:rFonts w:ascii="Calibri" w:eastAsia="Times New Roman" w:hAnsi="Calibri" w:cs="Times New Roman"/>
                <w:color w:val="000000"/>
                <w:sz w:val="20"/>
                <w:szCs w:val="20"/>
              </w:rPr>
              <w:t>29</w:t>
            </w:r>
          </w:p>
        </w:tc>
        <w:tc>
          <w:tcPr>
            <w:tcW w:w="67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195020"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23</w:t>
            </w:r>
            <w:r w:rsidR="0049243C" w:rsidRPr="00195020">
              <w:rPr>
                <w:rFonts w:ascii="Calibri" w:eastAsia="Times New Roman" w:hAnsi="Calibri" w:cs="Times New Roman"/>
                <w:color w:val="000000"/>
                <w:sz w:val="20"/>
                <w:szCs w:val="20"/>
              </w:rPr>
              <w:t>%</w:t>
            </w:r>
          </w:p>
        </w:tc>
        <w:tc>
          <w:tcPr>
            <w:tcW w:w="112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195020" w:rsidRDefault="0049243C" w:rsidP="0049243C">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Engineering Algorithm</w:t>
            </w:r>
          </w:p>
        </w:tc>
      </w:tr>
      <w:tr w:rsidR="0049243C" w:rsidRPr="003F11F6" w:rsidTr="000D1B93">
        <w:tc>
          <w:tcPr>
            <w:tcW w:w="62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Shell</w:t>
            </w:r>
          </w:p>
        </w:tc>
        <w:tc>
          <w:tcPr>
            <w:tcW w:w="93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Air Sealing</w:t>
            </w:r>
          </w:p>
        </w:tc>
        <w:tc>
          <w:tcPr>
            <w:tcW w:w="944"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jc w:val="right"/>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62</w:t>
            </w:r>
          </w:p>
        </w:tc>
        <w:tc>
          <w:tcPr>
            <w:tcW w:w="70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57</w:t>
            </w:r>
          </w:p>
        </w:tc>
        <w:tc>
          <w:tcPr>
            <w:tcW w:w="67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91</w:t>
            </w:r>
            <w:r w:rsidR="0049243C" w:rsidRPr="003F11F6">
              <w:rPr>
                <w:rFonts w:ascii="Calibri" w:eastAsia="Times New Roman" w:hAnsi="Calibri" w:cs="Times New Roman"/>
                <w:color w:val="000000"/>
                <w:sz w:val="20"/>
                <w:szCs w:val="20"/>
              </w:rPr>
              <w:t>%</w:t>
            </w:r>
          </w:p>
        </w:tc>
        <w:tc>
          <w:tcPr>
            <w:tcW w:w="112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Billing Analysis (±14%)</w:t>
            </w:r>
          </w:p>
        </w:tc>
      </w:tr>
      <w:tr w:rsidR="0049243C" w:rsidRPr="003F11F6" w:rsidTr="000D1B93">
        <w:tc>
          <w:tcPr>
            <w:tcW w:w="62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Shell</w:t>
            </w:r>
          </w:p>
        </w:tc>
        <w:tc>
          <w:tcPr>
            <w:tcW w:w="93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Insulation Other</w:t>
            </w:r>
          </w:p>
        </w:tc>
        <w:tc>
          <w:tcPr>
            <w:tcW w:w="944"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jc w:val="right"/>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175</w:t>
            </w:r>
          </w:p>
        </w:tc>
        <w:tc>
          <w:tcPr>
            <w:tcW w:w="70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175</w:t>
            </w:r>
          </w:p>
        </w:tc>
        <w:tc>
          <w:tcPr>
            <w:tcW w:w="67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r w:rsidR="0049243C" w:rsidRPr="003F11F6">
              <w:rPr>
                <w:rFonts w:ascii="Calibri" w:eastAsia="Times New Roman" w:hAnsi="Calibri" w:cs="Times New Roman"/>
                <w:color w:val="000000"/>
                <w:sz w:val="20"/>
                <w:szCs w:val="20"/>
              </w:rPr>
              <w:t>%</w:t>
            </w:r>
          </w:p>
        </w:tc>
        <w:tc>
          <w:tcPr>
            <w:tcW w:w="112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 xml:space="preserve">Reported </w:t>
            </w:r>
            <w:r w:rsidRPr="003F11F6">
              <w:rPr>
                <w:rFonts w:ascii="Calibri" w:eastAsia="Times New Roman" w:hAnsi="Calibri" w:cs="Times New Roman"/>
                <w:i/>
                <w:color w:val="000000"/>
                <w:sz w:val="20"/>
                <w:szCs w:val="20"/>
              </w:rPr>
              <w:t>Ex Ante</w:t>
            </w:r>
          </w:p>
        </w:tc>
      </w:tr>
      <w:tr w:rsidR="0049243C" w:rsidRPr="003F11F6" w:rsidTr="000D1B93">
        <w:tc>
          <w:tcPr>
            <w:tcW w:w="62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Shell</w:t>
            </w:r>
          </w:p>
        </w:tc>
        <w:tc>
          <w:tcPr>
            <w:tcW w:w="93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Windows</w:t>
            </w:r>
          </w:p>
        </w:tc>
        <w:tc>
          <w:tcPr>
            <w:tcW w:w="944"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jc w:val="right"/>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136</w:t>
            </w:r>
          </w:p>
        </w:tc>
        <w:tc>
          <w:tcPr>
            <w:tcW w:w="70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147</w:t>
            </w:r>
          </w:p>
        </w:tc>
        <w:tc>
          <w:tcPr>
            <w:tcW w:w="67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108</w:t>
            </w:r>
            <w:r w:rsidR="0049243C" w:rsidRPr="003F11F6">
              <w:rPr>
                <w:rFonts w:ascii="Calibri" w:eastAsia="Times New Roman" w:hAnsi="Calibri" w:cs="Times New Roman"/>
                <w:color w:val="000000"/>
                <w:sz w:val="20"/>
                <w:szCs w:val="20"/>
              </w:rPr>
              <w:t>%</w:t>
            </w:r>
          </w:p>
        </w:tc>
        <w:tc>
          <w:tcPr>
            <w:tcW w:w="112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Engineering Algorithm</w:t>
            </w:r>
          </w:p>
        </w:tc>
      </w:tr>
      <w:tr w:rsidR="0049243C" w:rsidRPr="003F11F6" w:rsidTr="000D1B93">
        <w:tc>
          <w:tcPr>
            <w:tcW w:w="62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Shell</w:t>
            </w:r>
          </w:p>
        </w:tc>
        <w:tc>
          <w:tcPr>
            <w:tcW w:w="93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Attic Insulation</w:t>
            </w:r>
          </w:p>
        </w:tc>
        <w:tc>
          <w:tcPr>
            <w:tcW w:w="944"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jc w:val="right"/>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179</w:t>
            </w:r>
          </w:p>
        </w:tc>
        <w:tc>
          <w:tcPr>
            <w:tcW w:w="70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135</w:t>
            </w:r>
          </w:p>
        </w:tc>
        <w:tc>
          <w:tcPr>
            <w:tcW w:w="67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76</w:t>
            </w:r>
            <w:r w:rsidR="0049243C" w:rsidRPr="003F11F6">
              <w:rPr>
                <w:rFonts w:ascii="Calibri" w:eastAsia="Times New Roman" w:hAnsi="Calibri" w:cs="Times New Roman"/>
                <w:color w:val="000000"/>
                <w:sz w:val="20"/>
                <w:szCs w:val="20"/>
              </w:rPr>
              <w:t>%</w:t>
            </w:r>
          </w:p>
        </w:tc>
        <w:tc>
          <w:tcPr>
            <w:tcW w:w="112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Simulation Modeling</w:t>
            </w:r>
          </w:p>
        </w:tc>
      </w:tr>
      <w:tr w:rsidR="0049243C" w:rsidRPr="003F11F6" w:rsidTr="000D1B93">
        <w:tc>
          <w:tcPr>
            <w:tcW w:w="62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Shell</w:t>
            </w:r>
          </w:p>
        </w:tc>
        <w:tc>
          <w:tcPr>
            <w:tcW w:w="93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Wall Insulation</w:t>
            </w:r>
          </w:p>
        </w:tc>
        <w:tc>
          <w:tcPr>
            <w:tcW w:w="944"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jc w:val="right"/>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449</w:t>
            </w:r>
          </w:p>
        </w:tc>
        <w:tc>
          <w:tcPr>
            <w:tcW w:w="70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224</w:t>
            </w:r>
          </w:p>
        </w:tc>
        <w:tc>
          <w:tcPr>
            <w:tcW w:w="67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50</w:t>
            </w:r>
            <w:r w:rsidR="0049243C" w:rsidRPr="003F11F6">
              <w:rPr>
                <w:rFonts w:ascii="Calibri" w:eastAsia="Times New Roman" w:hAnsi="Calibri" w:cs="Times New Roman"/>
                <w:color w:val="000000"/>
                <w:sz w:val="20"/>
                <w:szCs w:val="20"/>
              </w:rPr>
              <w:t>%</w:t>
            </w:r>
          </w:p>
        </w:tc>
        <w:tc>
          <w:tcPr>
            <w:tcW w:w="112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Simulation Modeling</w:t>
            </w:r>
          </w:p>
        </w:tc>
      </w:tr>
      <w:tr w:rsidR="0049243C" w:rsidRPr="003F11F6" w:rsidTr="000D1B93">
        <w:tc>
          <w:tcPr>
            <w:tcW w:w="62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Water Heat</w:t>
            </w:r>
          </w:p>
        </w:tc>
        <w:tc>
          <w:tcPr>
            <w:tcW w:w="93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Water Heater Replacement</w:t>
            </w:r>
          </w:p>
        </w:tc>
        <w:tc>
          <w:tcPr>
            <w:tcW w:w="944"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jc w:val="right"/>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56</w:t>
            </w:r>
          </w:p>
        </w:tc>
        <w:tc>
          <w:tcPr>
            <w:tcW w:w="70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56</w:t>
            </w:r>
          </w:p>
        </w:tc>
        <w:tc>
          <w:tcPr>
            <w:tcW w:w="67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r w:rsidR="0049243C" w:rsidRPr="003F11F6">
              <w:rPr>
                <w:rFonts w:ascii="Calibri" w:eastAsia="Times New Roman" w:hAnsi="Calibri" w:cs="Times New Roman"/>
                <w:color w:val="000000"/>
                <w:sz w:val="20"/>
                <w:szCs w:val="20"/>
              </w:rPr>
              <w:t>%</w:t>
            </w:r>
          </w:p>
        </w:tc>
        <w:tc>
          <w:tcPr>
            <w:tcW w:w="112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 xml:space="preserve">Reported </w:t>
            </w:r>
            <w:r w:rsidRPr="003F11F6">
              <w:rPr>
                <w:rFonts w:ascii="Calibri" w:eastAsia="Times New Roman" w:hAnsi="Calibri" w:cs="Times New Roman"/>
                <w:i/>
                <w:color w:val="000000"/>
                <w:sz w:val="20"/>
                <w:szCs w:val="20"/>
              </w:rPr>
              <w:t>Ex Ante</w:t>
            </w:r>
          </w:p>
        </w:tc>
      </w:tr>
      <w:tr w:rsidR="0049243C" w:rsidRPr="003F11F6" w:rsidTr="000D1B93">
        <w:tc>
          <w:tcPr>
            <w:tcW w:w="62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Water Heat</w:t>
            </w:r>
          </w:p>
        </w:tc>
        <w:tc>
          <w:tcPr>
            <w:tcW w:w="93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DWH Bundle</w:t>
            </w:r>
          </w:p>
        </w:tc>
        <w:tc>
          <w:tcPr>
            <w:tcW w:w="944"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jc w:val="right"/>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17</w:t>
            </w:r>
          </w:p>
        </w:tc>
        <w:tc>
          <w:tcPr>
            <w:tcW w:w="70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jc w:val="right"/>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14</w:t>
            </w:r>
          </w:p>
        </w:tc>
        <w:tc>
          <w:tcPr>
            <w:tcW w:w="67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84</w:t>
            </w:r>
            <w:r w:rsidR="0049243C" w:rsidRPr="003F11F6">
              <w:rPr>
                <w:rFonts w:ascii="Calibri" w:eastAsia="Times New Roman" w:hAnsi="Calibri" w:cs="Times New Roman"/>
                <w:color w:val="000000"/>
                <w:sz w:val="20"/>
                <w:szCs w:val="20"/>
              </w:rPr>
              <w:t>%</w:t>
            </w:r>
          </w:p>
        </w:tc>
        <w:tc>
          <w:tcPr>
            <w:tcW w:w="112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9243C" w:rsidRPr="003F11F6" w:rsidRDefault="0049243C" w:rsidP="0049243C">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Engineering Algorithm</w:t>
            </w:r>
          </w:p>
        </w:tc>
      </w:tr>
    </w:tbl>
    <w:p w:rsidR="0049243C" w:rsidRPr="004863EE" w:rsidRDefault="0049243C" w:rsidP="0049243C">
      <w:pPr>
        <w:spacing w:after="0" w:line="240" w:lineRule="auto"/>
        <w:ind w:left="90" w:hanging="90"/>
        <w:rPr>
          <w:rFonts w:ascii="Calibri" w:eastAsia="Times New Roman" w:hAnsi="Calibri" w:cs="Times New Roman"/>
          <w:bCs/>
          <w:sz w:val="20"/>
          <w:szCs w:val="20"/>
        </w:rPr>
      </w:pPr>
      <w:r w:rsidRPr="004863EE">
        <w:rPr>
          <w:rFonts w:ascii="Calibri" w:eastAsia="Times New Roman" w:hAnsi="Calibri" w:cs="Times New Roman"/>
          <w:bCs/>
          <w:sz w:val="20"/>
          <w:szCs w:val="20"/>
        </w:rPr>
        <w:t xml:space="preserve">*Average </w:t>
      </w:r>
      <w:r w:rsidRPr="00296386">
        <w:rPr>
          <w:rFonts w:ascii="Calibri" w:eastAsia="Times New Roman" w:hAnsi="Calibri" w:cs="Times New Roman"/>
          <w:bCs/>
          <w:i/>
          <w:sz w:val="20"/>
          <w:szCs w:val="20"/>
        </w:rPr>
        <w:t>ex ante</w:t>
      </w:r>
      <w:r w:rsidRPr="004863EE">
        <w:rPr>
          <w:rFonts w:ascii="Calibri" w:eastAsia="Times New Roman" w:hAnsi="Calibri" w:cs="Times New Roman"/>
          <w:bCs/>
          <w:sz w:val="20"/>
          <w:szCs w:val="20"/>
        </w:rPr>
        <w:t xml:space="preserve"> savings per household </w:t>
      </w:r>
      <w:r>
        <w:rPr>
          <w:rFonts w:ascii="Calibri" w:eastAsia="Times New Roman" w:hAnsi="Calibri" w:cs="Times New Roman"/>
          <w:bCs/>
          <w:sz w:val="20"/>
          <w:szCs w:val="20"/>
        </w:rPr>
        <w:t>are</w:t>
      </w:r>
      <w:r w:rsidRPr="004863EE">
        <w:rPr>
          <w:rFonts w:ascii="Calibri" w:eastAsia="Times New Roman" w:hAnsi="Calibri" w:cs="Times New Roman"/>
          <w:bCs/>
          <w:sz w:val="20"/>
          <w:szCs w:val="20"/>
        </w:rPr>
        <w:t xml:space="preserve"> </w:t>
      </w:r>
      <w:r>
        <w:rPr>
          <w:rFonts w:ascii="Calibri" w:eastAsia="Times New Roman" w:hAnsi="Calibri" w:cs="Times New Roman"/>
          <w:bCs/>
          <w:sz w:val="20"/>
          <w:szCs w:val="20"/>
        </w:rPr>
        <w:t>based on the program population, except for measures estimated through billing analysis, which are based on the billing analysis participant sample</w:t>
      </w:r>
      <w:r w:rsidRPr="004863EE">
        <w:rPr>
          <w:rFonts w:ascii="Calibri" w:eastAsia="Times New Roman" w:hAnsi="Calibri" w:cs="Times New Roman"/>
          <w:bCs/>
          <w:sz w:val="20"/>
          <w:szCs w:val="20"/>
        </w:rPr>
        <w:t>.</w:t>
      </w:r>
    </w:p>
    <w:p w:rsidR="0049243C" w:rsidRDefault="0049243C" w:rsidP="00662AC0">
      <w:pPr>
        <w:pStyle w:val="NormalAfterTablesandFigures"/>
      </w:pPr>
    </w:p>
    <w:p w:rsidR="0049243C" w:rsidRPr="00216AA8" w:rsidRDefault="005C2163" w:rsidP="00662AC0">
      <w:r>
        <w:fldChar w:fldCharType="begin"/>
      </w:r>
      <w:r w:rsidR="00662AC0">
        <w:instrText xml:space="preserve"> REF _Ref389466091 \h </w:instrText>
      </w:r>
      <w:r>
        <w:fldChar w:fldCharType="separate"/>
      </w:r>
      <w:r w:rsidR="00CD20CF">
        <w:t xml:space="preserve">Table </w:t>
      </w:r>
      <w:r w:rsidR="00CD20CF">
        <w:rPr>
          <w:noProof/>
        </w:rPr>
        <w:t>7</w:t>
      </w:r>
      <w:r>
        <w:fldChar w:fldCharType="end"/>
      </w:r>
      <w:r w:rsidR="0049243C">
        <w:t xml:space="preserve"> presents evaluated adjusted gross electric and gas energy savings for the 2011 HES-IE program.</w:t>
      </w:r>
    </w:p>
    <w:p w:rsidR="0049243C" w:rsidRPr="00216AA8" w:rsidRDefault="0049243C" w:rsidP="0049243C">
      <w:pPr>
        <w:pStyle w:val="Caption"/>
      </w:pPr>
      <w:bookmarkStart w:id="13" w:name="_Ref389466091"/>
      <w:r>
        <w:t xml:space="preserve">Table </w:t>
      </w:r>
      <w:r w:rsidR="002506E1">
        <w:fldChar w:fldCharType="begin"/>
      </w:r>
      <w:r w:rsidR="002506E1">
        <w:instrText xml:space="preserve"> SEQ Table \* ARABIC </w:instrText>
      </w:r>
      <w:r w:rsidR="002506E1">
        <w:fldChar w:fldCharType="separate"/>
      </w:r>
      <w:r w:rsidR="00CD20CF">
        <w:rPr>
          <w:noProof/>
        </w:rPr>
        <w:t>7</w:t>
      </w:r>
      <w:r w:rsidR="002506E1">
        <w:rPr>
          <w:noProof/>
        </w:rPr>
        <w:fldChar w:fldCharType="end"/>
      </w:r>
      <w:bookmarkEnd w:id="13"/>
      <w:r>
        <w:t>. Total 2011 Evaluated HES</w:t>
      </w:r>
      <w:r w:rsidR="00A01111">
        <w:t>-IE</w:t>
      </w:r>
      <w:r>
        <w:t xml:space="preserve"> Electric and Gas Savings</w:t>
      </w:r>
      <w:r w:rsidR="007D66A3">
        <w:t>*</w:t>
      </w:r>
      <w:r>
        <w:t xml:space="preserve"> </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434"/>
        <w:gridCol w:w="1426"/>
        <w:gridCol w:w="1221"/>
        <w:gridCol w:w="1859"/>
      </w:tblGrid>
      <w:tr w:rsidR="0049243C" w:rsidRPr="00216AA8" w:rsidTr="000D1B93">
        <w:trPr>
          <w:jc w:val="center"/>
        </w:trPr>
        <w:tc>
          <w:tcPr>
            <w:tcW w:w="0" w:type="auto"/>
            <w:shd w:val="clear" w:color="000000" w:fill="005DAA"/>
            <w:vAlign w:val="center"/>
            <w:hideMark/>
          </w:tcPr>
          <w:p w:rsidR="0049243C" w:rsidRPr="00216AA8" w:rsidRDefault="0049243C" w:rsidP="000D1B93">
            <w:pPr>
              <w:spacing w:after="0" w:line="240" w:lineRule="auto"/>
              <w:jc w:val="center"/>
              <w:rPr>
                <w:rFonts w:ascii="Calibri" w:eastAsia="Times New Roman" w:hAnsi="Calibri" w:cs="Times New Roman"/>
                <w:b/>
                <w:bCs/>
                <w:color w:val="FFFFFF"/>
              </w:rPr>
            </w:pPr>
            <w:r w:rsidRPr="00216AA8">
              <w:rPr>
                <w:rFonts w:ascii="Calibri" w:eastAsia="Times New Roman" w:hAnsi="Calibri" w:cs="Times New Roman"/>
                <w:b/>
                <w:bCs/>
                <w:color w:val="FFFFFF"/>
              </w:rPr>
              <w:t>Value</w:t>
            </w:r>
          </w:p>
        </w:tc>
        <w:tc>
          <w:tcPr>
            <w:tcW w:w="0" w:type="auto"/>
            <w:shd w:val="clear" w:color="000000" w:fill="005DAA"/>
            <w:vAlign w:val="center"/>
            <w:hideMark/>
          </w:tcPr>
          <w:p w:rsidR="0049243C" w:rsidRPr="00216AA8" w:rsidRDefault="0049243C" w:rsidP="000D1B93">
            <w:pPr>
              <w:spacing w:after="0" w:line="240" w:lineRule="auto"/>
              <w:jc w:val="center"/>
              <w:rPr>
                <w:rFonts w:ascii="Calibri" w:eastAsia="Times New Roman" w:hAnsi="Calibri" w:cs="Times New Roman"/>
                <w:b/>
                <w:bCs/>
                <w:color w:val="FFFFFF"/>
              </w:rPr>
            </w:pPr>
            <w:r w:rsidRPr="00216AA8">
              <w:rPr>
                <w:rFonts w:ascii="Calibri" w:eastAsia="Times New Roman" w:hAnsi="Calibri" w:cs="Times New Roman"/>
                <w:b/>
                <w:bCs/>
                <w:color w:val="FFFFFF"/>
              </w:rPr>
              <w:t>Annual MWh</w:t>
            </w:r>
          </w:p>
        </w:tc>
        <w:tc>
          <w:tcPr>
            <w:tcW w:w="0" w:type="auto"/>
            <w:shd w:val="clear" w:color="000000" w:fill="005DAA"/>
            <w:vAlign w:val="center"/>
            <w:hideMark/>
          </w:tcPr>
          <w:p w:rsidR="0049243C" w:rsidRPr="00216AA8" w:rsidRDefault="0049243C" w:rsidP="000D1B93">
            <w:pPr>
              <w:spacing w:after="0" w:line="240" w:lineRule="auto"/>
              <w:jc w:val="center"/>
              <w:rPr>
                <w:rFonts w:ascii="Calibri" w:eastAsia="Times New Roman" w:hAnsi="Calibri" w:cs="Times New Roman"/>
                <w:b/>
                <w:bCs/>
                <w:color w:val="FFFFFF"/>
              </w:rPr>
            </w:pPr>
            <w:r>
              <w:rPr>
                <w:rFonts w:ascii="Calibri" w:eastAsia="Times New Roman" w:hAnsi="Calibri" w:cs="Times New Roman"/>
                <w:b/>
                <w:bCs/>
                <w:color w:val="FFFFFF"/>
              </w:rPr>
              <w:t>Annual kW</w:t>
            </w:r>
          </w:p>
        </w:tc>
        <w:tc>
          <w:tcPr>
            <w:tcW w:w="0" w:type="auto"/>
            <w:shd w:val="clear" w:color="000000" w:fill="005DAA"/>
            <w:vAlign w:val="center"/>
            <w:hideMark/>
          </w:tcPr>
          <w:p w:rsidR="0049243C" w:rsidRPr="00216AA8" w:rsidRDefault="0049243C" w:rsidP="000D1B93">
            <w:pPr>
              <w:spacing w:after="0" w:line="240" w:lineRule="auto"/>
              <w:jc w:val="center"/>
              <w:rPr>
                <w:rFonts w:ascii="Calibri" w:eastAsia="Times New Roman" w:hAnsi="Calibri" w:cs="Times New Roman"/>
                <w:b/>
                <w:bCs/>
                <w:color w:val="FFFFFF"/>
              </w:rPr>
            </w:pPr>
            <w:r w:rsidRPr="00216AA8">
              <w:rPr>
                <w:rFonts w:ascii="Calibri" w:eastAsia="Times New Roman" w:hAnsi="Calibri" w:cs="Times New Roman"/>
                <w:b/>
                <w:bCs/>
                <w:color w:val="FFFFFF"/>
              </w:rPr>
              <w:t>Annual CCF (000s)</w:t>
            </w:r>
          </w:p>
        </w:tc>
      </w:tr>
      <w:tr w:rsidR="0049243C" w:rsidRPr="00216AA8" w:rsidTr="000D1B93">
        <w:trPr>
          <w:jc w:val="center"/>
        </w:trPr>
        <w:tc>
          <w:tcPr>
            <w:tcW w:w="0" w:type="auto"/>
            <w:shd w:val="clear" w:color="auto" w:fill="auto"/>
            <w:vAlign w:val="center"/>
            <w:hideMark/>
          </w:tcPr>
          <w:p w:rsidR="0049243C" w:rsidRPr="00216AA8" w:rsidRDefault="0049243C" w:rsidP="000D1B93">
            <w:pPr>
              <w:spacing w:after="0" w:line="240" w:lineRule="auto"/>
              <w:rPr>
                <w:rFonts w:ascii="Calibri" w:eastAsia="Times New Roman" w:hAnsi="Calibri" w:cs="Times New Roman"/>
                <w:color w:val="000000"/>
                <w:sz w:val="20"/>
                <w:szCs w:val="20"/>
              </w:rPr>
            </w:pPr>
            <w:r w:rsidRPr="00216AA8">
              <w:rPr>
                <w:rFonts w:ascii="Calibri" w:eastAsia="Times New Roman" w:hAnsi="Calibri" w:cs="Times New Roman"/>
                <w:color w:val="000000"/>
                <w:sz w:val="20"/>
                <w:szCs w:val="20"/>
              </w:rPr>
              <w:t>Reported Savings</w:t>
            </w:r>
          </w:p>
        </w:tc>
        <w:tc>
          <w:tcPr>
            <w:tcW w:w="0" w:type="auto"/>
            <w:shd w:val="clear" w:color="auto" w:fill="auto"/>
            <w:vAlign w:val="center"/>
          </w:tcPr>
          <w:p w:rsidR="0049243C" w:rsidRPr="00216AA8" w:rsidRDefault="0049243C" w:rsidP="00A0111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25,132</w:t>
            </w:r>
          </w:p>
        </w:tc>
        <w:tc>
          <w:tcPr>
            <w:tcW w:w="0" w:type="auto"/>
            <w:shd w:val="clear" w:color="auto" w:fill="auto"/>
            <w:vAlign w:val="center"/>
          </w:tcPr>
          <w:p w:rsidR="0049243C" w:rsidRPr="00216AA8" w:rsidRDefault="0049243C" w:rsidP="00A0111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1,558</w:t>
            </w:r>
          </w:p>
        </w:tc>
        <w:tc>
          <w:tcPr>
            <w:tcW w:w="0" w:type="auto"/>
            <w:shd w:val="clear" w:color="auto" w:fill="auto"/>
            <w:vAlign w:val="center"/>
          </w:tcPr>
          <w:p w:rsidR="0049243C" w:rsidRPr="00216AA8" w:rsidRDefault="0049243C" w:rsidP="00A0111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932</w:t>
            </w:r>
          </w:p>
        </w:tc>
      </w:tr>
      <w:tr w:rsidR="0049243C" w:rsidRPr="00216AA8" w:rsidTr="000D1B93">
        <w:trPr>
          <w:jc w:val="center"/>
        </w:trPr>
        <w:tc>
          <w:tcPr>
            <w:tcW w:w="0" w:type="auto"/>
            <w:shd w:val="clear" w:color="auto" w:fill="auto"/>
            <w:vAlign w:val="center"/>
            <w:hideMark/>
          </w:tcPr>
          <w:p w:rsidR="0049243C" w:rsidRPr="00216AA8" w:rsidRDefault="0049243C" w:rsidP="000D1B93">
            <w:pPr>
              <w:spacing w:after="0" w:line="240" w:lineRule="auto"/>
              <w:rPr>
                <w:rFonts w:ascii="Calibri" w:eastAsia="Times New Roman" w:hAnsi="Calibri" w:cs="Times New Roman"/>
                <w:color w:val="000000"/>
                <w:sz w:val="20"/>
                <w:szCs w:val="20"/>
              </w:rPr>
            </w:pPr>
            <w:r w:rsidRPr="00216AA8">
              <w:rPr>
                <w:rFonts w:ascii="Calibri" w:eastAsia="Times New Roman" w:hAnsi="Calibri" w:cs="Times New Roman"/>
                <w:color w:val="000000"/>
                <w:sz w:val="20"/>
                <w:szCs w:val="20"/>
              </w:rPr>
              <w:t>Evaluated Adjusted Savings</w:t>
            </w:r>
          </w:p>
        </w:tc>
        <w:tc>
          <w:tcPr>
            <w:tcW w:w="0" w:type="auto"/>
            <w:shd w:val="clear" w:color="auto" w:fill="auto"/>
            <w:vAlign w:val="center"/>
          </w:tcPr>
          <w:p w:rsidR="0049243C" w:rsidRPr="00216AA8" w:rsidRDefault="007D66A3" w:rsidP="00A0111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19,836</w:t>
            </w:r>
          </w:p>
        </w:tc>
        <w:tc>
          <w:tcPr>
            <w:tcW w:w="0" w:type="auto"/>
            <w:shd w:val="clear" w:color="auto" w:fill="auto"/>
            <w:vAlign w:val="center"/>
          </w:tcPr>
          <w:p w:rsidR="0049243C" w:rsidRPr="00216AA8" w:rsidRDefault="007D66A3" w:rsidP="00A0111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1,230</w:t>
            </w:r>
          </w:p>
        </w:tc>
        <w:tc>
          <w:tcPr>
            <w:tcW w:w="0" w:type="auto"/>
            <w:shd w:val="clear" w:color="auto" w:fill="auto"/>
            <w:vAlign w:val="center"/>
          </w:tcPr>
          <w:p w:rsidR="0049243C" w:rsidRPr="00216AA8" w:rsidRDefault="007D66A3" w:rsidP="00A0111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514</w:t>
            </w:r>
          </w:p>
        </w:tc>
      </w:tr>
      <w:tr w:rsidR="0049243C" w:rsidRPr="00216AA8" w:rsidTr="000D1B93">
        <w:trPr>
          <w:jc w:val="center"/>
        </w:trPr>
        <w:tc>
          <w:tcPr>
            <w:tcW w:w="0" w:type="auto"/>
            <w:shd w:val="clear" w:color="auto" w:fill="auto"/>
            <w:vAlign w:val="center"/>
            <w:hideMark/>
          </w:tcPr>
          <w:p w:rsidR="0049243C" w:rsidRPr="00216AA8" w:rsidRDefault="0049243C" w:rsidP="000D1B93">
            <w:pPr>
              <w:spacing w:after="0" w:line="240" w:lineRule="auto"/>
              <w:rPr>
                <w:rFonts w:ascii="Calibri" w:eastAsia="Times New Roman" w:hAnsi="Calibri" w:cs="Times New Roman"/>
                <w:color w:val="000000"/>
                <w:sz w:val="20"/>
                <w:szCs w:val="20"/>
              </w:rPr>
            </w:pPr>
            <w:r w:rsidRPr="00216AA8">
              <w:rPr>
                <w:rFonts w:ascii="Calibri" w:eastAsia="Times New Roman" w:hAnsi="Calibri" w:cs="Times New Roman"/>
                <w:color w:val="000000"/>
                <w:sz w:val="20"/>
                <w:szCs w:val="20"/>
              </w:rPr>
              <w:t>Realization Rate</w:t>
            </w:r>
          </w:p>
        </w:tc>
        <w:tc>
          <w:tcPr>
            <w:tcW w:w="0" w:type="auto"/>
            <w:gridSpan w:val="2"/>
            <w:shd w:val="clear" w:color="auto" w:fill="auto"/>
            <w:vAlign w:val="center"/>
          </w:tcPr>
          <w:p w:rsidR="0049243C" w:rsidRPr="00216AA8" w:rsidRDefault="007D66A3" w:rsidP="00A0111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79</w:t>
            </w:r>
            <w:r w:rsidR="0049243C">
              <w:rPr>
                <w:rFonts w:ascii="Calibri" w:eastAsia="Times New Roman" w:hAnsi="Calibri" w:cs="Times New Roman"/>
                <w:color w:val="000000"/>
                <w:sz w:val="20"/>
                <w:szCs w:val="20"/>
              </w:rPr>
              <w:t>%</w:t>
            </w:r>
          </w:p>
        </w:tc>
        <w:tc>
          <w:tcPr>
            <w:tcW w:w="0" w:type="auto"/>
            <w:shd w:val="clear" w:color="auto" w:fill="auto"/>
            <w:vAlign w:val="center"/>
          </w:tcPr>
          <w:p w:rsidR="0049243C" w:rsidRPr="00216AA8" w:rsidRDefault="007D66A3" w:rsidP="00A0111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55</w:t>
            </w:r>
            <w:r w:rsidR="0049243C">
              <w:rPr>
                <w:rFonts w:ascii="Calibri" w:eastAsia="Times New Roman" w:hAnsi="Calibri" w:cs="Times New Roman"/>
                <w:color w:val="000000"/>
                <w:sz w:val="20"/>
                <w:szCs w:val="20"/>
              </w:rPr>
              <w:t>%</w:t>
            </w:r>
          </w:p>
        </w:tc>
      </w:tr>
    </w:tbl>
    <w:p w:rsidR="0049243C" w:rsidRDefault="007D66A3" w:rsidP="007D66A3">
      <w:pPr>
        <w:pStyle w:val="NormalAfterTablesandFigures"/>
        <w:ind w:left="1350" w:right="1260"/>
        <w:rPr>
          <w:rFonts w:ascii="Calibri" w:eastAsia="Times New Roman" w:hAnsi="Calibri" w:cs="Times New Roman"/>
          <w:bCs/>
          <w:sz w:val="20"/>
          <w:szCs w:val="20"/>
        </w:rPr>
      </w:pPr>
      <w:r w:rsidRPr="004863EE">
        <w:rPr>
          <w:rFonts w:ascii="Calibri" w:eastAsia="Times New Roman" w:hAnsi="Calibri" w:cs="Times New Roman"/>
          <w:bCs/>
          <w:sz w:val="20"/>
          <w:szCs w:val="20"/>
        </w:rPr>
        <w:t>*</w:t>
      </w:r>
      <w:r>
        <w:rPr>
          <w:rFonts w:ascii="Calibri" w:eastAsia="Times New Roman" w:hAnsi="Calibri" w:cs="Times New Roman"/>
          <w:bCs/>
          <w:sz w:val="20"/>
          <w:szCs w:val="20"/>
        </w:rPr>
        <w:t xml:space="preserve">The realization rates from the SP1 and SP4 whole-house billing analyses have been applied to the percentage of HES-IE savings attributed </w:t>
      </w:r>
      <w:r w:rsidR="00033AD2">
        <w:rPr>
          <w:rFonts w:ascii="Calibri" w:eastAsia="Times New Roman" w:hAnsi="Calibri" w:cs="Times New Roman"/>
          <w:bCs/>
          <w:sz w:val="20"/>
          <w:szCs w:val="20"/>
        </w:rPr>
        <w:t>to each</w:t>
      </w:r>
      <w:r>
        <w:rPr>
          <w:rFonts w:ascii="Calibri" w:eastAsia="Times New Roman" w:hAnsi="Calibri" w:cs="Times New Roman"/>
          <w:bCs/>
          <w:sz w:val="20"/>
          <w:szCs w:val="20"/>
        </w:rPr>
        <w:t xml:space="preserve"> subprogram, for electric and gas, respectively.</w:t>
      </w:r>
    </w:p>
    <w:p w:rsidR="007D66A3" w:rsidRDefault="007D66A3" w:rsidP="0049243C">
      <w:pPr>
        <w:pStyle w:val="NormalAfterTablesandFigures"/>
      </w:pPr>
    </w:p>
    <w:p w:rsidR="0049243C" w:rsidRDefault="0049243C" w:rsidP="0049243C">
      <w:r>
        <w:t xml:space="preserve">For the HES-IE program, evaluated adjusted gross savings were lower than reported savings, with an adjusted gross realization rate </w:t>
      </w:r>
      <w:r w:rsidRPr="007A156B">
        <w:t xml:space="preserve">of </w:t>
      </w:r>
      <w:r w:rsidR="007D66A3">
        <w:t>79</w:t>
      </w:r>
      <w:r w:rsidRPr="007A156B">
        <w:t>%</w:t>
      </w:r>
      <w:r>
        <w:t xml:space="preserve"> for electric and </w:t>
      </w:r>
      <w:r w:rsidR="007D66A3">
        <w:t>55</w:t>
      </w:r>
      <w:r>
        <w:t xml:space="preserve">% for gas. Evaluated savings </w:t>
      </w:r>
      <w:r w:rsidR="00662AC0">
        <w:t>were</w:t>
      </w:r>
      <w:r>
        <w:t xml:space="preserve"> calculated using analytical methods specific to each measure, as described in more detail below</w:t>
      </w:r>
    </w:p>
    <w:p w:rsidR="0049243C" w:rsidRDefault="005C2163" w:rsidP="0049243C">
      <w:r>
        <w:fldChar w:fldCharType="begin"/>
      </w:r>
      <w:r w:rsidR="00662AC0">
        <w:instrText xml:space="preserve"> REF _Ref389466127 \h </w:instrText>
      </w:r>
      <w:r>
        <w:fldChar w:fldCharType="separate"/>
      </w:r>
      <w:r w:rsidR="00CD20CF">
        <w:t xml:space="preserve">Table </w:t>
      </w:r>
      <w:r w:rsidR="00CD20CF">
        <w:rPr>
          <w:noProof/>
        </w:rPr>
        <w:t>8</w:t>
      </w:r>
      <w:r>
        <w:fldChar w:fldCharType="end"/>
      </w:r>
      <w:r w:rsidR="0049243C">
        <w:t xml:space="preserve"> and </w:t>
      </w:r>
      <w:r>
        <w:fldChar w:fldCharType="begin"/>
      </w:r>
      <w:r w:rsidR="00662AC0">
        <w:instrText xml:space="preserve"> REF _Ref389466133 \h </w:instrText>
      </w:r>
      <w:r>
        <w:fldChar w:fldCharType="separate"/>
      </w:r>
      <w:r w:rsidR="00CD20CF">
        <w:t xml:space="preserve">Table </w:t>
      </w:r>
      <w:r w:rsidR="00CD20CF">
        <w:rPr>
          <w:noProof/>
        </w:rPr>
        <w:t>9</w:t>
      </w:r>
      <w:r>
        <w:fldChar w:fldCharType="end"/>
      </w:r>
      <w:r w:rsidR="0049243C">
        <w:t xml:space="preserve"> present the distribution of HES-IE electric and gas savings at the measure-level, comparing reported </w:t>
      </w:r>
      <w:r w:rsidR="0049243C" w:rsidRPr="00296386">
        <w:rPr>
          <w:i/>
        </w:rPr>
        <w:t>ex ante</w:t>
      </w:r>
      <w:r w:rsidR="0049243C">
        <w:t xml:space="preserve"> savings to estimates of evaluated gross savings. The</w:t>
      </w:r>
      <w:r w:rsidR="00662AC0">
        <w:t>se</w:t>
      </w:r>
      <w:r w:rsidR="0049243C">
        <w:t xml:space="preserve"> savings estimates reflect average household savings for participants receiving a given measure. </w:t>
      </w:r>
    </w:p>
    <w:p w:rsidR="0049243C" w:rsidRDefault="0049243C" w:rsidP="003A300E">
      <w:pPr>
        <w:pStyle w:val="Caption"/>
        <w:pageBreakBefore/>
      </w:pPr>
      <w:bookmarkStart w:id="14" w:name="_Ref389466127"/>
      <w:r>
        <w:lastRenderedPageBreak/>
        <w:t xml:space="preserve">Table </w:t>
      </w:r>
      <w:r w:rsidR="002506E1">
        <w:fldChar w:fldCharType="begin"/>
      </w:r>
      <w:r w:rsidR="002506E1">
        <w:instrText xml:space="preserve"> SEQ Table \* ARABIC </w:instrText>
      </w:r>
      <w:r w:rsidR="002506E1">
        <w:fldChar w:fldCharType="separate"/>
      </w:r>
      <w:r w:rsidR="00CD20CF">
        <w:rPr>
          <w:noProof/>
        </w:rPr>
        <w:t>8</w:t>
      </w:r>
      <w:r w:rsidR="002506E1">
        <w:rPr>
          <w:noProof/>
        </w:rPr>
        <w:fldChar w:fldCharType="end"/>
      </w:r>
      <w:bookmarkEnd w:id="14"/>
      <w:r>
        <w:t xml:space="preserve">. Comparison of </w:t>
      </w:r>
      <w:r w:rsidRPr="001567EE">
        <w:rPr>
          <w:i/>
        </w:rPr>
        <w:t>Ex Ante</w:t>
      </w:r>
      <w:r>
        <w:t xml:space="preserve"> and </w:t>
      </w:r>
      <w:r w:rsidR="005025C1">
        <w:t xml:space="preserve">Evaluated </w:t>
      </w:r>
      <w:r>
        <w:t>Gross Savings by Measure—HES-IE Electric</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80"/>
        <w:gridCol w:w="1883"/>
        <w:gridCol w:w="1791"/>
        <w:gridCol w:w="1343"/>
        <w:gridCol w:w="1230"/>
        <w:gridCol w:w="2149"/>
      </w:tblGrid>
      <w:tr w:rsidR="0049243C" w:rsidRPr="00C20399" w:rsidTr="000D1B93">
        <w:tc>
          <w:tcPr>
            <w:tcW w:w="620" w:type="pct"/>
            <w:shd w:val="clear" w:color="000000" w:fill="005DAA"/>
            <w:vAlign w:val="center"/>
            <w:hideMark/>
          </w:tcPr>
          <w:p w:rsidR="0049243C" w:rsidRPr="00C20399" w:rsidRDefault="0049243C" w:rsidP="0049243C">
            <w:pPr>
              <w:spacing w:after="0"/>
              <w:jc w:val="center"/>
              <w:rPr>
                <w:rFonts w:ascii="Calibri" w:eastAsia="Times New Roman" w:hAnsi="Calibri" w:cs="Times New Roman"/>
                <w:b/>
                <w:bCs/>
                <w:color w:val="FFFFFF"/>
              </w:rPr>
            </w:pPr>
            <w:r w:rsidRPr="00C20399">
              <w:rPr>
                <w:rFonts w:ascii="Calibri" w:eastAsia="Times New Roman" w:hAnsi="Calibri" w:cs="Times New Roman"/>
                <w:b/>
                <w:bCs/>
                <w:color w:val="FFFFFF"/>
              </w:rPr>
              <w:t>Category</w:t>
            </w:r>
          </w:p>
        </w:tc>
        <w:tc>
          <w:tcPr>
            <w:tcW w:w="987" w:type="pct"/>
            <w:shd w:val="clear" w:color="000000" w:fill="005DAA"/>
            <w:vAlign w:val="center"/>
            <w:hideMark/>
          </w:tcPr>
          <w:p w:rsidR="0049243C" w:rsidRPr="00C20399" w:rsidRDefault="0049243C" w:rsidP="0049243C">
            <w:pPr>
              <w:spacing w:after="0"/>
              <w:jc w:val="center"/>
              <w:rPr>
                <w:rFonts w:ascii="Calibri" w:eastAsia="Times New Roman" w:hAnsi="Calibri" w:cs="Times New Roman"/>
                <w:b/>
                <w:bCs/>
                <w:color w:val="FFFFFF"/>
              </w:rPr>
            </w:pPr>
            <w:r w:rsidRPr="00C20399">
              <w:rPr>
                <w:rFonts w:ascii="Calibri" w:eastAsia="Times New Roman" w:hAnsi="Calibri" w:cs="Times New Roman"/>
                <w:b/>
                <w:bCs/>
                <w:color w:val="FFFFFF"/>
              </w:rPr>
              <w:t>Measure</w:t>
            </w:r>
          </w:p>
        </w:tc>
        <w:tc>
          <w:tcPr>
            <w:tcW w:w="939" w:type="pct"/>
            <w:shd w:val="clear" w:color="000000" w:fill="005DAA"/>
            <w:vAlign w:val="center"/>
            <w:hideMark/>
          </w:tcPr>
          <w:p w:rsidR="0049243C" w:rsidRPr="00C20399" w:rsidRDefault="0049243C" w:rsidP="0049243C">
            <w:pPr>
              <w:spacing w:after="0"/>
              <w:jc w:val="center"/>
              <w:rPr>
                <w:rFonts w:ascii="Calibri" w:eastAsia="Times New Roman" w:hAnsi="Calibri" w:cs="Times New Roman"/>
                <w:b/>
                <w:bCs/>
                <w:color w:val="FFFFFF"/>
              </w:rPr>
            </w:pPr>
            <w:r w:rsidRPr="00C20399">
              <w:rPr>
                <w:rFonts w:ascii="Calibri" w:eastAsia="Times New Roman" w:hAnsi="Calibri" w:cs="Times New Roman"/>
                <w:b/>
                <w:bCs/>
                <w:color w:val="FFFFFF"/>
              </w:rPr>
              <w:t xml:space="preserve">Reported </w:t>
            </w:r>
            <w:r w:rsidRPr="00C20399">
              <w:rPr>
                <w:rFonts w:ascii="Calibri" w:eastAsia="Times New Roman" w:hAnsi="Calibri" w:cs="Times New Roman"/>
                <w:b/>
                <w:bCs/>
                <w:i/>
                <w:color w:val="FFFFFF"/>
              </w:rPr>
              <w:t>Ex ante</w:t>
            </w:r>
            <w:r w:rsidRPr="00C20399">
              <w:rPr>
                <w:rFonts w:ascii="Calibri" w:eastAsia="Times New Roman" w:hAnsi="Calibri" w:cs="Times New Roman"/>
                <w:b/>
                <w:bCs/>
                <w:color w:val="FFFFFF"/>
              </w:rPr>
              <w:t xml:space="preserve"> </w:t>
            </w:r>
            <w:r>
              <w:rPr>
                <w:rFonts w:ascii="Calibri" w:eastAsia="Times New Roman" w:hAnsi="Calibri" w:cs="Times New Roman"/>
                <w:b/>
                <w:bCs/>
                <w:color w:val="FFFFFF"/>
              </w:rPr>
              <w:t>Savings (kWh/ Household)</w:t>
            </w:r>
            <w:r w:rsidRPr="00C20399">
              <w:rPr>
                <w:rFonts w:ascii="Calibri" w:eastAsia="Times New Roman" w:hAnsi="Calibri" w:cs="Times New Roman"/>
                <w:b/>
                <w:bCs/>
                <w:color w:val="FFFFFF"/>
              </w:rPr>
              <w:t>*</w:t>
            </w:r>
            <w:r w:rsidRPr="00C20399">
              <w:rPr>
                <w:rFonts w:ascii="Calibri" w:eastAsia="Times New Roman" w:hAnsi="Calibri" w:cs="Times New Roman"/>
                <w:b/>
                <w:bCs/>
                <w:color w:val="FFFFFF"/>
              </w:rPr>
              <w:br/>
              <w:t>(A)</w:t>
            </w:r>
          </w:p>
        </w:tc>
        <w:tc>
          <w:tcPr>
            <w:tcW w:w="705" w:type="pct"/>
            <w:shd w:val="clear" w:color="000000" w:fill="005DAA"/>
            <w:vAlign w:val="center"/>
            <w:hideMark/>
          </w:tcPr>
          <w:p w:rsidR="0049243C" w:rsidRPr="00C20399" w:rsidRDefault="005025C1" w:rsidP="005025C1">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Gross Savings (</w:t>
            </w:r>
            <w:r w:rsidR="0049243C" w:rsidRPr="00C20399">
              <w:rPr>
                <w:rFonts w:ascii="Calibri" w:eastAsia="Times New Roman" w:hAnsi="Calibri" w:cs="Times New Roman"/>
                <w:b/>
                <w:bCs/>
                <w:color w:val="FFFFFF"/>
              </w:rPr>
              <w:t>kWh</w:t>
            </w:r>
            <w:r>
              <w:rPr>
                <w:rFonts w:ascii="Calibri" w:eastAsia="Times New Roman" w:hAnsi="Calibri" w:cs="Times New Roman"/>
                <w:b/>
                <w:bCs/>
                <w:color w:val="FFFFFF"/>
              </w:rPr>
              <w:t>/ Household)</w:t>
            </w:r>
            <w:r w:rsidR="0049243C" w:rsidRPr="00C20399">
              <w:rPr>
                <w:rFonts w:ascii="Calibri" w:eastAsia="Times New Roman" w:hAnsi="Calibri" w:cs="Times New Roman"/>
                <w:b/>
                <w:bCs/>
                <w:color w:val="FFFFFF"/>
              </w:rPr>
              <w:t xml:space="preserve"> </w:t>
            </w:r>
            <w:r w:rsidR="0049243C" w:rsidRPr="00C20399">
              <w:rPr>
                <w:rFonts w:ascii="Calibri" w:eastAsia="Times New Roman" w:hAnsi="Calibri" w:cs="Times New Roman"/>
                <w:b/>
                <w:bCs/>
                <w:color w:val="FFFFFF"/>
              </w:rPr>
              <w:br/>
              <w:t>(B)</w:t>
            </w:r>
          </w:p>
        </w:tc>
        <w:tc>
          <w:tcPr>
            <w:tcW w:w="623" w:type="pct"/>
            <w:shd w:val="clear" w:color="000000" w:fill="005DAA"/>
            <w:vAlign w:val="center"/>
            <w:hideMark/>
          </w:tcPr>
          <w:p w:rsidR="0049243C" w:rsidRPr="00C20399" w:rsidRDefault="005025C1" w:rsidP="0049243C">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Realization Rate</w:t>
            </w:r>
            <w:r w:rsidR="0049243C" w:rsidRPr="00C20399">
              <w:rPr>
                <w:rFonts w:ascii="Calibri" w:eastAsia="Times New Roman" w:hAnsi="Calibri" w:cs="Times New Roman"/>
                <w:b/>
                <w:bCs/>
                <w:color w:val="FFFFFF"/>
              </w:rPr>
              <w:t xml:space="preserve"> </w:t>
            </w:r>
            <w:r w:rsidR="0049243C" w:rsidRPr="00C20399">
              <w:rPr>
                <w:rFonts w:ascii="Calibri" w:eastAsia="Times New Roman" w:hAnsi="Calibri" w:cs="Times New Roman"/>
                <w:b/>
                <w:bCs/>
                <w:color w:val="FFFFFF"/>
              </w:rPr>
              <w:br/>
              <w:t>(B/A)</w:t>
            </w:r>
          </w:p>
        </w:tc>
        <w:tc>
          <w:tcPr>
            <w:tcW w:w="1125" w:type="pct"/>
            <w:shd w:val="clear" w:color="000000" w:fill="005DAA"/>
            <w:vAlign w:val="center"/>
            <w:hideMark/>
          </w:tcPr>
          <w:p w:rsidR="0049243C" w:rsidRPr="00C20399" w:rsidRDefault="0049243C" w:rsidP="0049243C">
            <w:pPr>
              <w:spacing w:after="0"/>
              <w:jc w:val="center"/>
              <w:rPr>
                <w:rFonts w:ascii="Calibri" w:eastAsia="Times New Roman" w:hAnsi="Calibri" w:cs="Times New Roman"/>
                <w:b/>
                <w:bCs/>
                <w:color w:val="FFFFFF"/>
              </w:rPr>
            </w:pPr>
            <w:r w:rsidRPr="00C20399">
              <w:rPr>
                <w:rFonts w:ascii="Calibri" w:eastAsia="Times New Roman" w:hAnsi="Calibri" w:cs="Times New Roman"/>
                <w:b/>
                <w:bCs/>
                <w:color w:val="FFFFFF"/>
              </w:rPr>
              <w:t>Method</w:t>
            </w:r>
          </w:p>
        </w:tc>
      </w:tr>
      <w:tr w:rsidR="0049243C" w:rsidRPr="00C20399" w:rsidTr="000D1B93">
        <w:tc>
          <w:tcPr>
            <w:tcW w:w="620"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Appliance</w:t>
            </w:r>
          </w:p>
        </w:tc>
        <w:tc>
          <w:tcPr>
            <w:tcW w:w="987"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Freezer</w:t>
            </w:r>
          </w:p>
        </w:tc>
        <w:tc>
          <w:tcPr>
            <w:tcW w:w="939" w:type="pct"/>
            <w:shd w:val="clear" w:color="auto" w:fill="auto"/>
            <w:vAlign w:val="center"/>
            <w:hideMark/>
          </w:tcPr>
          <w:p w:rsidR="0049243C" w:rsidRPr="00C20399" w:rsidRDefault="0049243C" w:rsidP="0049243C">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733</w:t>
            </w:r>
          </w:p>
        </w:tc>
        <w:tc>
          <w:tcPr>
            <w:tcW w:w="705" w:type="pct"/>
            <w:shd w:val="clear" w:color="auto" w:fill="auto"/>
            <w:vAlign w:val="center"/>
            <w:hideMark/>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728</w:t>
            </w:r>
          </w:p>
        </w:tc>
        <w:tc>
          <w:tcPr>
            <w:tcW w:w="623" w:type="pct"/>
            <w:shd w:val="clear" w:color="auto" w:fill="auto"/>
            <w:vAlign w:val="center"/>
            <w:hideMark/>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99</w:t>
            </w:r>
            <w:r w:rsidR="0049243C" w:rsidRPr="00C20399">
              <w:rPr>
                <w:rFonts w:ascii="Calibri" w:eastAsia="Times New Roman" w:hAnsi="Calibri" w:cs="Times New Roman"/>
                <w:color w:val="000000"/>
                <w:sz w:val="20"/>
                <w:szCs w:val="20"/>
              </w:rPr>
              <w:t>%</w:t>
            </w:r>
          </w:p>
        </w:tc>
        <w:tc>
          <w:tcPr>
            <w:tcW w:w="1125"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Billing Analysis (±32%)</w:t>
            </w:r>
          </w:p>
        </w:tc>
      </w:tr>
      <w:tr w:rsidR="0049243C" w:rsidRPr="00C20399" w:rsidTr="00A01111">
        <w:tc>
          <w:tcPr>
            <w:tcW w:w="620"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Appliance</w:t>
            </w:r>
          </w:p>
        </w:tc>
        <w:tc>
          <w:tcPr>
            <w:tcW w:w="987"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Refrigerator</w:t>
            </w:r>
          </w:p>
        </w:tc>
        <w:tc>
          <w:tcPr>
            <w:tcW w:w="939" w:type="pct"/>
            <w:shd w:val="clear" w:color="auto" w:fill="auto"/>
            <w:vAlign w:val="center"/>
            <w:hideMark/>
          </w:tcPr>
          <w:p w:rsidR="0049243C" w:rsidRPr="00C20399" w:rsidRDefault="0049243C" w:rsidP="0049243C">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758</w:t>
            </w:r>
          </w:p>
        </w:tc>
        <w:tc>
          <w:tcPr>
            <w:tcW w:w="705" w:type="pct"/>
            <w:shd w:val="clear" w:color="auto" w:fill="auto"/>
            <w:vAlign w:val="center"/>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318</w:t>
            </w:r>
          </w:p>
        </w:tc>
        <w:tc>
          <w:tcPr>
            <w:tcW w:w="623" w:type="pct"/>
            <w:shd w:val="clear" w:color="auto" w:fill="auto"/>
            <w:vAlign w:val="center"/>
            <w:hideMark/>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42</w:t>
            </w:r>
            <w:r w:rsidR="0049243C" w:rsidRPr="00C20399">
              <w:rPr>
                <w:rFonts w:ascii="Calibri" w:eastAsia="Times New Roman" w:hAnsi="Calibri" w:cs="Times New Roman"/>
                <w:color w:val="000000"/>
                <w:sz w:val="20"/>
                <w:szCs w:val="20"/>
              </w:rPr>
              <w:t>%</w:t>
            </w:r>
          </w:p>
        </w:tc>
        <w:tc>
          <w:tcPr>
            <w:tcW w:w="1125"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Billing Analysis (±28%)</w:t>
            </w:r>
          </w:p>
        </w:tc>
      </w:tr>
      <w:tr w:rsidR="0049243C" w:rsidRPr="00C20399" w:rsidTr="00A01111">
        <w:tc>
          <w:tcPr>
            <w:tcW w:w="620"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Appliance</w:t>
            </w:r>
          </w:p>
        </w:tc>
        <w:tc>
          <w:tcPr>
            <w:tcW w:w="987"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Appliance Other</w:t>
            </w:r>
          </w:p>
        </w:tc>
        <w:tc>
          <w:tcPr>
            <w:tcW w:w="939" w:type="pct"/>
            <w:shd w:val="clear" w:color="auto" w:fill="auto"/>
            <w:vAlign w:val="center"/>
            <w:hideMark/>
          </w:tcPr>
          <w:p w:rsidR="0049243C" w:rsidRPr="00C20399" w:rsidRDefault="0049243C" w:rsidP="0049243C">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353</w:t>
            </w:r>
          </w:p>
        </w:tc>
        <w:tc>
          <w:tcPr>
            <w:tcW w:w="705" w:type="pct"/>
            <w:shd w:val="clear" w:color="auto" w:fill="auto"/>
            <w:vAlign w:val="center"/>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498</w:t>
            </w:r>
          </w:p>
        </w:tc>
        <w:tc>
          <w:tcPr>
            <w:tcW w:w="623" w:type="pct"/>
            <w:shd w:val="clear" w:color="auto" w:fill="auto"/>
            <w:vAlign w:val="center"/>
            <w:hideMark/>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141</w:t>
            </w:r>
            <w:r w:rsidR="0049243C" w:rsidRPr="00C20399">
              <w:rPr>
                <w:rFonts w:ascii="Calibri" w:eastAsia="Times New Roman" w:hAnsi="Calibri" w:cs="Times New Roman"/>
                <w:color w:val="000000"/>
                <w:sz w:val="20"/>
                <w:szCs w:val="20"/>
              </w:rPr>
              <w:t>%</w:t>
            </w:r>
          </w:p>
        </w:tc>
        <w:tc>
          <w:tcPr>
            <w:tcW w:w="1125"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Billing Analysis (±24%)</w:t>
            </w:r>
          </w:p>
        </w:tc>
      </w:tr>
      <w:tr w:rsidR="0049243C" w:rsidRPr="00C20399" w:rsidTr="00A01111">
        <w:tc>
          <w:tcPr>
            <w:tcW w:w="620"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HVAC</w:t>
            </w:r>
          </w:p>
        </w:tc>
        <w:tc>
          <w:tcPr>
            <w:tcW w:w="987"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Central AC</w:t>
            </w:r>
          </w:p>
        </w:tc>
        <w:tc>
          <w:tcPr>
            <w:tcW w:w="939" w:type="pct"/>
            <w:shd w:val="clear" w:color="auto" w:fill="auto"/>
            <w:vAlign w:val="center"/>
            <w:hideMark/>
          </w:tcPr>
          <w:p w:rsidR="0049243C" w:rsidRPr="00C20399" w:rsidRDefault="0049243C" w:rsidP="0049243C">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98</w:t>
            </w:r>
          </w:p>
        </w:tc>
        <w:tc>
          <w:tcPr>
            <w:tcW w:w="705" w:type="pct"/>
            <w:shd w:val="clear" w:color="auto" w:fill="auto"/>
            <w:vAlign w:val="center"/>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98</w:t>
            </w:r>
          </w:p>
        </w:tc>
        <w:tc>
          <w:tcPr>
            <w:tcW w:w="623" w:type="pct"/>
            <w:shd w:val="clear" w:color="auto" w:fill="auto"/>
            <w:vAlign w:val="center"/>
            <w:hideMark/>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r w:rsidR="0049243C" w:rsidRPr="00C20399">
              <w:rPr>
                <w:rFonts w:ascii="Calibri" w:eastAsia="Times New Roman" w:hAnsi="Calibri" w:cs="Times New Roman"/>
                <w:color w:val="000000"/>
                <w:sz w:val="20"/>
                <w:szCs w:val="20"/>
              </w:rPr>
              <w:t>%</w:t>
            </w:r>
          </w:p>
        </w:tc>
        <w:tc>
          <w:tcPr>
            <w:tcW w:w="1125"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Engineering Algorithm</w:t>
            </w:r>
          </w:p>
        </w:tc>
      </w:tr>
      <w:tr w:rsidR="0049243C" w:rsidRPr="00C20399" w:rsidTr="00A01111">
        <w:tc>
          <w:tcPr>
            <w:tcW w:w="620"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HVAC</w:t>
            </w:r>
          </w:p>
        </w:tc>
        <w:tc>
          <w:tcPr>
            <w:tcW w:w="987"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Duct Sealing</w:t>
            </w:r>
          </w:p>
        </w:tc>
        <w:tc>
          <w:tcPr>
            <w:tcW w:w="939" w:type="pct"/>
            <w:shd w:val="clear" w:color="auto" w:fill="auto"/>
            <w:vAlign w:val="center"/>
            <w:hideMark/>
          </w:tcPr>
          <w:p w:rsidR="0049243C" w:rsidRPr="00C20399" w:rsidRDefault="0049243C" w:rsidP="0049243C">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262</w:t>
            </w:r>
          </w:p>
        </w:tc>
        <w:tc>
          <w:tcPr>
            <w:tcW w:w="705" w:type="pct"/>
            <w:shd w:val="clear" w:color="auto" w:fill="auto"/>
            <w:vAlign w:val="center"/>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81</w:t>
            </w:r>
          </w:p>
        </w:tc>
        <w:tc>
          <w:tcPr>
            <w:tcW w:w="623" w:type="pct"/>
            <w:shd w:val="clear" w:color="auto" w:fill="auto"/>
            <w:vAlign w:val="center"/>
            <w:hideMark/>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31</w:t>
            </w:r>
            <w:r w:rsidR="0049243C" w:rsidRPr="00C20399">
              <w:rPr>
                <w:rFonts w:ascii="Calibri" w:eastAsia="Times New Roman" w:hAnsi="Calibri" w:cs="Times New Roman"/>
                <w:color w:val="000000"/>
                <w:sz w:val="20"/>
                <w:szCs w:val="20"/>
              </w:rPr>
              <w:t>%</w:t>
            </w:r>
          </w:p>
        </w:tc>
        <w:tc>
          <w:tcPr>
            <w:tcW w:w="1125"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Simulation Modeling</w:t>
            </w:r>
          </w:p>
        </w:tc>
      </w:tr>
      <w:tr w:rsidR="0049243C" w:rsidRPr="00C20399" w:rsidTr="00A01111">
        <w:tc>
          <w:tcPr>
            <w:tcW w:w="620"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HVAC</w:t>
            </w:r>
          </w:p>
        </w:tc>
        <w:tc>
          <w:tcPr>
            <w:tcW w:w="987"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Ductless Heat Pump</w:t>
            </w:r>
          </w:p>
        </w:tc>
        <w:tc>
          <w:tcPr>
            <w:tcW w:w="939" w:type="pct"/>
            <w:shd w:val="clear" w:color="auto" w:fill="auto"/>
            <w:vAlign w:val="center"/>
            <w:hideMark/>
          </w:tcPr>
          <w:p w:rsidR="0049243C" w:rsidRPr="00C20399" w:rsidRDefault="0049243C" w:rsidP="0049243C">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1,</w:t>
            </w:r>
            <w:r>
              <w:rPr>
                <w:rFonts w:ascii="Calibri" w:eastAsia="Times New Roman" w:hAnsi="Calibri" w:cs="Times New Roman"/>
                <w:color w:val="000000"/>
                <w:sz w:val="20"/>
                <w:szCs w:val="20"/>
              </w:rPr>
              <w:t>731</w:t>
            </w:r>
          </w:p>
        </w:tc>
        <w:tc>
          <w:tcPr>
            <w:tcW w:w="705" w:type="pct"/>
            <w:shd w:val="clear" w:color="auto" w:fill="auto"/>
            <w:vAlign w:val="center"/>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803</w:t>
            </w:r>
          </w:p>
        </w:tc>
        <w:tc>
          <w:tcPr>
            <w:tcW w:w="623" w:type="pct"/>
            <w:shd w:val="clear" w:color="auto" w:fill="auto"/>
            <w:vAlign w:val="center"/>
            <w:hideMark/>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46</w:t>
            </w:r>
            <w:r w:rsidR="0049243C" w:rsidRPr="00C20399">
              <w:rPr>
                <w:rFonts w:ascii="Calibri" w:eastAsia="Times New Roman" w:hAnsi="Calibri" w:cs="Times New Roman"/>
                <w:color w:val="000000"/>
                <w:sz w:val="20"/>
                <w:szCs w:val="20"/>
              </w:rPr>
              <w:t>%</w:t>
            </w:r>
          </w:p>
        </w:tc>
        <w:tc>
          <w:tcPr>
            <w:tcW w:w="1125"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Billing Analysis (±32%)</w:t>
            </w:r>
          </w:p>
        </w:tc>
      </w:tr>
      <w:tr w:rsidR="0049243C" w:rsidRPr="00C20399" w:rsidTr="00A01111">
        <w:tc>
          <w:tcPr>
            <w:tcW w:w="620"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HVAC</w:t>
            </w:r>
          </w:p>
        </w:tc>
        <w:tc>
          <w:tcPr>
            <w:tcW w:w="987"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Window AC</w:t>
            </w:r>
          </w:p>
        </w:tc>
        <w:tc>
          <w:tcPr>
            <w:tcW w:w="939" w:type="pct"/>
            <w:shd w:val="clear" w:color="auto" w:fill="auto"/>
            <w:vAlign w:val="center"/>
            <w:hideMark/>
          </w:tcPr>
          <w:p w:rsidR="0049243C" w:rsidRPr="00C20399" w:rsidRDefault="0049243C" w:rsidP="0049243C">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94</w:t>
            </w:r>
          </w:p>
        </w:tc>
        <w:tc>
          <w:tcPr>
            <w:tcW w:w="705" w:type="pct"/>
            <w:shd w:val="clear" w:color="auto" w:fill="auto"/>
            <w:vAlign w:val="center"/>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46</w:t>
            </w:r>
          </w:p>
        </w:tc>
        <w:tc>
          <w:tcPr>
            <w:tcW w:w="623" w:type="pct"/>
            <w:shd w:val="clear" w:color="auto" w:fill="auto"/>
            <w:vAlign w:val="center"/>
            <w:hideMark/>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49</w:t>
            </w:r>
            <w:r w:rsidR="0049243C" w:rsidRPr="00C20399">
              <w:rPr>
                <w:rFonts w:ascii="Calibri" w:eastAsia="Times New Roman" w:hAnsi="Calibri" w:cs="Times New Roman"/>
                <w:color w:val="000000"/>
                <w:sz w:val="20"/>
                <w:szCs w:val="20"/>
              </w:rPr>
              <w:t>%</w:t>
            </w:r>
          </w:p>
        </w:tc>
        <w:tc>
          <w:tcPr>
            <w:tcW w:w="1125"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Engineering Algorithm</w:t>
            </w:r>
          </w:p>
        </w:tc>
      </w:tr>
      <w:tr w:rsidR="0049243C" w:rsidRPr="00C20399" w:rsidTr="00A01111">
        <w:tc>
          <w:tcPr>
            <w:tcW w:w="620"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Lighting</w:t>
            </w:r>
          </w:p>
        </w:tc>
        <w:tc>
          <w:tcPr>
            <w:tcW w:w="987"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Lighting</w:t>
            </w:r>
          </w:p>
        </w:tc>
        <w:tc>
          <w:tcPr>
            <w:tcW w:w="939" w:type="pct"/>
            <w:shd w:val="clear" w:color="auto" w:fill="auto"/>
            <w:vAlign w:val="center"/>
            <w:hideMark/>
          </w:tcPr>
          <w:p w:rsidR="0049243C" w:rsidRPr="00C20399" w:rsidRDefault="0049243C" w:rsidP="0049243C">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467</w:t>
            </w:r>
          </w:p>
        </w:tc>
        <w:tc>
          <w:tcPr>
            <w:tcW w:w="705" w:type="pct"/>
            <w:shd w:val="clear" w:color="auto" w:fill="auto"/>
            <w:vAlign w:val="center"/>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647</w:t>
            </w:r>
          </w:p>
        </w:tc>
        <w:tc>
          <w:tcPr>
            <w:tcW w:w="623" w:type="pct"/>
            <w:shd w:val="clear" w:color="auto" w:fill="auto"/>
            <w:vAlign w:val="center"/>
            <w:hideMark/>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138</w:t>
            </w:r>
            <w:r w:rsidR="0049243C" w:rsidRPr="00C20399">
              <w:rPr>
                <w:rFonts w:ascii="Calibri" w:eastAsia="Times New Roman" w:hAnsi="Calibri" w:cs="Times New Roman"/>
                <w:color w:val="000000"/>
                <w:sz w:val="20"/>
                <w:szCs w:val="20"/>
              </w:rPr>
              <w:t>%</w:t>
            </w:r>
          </w:p>
        </w:tc>
        <w:tc>
          <w:tcPr>
            <w:tcW w:w="1125"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Billing Analysis (±6%)</w:t>
            </w:r>
          </w:p>
        </w:tc>
      </w:tr>
      <w:tr w:rsidR="0049243C" w:rsidRPr="00C20399" w:rsidTr="00A01111">
        <w:tc>
          <w:tcPr>
            <w:tcW w:w="620"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Other</w:t>
            </w:r>
          </w:p>
        </w:tc>
        <w:tc>
          <w:tcPr>
            <w:tcW w:w="987"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Other</w:t>
            </w:r>
          </w:p>
        </w:tc>
        <w:tc>
          <w:tcPr>
            <w:tcW w:w="939" w:type="pct"/>
            <w:shd w:val="clear" w:color="auto" w:fill="auto"/>
            <w:vAlign w:val="center"/>
            <w:hideMark/>
          </w:tcPr>
          <w:p w:rsidR="0049243C" w:rsidRPr="00C20399" w:rsidRDefault="0049243C" w:rsidP="0049243C">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637</w:t>
            </w:r>
          </w:p>
        </w:tc>
        <w:tc>
          <w:tcPr>
            <w:tcW w:w="705" w:type="pct"/>
            <w:shd w:val="clear" w:color="auto" w:fill="auto"/>
            <w:vAlign w:val="center"/>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637</w:t>
            </w:r>
          </w:p>
        </w:tc>
        <w:tc>
          <w:tcPr>
            <w:tcW w:w="623" w:type="pct"/>
            <w:shd w:val="clear" w:color="auto" w:fill="auto"/>
            <w:vAlign w:val="center"/>
            <w:hideMark/>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r w:rsidR="0049243C" w:rsidRPr="00C20399">
              <w:rPr>
                <w:rFonts w:ascii="Calibri" w:eastAsia="Times New Roman" w:hAnsi="Calibri" w:cs="Times New Roman"/>
                <w:color w:val="000000"/>
                <w:sz w:val="20"/>
                <w:szCs w:val="20"/>
              </w:rPr>
              <w:t>%</w:t>
            </w:r>
          </w:p>
        </w:tc>
        <w:tc>
          <w:tcPr>
            <w:tcW w:w="1125"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 xml:space="preserve">Reported </w:t>
            </w:r>
            <w:r w:rsidRPr="00C20399">
              <w:rPr>
                <w:rFonts w:ascii="Calibri" w:eastAsia="Times New Roman" w:hAnsi="Calibri" w:cs="Times New Roman"/>
                <w:i/>
                <w:color w:val="000000"/>
                <w:sz w:val="20"/>
                <w:szCs w:val="20"/>
              </w:rPr>
              <w:t>Ex Ante</w:t>
            </w:r>
          </w:p>
        </w:tc>
      </w:tr>
      <w:tr w:rsidR="0049243C" w:rsidRPr="00C20399" w:rsidTr="00A01111">
        <w:tc>
          <w:tcPr>
            <w:tcW w:w="620"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Shell</w:t>
            </w:r>
          </w:p>
        </w:tc>
        <w:tc>
          <w:tcPr>
            <w:tcW w:w="987"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Air Sealing</w:t>
            </w:r>
          </w:p>
        </w:tc>
        <w:tc>
          <w:tcPr>
            <w:tcW w:w="939" w:type="pct"/>
            <w:shd w:val="clear" w:color="auto" w:fill="auto"/>
            <w:vAlign w:val="center"/>
            <w:hideMark/>
          </w:tcPr>
          <w:p w:rsidR="0049243C" w:rsidRPr="00C20399" w:rsidRDefault="0049243C" w:rsidP="0049243C">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342</w:t>
            </w:r>
          </w:p>
        </w:tc>
        <w:tc>
          <w:tcPr>
            <w:tcW w:w="705" w:type="pct"/>
            <w:shd w:val="clear" w:color="auto" w:fill="auto"/>
            <w:vAlign w:val="center"/>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208</w:t>
            </w:r>
          </w:p>
        </w:tc>
        <w:tc>
          <w:tcPr>
            <w:tcW w:w="623" w:type="pct"/>
            <w:shd w:val="clear" w:color="auto" w:fill="auto"/>
            <w:vAlign w:val="center"/>
            <w:hideMark/>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61</w:t>
            </w:r>
            <w:r w:rsidR="0049243C" w:rsidRPr="00C20399">
              <w:rPr>
                <w:rFonts w:ascii="Calibri" w:eastAsia="Times New Roman" w:hAnsi="Calibri" w:cs="Times New Roman"/>
                <w:color w:val="000000"/>
                <w:sz w:val="20"/>
                <w:szCs w:val="20"/>
              </w:rPr>
              <w:t>%</w:t>
            </w:r>
          </w:p>
        </w:tc>
        <w:tc>
          <w:tcPr>
            <w:tcW w:w="1125"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Simulation Modeling</w:t>
            </w:r>
          </w:p>
        </w:tc>
      </w:tr>
      <w:tr w:rsidR="0049243C" w:rsidRPr="00C20399" w:rsidTr="00A01111">
        <w:tc>
          <w:tcPr>
            <w:tcW w:w="620"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Shell</w:t>
            </w:r>
          </w:p>
        </w:tc>
        <w:tc>
          <w:tcPr>
            <w:tcW w:w="987"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Insulation Other</w:t>
            </w:r>
          </w:p>
        </w:tc>
        <w:tc>
          <w:tcPr>
            <w:tcW w:w="939" w:type="pct"/>
            <w:shd w:val="clear" w:color="auto" w:fill="auto"/>
            <w:vAlign w:val="center"/>
            <w:hideMark/>
          </w:tcPr>
          <w:p w:rsidR="0049243C" w:rsidRPr="00C20399" w:rsidRDefault="0049243C" w:rsidP="0049243C">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153</w:t>
            </w:r>
          </w:p>
        </w:tc>
        <w:tc>
          <w:tcPr>
            <w:tcW w:w="705" w:type="pct"/>
            <w:shd w:val="clear" w:color="auto" w:fill="auto"/>
            <w:vAlign w:val="center"/>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153</w:t>
            </w:r>
          </w:p>
        </w:tc>
        <w:tc>
          <w:tcPr>
            <w:tcW w:w="623" w:type="pct"/>
            <w:shd w:val="clear" w:color="auto" w:fill="auto"/>
            <w:vAlign w:val="center"/>
            <w:hideMark/>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r w:rsidR="0049243C" w:rsidRPr="00C20399">
              <w:rPr>
                <w:rFonts w:ascii="Calibri" w:eastAsia="Times New Roman" w:hAnsi="Calibri" w:cs="Times New Roman"/>
                <w:color w:val="000000"/>
                <w:sz w:val="20"/>
                <w:szCs w:val="20"/>
              </w:rPr>
              <w:t>%</w:t>
            </w:r>
          </w:p>
        </w:tc>
        <w:tc>
          <w:tcPr>
            <w:tcW w:w="1125"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 xml:space="preserve">Reported </w:t>
            </w:r>
            <w:r w:rsidRPr="00C20399">
              <w:rPr>
                <w:rFonts w:ascii="Calibri" w:eastAsia="Times New Roman" w:hAnsi="Calibri" w:cs="Times New Roman"/>
                <w:i/>
                <w:color w:val="000000"/>
                <w:sz w:val="20"/>
                <w:szCs w:val="20"/>
              </w:rPr>
              <w:t>Ex Ante</w:t>
            </w:r>
          </w:p>
        </w:tc>
      </w:tr>
      <w:tr w:rsidR="0049243C" w:rsidRPr="00C20399" w:rsidTr="00A01111">
        <w:tc>
          <w:tcPr>
            <w:tcW w:w="620"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Shell</w:t>
            </w:r>
          </w:p>
        </w:tc>
        <w:tc>
          <w:tcPr>
            <w:tcW w:w="987"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Windows</w:t>
            </w:r>
          </w:p>
        </w:tc>
        <w:tc>
          <w:tcPr>
            <w:tcW w:w="939" w:type="pct"/>
            <w:shd w:val="clear" w:color="auto" w:fill="auto"/>
            <w:vAlign w:val="center"/>
            <w:hideMark/>
          </w:tcPr>
          <w:p w:rsidR="0049243C" w:rsidRPr="00C20399" w:rsidRDefault="0049243C" w:rsidP="0049243C">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1,295</w:t>
            </w:r>
          </w:p>
        </w:tc>
        <w:tc>
          <w:tcPr>
            <w:tcW w:w="705" w:type="pct"/>
            <w:shd w:val="clear" w:color="auto" w:fill="auto"/>
            <w:vAlign w:val="center"/>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2,253</w:t>
            </w:r>
          </w:p>
        </w:tc>
        <w:tc>
          <w:tcPr>
            <w:tcW w:w="623" w:type="pct"/>
            <w:shd w:val="clear" w:color="auto" w:fill="auto"/>
            <w:vAlign w:val="center"/>
            <w:hideMark/>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174</w:t>
            </w:r>
            <w:r w:rsidR="0049243C" w:rsidRPr="00C20399">
              <w:rPr>
                <w:rFonts w:ascii="Calibri" w:eastAsia="Times New Roman" w:hAnsi="Calibri" w:cs="Times New Roman"/>
                <w:color w:val="000000"/>
                <w:sz w:val="20"/>
                <w:szCs w:val="20"/>
              </w:rPr>
              <w:t>%</w:t>
            </w:r>
          </w:p>
        </w:tc>
        <w:tc>
          <w:tcPr>
            <w:tcW w:w="1125"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Engineering Algorithm</w:t>
            </w:r>
          </w:p>
        </w:tc>
      </w:tr>
      <w:tr w:rsidR="0049243C" w:rsidRPr="00C20399" w:rsidTr="00A01111">
        <w:tc>
          <w:tcPr>
            <w:tcW w:w="620"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Shell</w:t>
            </w:r>
          </w:p>
        </w:tc>
        <w:tc>
          <w:tcPr>
            <w:tcW w:w="987"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Attic Insulation</w:t>
            </w:r>
          </w:p>
        </w:tc>
        <w:tc>
          <w:tcPr>
            <w:tcW w:w="939" w:type="pct"/>
            <w:shd w:val="clear" w:color="auto" w:fill="auto"/>
            <w:vAlign w:val="center"/>
            <w:hideMark/>
          </w:tcPr>
          <w:p w:rsidR="0049243C" w:rsidRPr="00C20399" w:rsidRDefault="0049243C" w:rsidP="0049243C">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2,306</w:t>
            </w:r>
          </w:p>
        </w:tc>
        <w:tc>
          <w:tcPr>
            <w:tcW w:w="705" w:type="pct"/>
            <w:shd w:val="clear" w:color="auto" w:fill="auto"/>
            <w:vAlign w:val="center"/>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1,429</w:t>
            </w:r>
          </w:p>
        </w:tc>
        <w:tc>
          <w:tcPr>
            <w:tcW w:w="623" w:type="pct"/>
            <w:shd w:val="clear" w:color="auto" w:fill="auto"/>
            <w:vAlign w:val="center"/>
            <w:hideMark/>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62</w:t>
            </w:r>
            <w:r w:rsidR="0049243C" w:rsidRPr="00C20399">
              <w:rPr>
                <w:rFonts w:ascii="Calibri" w:eastAsia="Times New Roman" w:hAnsi="Calibri" w:cs="Times New Roman"/>
                <w:color w:val="000000"/>
                <w:sz w:val="20"/>
                <w:szCs w:val="20"/>
              </w:rPr>
              <w:t>%</w:t>
            </w:r>
          </w:p>
        </w:tc>
        <w:tc>
          <w:tcPr>
            <w:tcW w:w="1125"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Simulation Modeling</w:t>
            </w:r>
          </w:p>
        </w:tc>
      </w:tr>
      <w:tr w:rsidR="0049243C" w:rsidRPr="00C20399" w:rsidTr="00A01111">
        <w:tc>
          <w:tcPr>
            <w:tcW w:w="620"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Shell</w:t>
            </w:r>
          </w:p>
        </w:tc>
        <w:tc>
          <w:tcPr>
            <w:tcW w:w="987"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Wall Insulation</w:t>
            </w:r>
          </w:p>
        </w:tc>
        <w:tc>
          <w:tcPr>
            <w:tcW w:w="939" w:type="pct"/>
            <w:shd w:val="clear" w:color="auto" w:fill="auto"/>
            <w:vAlign w:val="center"/>
            <w:hideMark/>
          </w:tcPr>
          <w:p w:rsidR="0049243C" w:rsidRPr="00C20399" w:rsidRDefault="0049243C" w:rsidP="0049243C">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2,326</w:t>
            </w:r>
          </w:p>
        </w:tc>
        <w:tc>
          <w:tcPr>
            <w:tcW w:w="705" w:type="pct"/>
            <w:shd w:val="clear" w:color="auto" w:fill="auto"/>
            <w:vAlign w:val="center"/>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716</w:t>
            </w:r>
          </w:p>
        </w:tc>
        <w:tc>
          <w:tcPr>
            <w:tcW w:w="623" w:type="pct"/>
            <w:shd w:val="clear" w:color="auto" w:fill="auto"/>
            <w:vAlign w:val="center"/>
            <w:hideMark/>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31</w:t>
            </w:r>
            <w:r w:rsidR="0049243C" w:rsidRPr="00C20399">
              <w:rPr>
                <w:rFonts w:ascii="Calibri" w:eastAsia="Times New Roman" w:hAnsi="Calibri" w:cs="Times New Roman"/>
                <w:color w:val="000000"/>
                <w:sz w:val="20"/>
                <w:szCs w:val="20"/>
              </w:rPr>
              <w:t>%</w:t>
            </w:r>
          </w:p>
        </w:tc>
        <w:tc>
          <w:tcPr>
            <w:tcW w:w="1125"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Simulation Modeling</w:t>
            </w:r>
          </w:p>
        </w:tc>
      </w:tr>
      <w:tr w:rsidR="0049243C" w:rsidRPr="00C20399" w:rsidTr="00A01111">
        <w:tc>
          <w:tcPr>
            <w:tcW w:w="620"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Water Heat</w:t>
            </w:r>
          </w:p>
        </w:tc>
        <w:tc>
          <w:tcPr>
            <w:tcW w:w="987"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DWH Bundle</w:t>
            </w:r>
          </w:p>
        </w:tc>
        <w:tc>
          <w:tcPr>
            <w:tcW w:w="939" w:type="pct"/>
            <w:shd w:val="clear" w:color="auto" w:fill="auto"/>
            <w:vAlign w:val="center"/>
            <w:hideMark/>
          </w:tcPr>
          <w:p w:rsidR="0049243C" w:rsidRPr="00C20399" w:rsidRDefault="0049243C" w:rsidP="0049243C">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1,372</w:t>
            </w:r>
          </w:p>
        </w:tc>
        <w:tc>
          <w:tcPr>
            <w:tcW w:w="705" w:type="pct"/>
            <w:shd w:val="clear" w:color="auto" w:fill="auto"/>
            <w:vAlign w:val="center"/>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390</w:t>
            </w:r>
          </w:p>
        </w:tc>
        <w:tc>
          <w:tcPr>
            <w:tcW w:w="623" w:type="pct"/>
            <w:shd w:val="clear" w:color="auto" w:fill="auto"/>
            <w:vAlign w:val="center"/>
            <w:hideMark/>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28</w:t>
            </w:r>
            <w:r w:rsidR="0049243C" w:rsidRPr="00C20399">
              <w:rPr>
                <w:rFonts w:ascii="Calibri" w:eastAsia="Times New Roman" w:hAnsi="Calibri" w:cs="Times New Roman"/>
                <w:color w:val="000000"/>
                <w:sz w:val="20"/>
                <w:szCs w:val="20"/>
              </w:rPr>
              <w:t>%</w:t>
            </w:r>
          </w:p>
        </w:tc>
        <w:tc>
          <w:tcPr>
            <w:tcW w:w="1125"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Engineering Algorithm</w:t>
            </w:r>
          </w:p>
        </w:tc>
      </w:tr>
      <w:tr w:rsidR="0049243C" w:rsidRPr="00C20399" w:rsidTr="00A01111">
        <w:tc>
          <w:tcPr>
            <w:tcW w:w="620"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Water Heat</w:t>
            </w:r>
          </w:p>
        </w:tc>
        <w:tc>
          <w:tcPr>
            <w:tcW w:w="987"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Temp Setback</w:t>
            </w:r>
          </w:p>
        </w:tc>
        <w:tc>
          <w:tcPr>
            <w:tcW w:w="939" w:type="pct"/>
            <w:shd w:val="clear" w:color="auto" w:fill="auto"/>
            <w:vAlign w:val="center"/>
            <w:hideMark/>
          </w:tcPr>
          <w:p w:rsidR="0049243C" w:rsidRPr="00C20399" w:rsidRDefault="0049243C" w:rsidP="0049243C">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87</w:t>
            </w:r>
          </w:p>
        </w:tc>
        <w:tc>
          <w:tcPr>
            <w:tcW w:w="705" w:type="pct"/>
            <w:tcBorders>
              <w:bottom w:val="single" w:sz="4" w:space="0" w:color="BFBFBF"/>
            </w:tcBorders>
            <w:shd w:val="clear" w:color="auto" w:fill="auto"/>
            <w:vAlign w:val="center"/>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78</w:t>
            </w:r>
          </w:p>
        </w:tc>
        <w:tc>
          <w:tcPr>
            <w:tcW w:w="623" w:type="pct"/>
            <w:tcBorders>
              <w:bottom w:val="single" w:sz="4" w:space="0" w:color="BFBFBF"/>
            </w:tcBorders>
            <w:shd w:val="clear" w:color="auto" w:fill="auto"/>
            <w:vAlign w:val="center"/>
            <w:hideMark/>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90</w:t>
            </w:r>
            <w:r w:rsidR="0049243C" w:rsidRPr="00C20399">
              <w:rPr>
                <w:rFonts w:ascii="Calibri" w:eastAsia="Times New Roman" w:hAnsi="Calibri" w:cs="Times New Roman"/>
                <w:color w:val="000000"/>
                <w:sz w:val="20"/>
                <w:szCs w:val="20"/>
              </w:rPr>
              <w:t>%</w:t>
            </w:r>
          </w:p>
        </w:tc>
        <w:tc>
          <w:tcPr>
            <w:tcW w:w="1125" w:type="pct"/>
            <w:tcBorders>
              <w:bottom w:val="single" w:sz="4" w:space="0" w:color="BFBFBF"/>
            </w:tcBorders>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Engineering Algorithm</w:t>
            </w:r>
          </w:p>
        </w:tc>
      </w:tr>
    </w:tbl>
    <w:p w:rsidR="0049243C" w:rsidRPr="004863EE" w:rsidRDefault="0049243C" w:rsidP="0049243C">
      <w:pPr>
        <w:spacing w:after="0" w:line="240" w:lineRule="auto"/>
        <w:ind w:left="90" w:hanging="90"/>
        <w:rPr>
          <w:rFonts w:ascii="Calibri" w:eastAsia="Times New Roman" w:hAnsi="Calibri" w:cs="Times New Roman"/>
          <w:bCs/>
          <w:sz w:val="20"/>
          <w:szCs w:val="20"/>
        </w:rPr>
      </w:pPr>
      <w:r w:rsidRPr="004863EE">
        <w:rPr>
          <w:rFonts w:ascii="Calibri" w:eastAsia="Times New Roman" w:hAnsi="Calibri" w:cs="Times New Roman"/>
          <w:bCs/>
          <w:sz w:val="20"/>
          <w:szCs w:val="20"/>
        </w:rPr>
        <w:t xml:space="preserve">*Average </w:t>
      </w:r>
      <w:r w:rsidRPr="00296386">
        <w:rPr>
          <w:rFonts w:ascii="Calibri" w:eastAsia="Times New Roman" w:hAnsi="Calibri" w:cs="Times New Roman"/>
          <w:bCs/>
          <w:i/>
          <w:sz w:val="20"/>
          <w:szCs w:val="20"/>
        </w:rPr>
        <w:t>ex ante</w:t>
      </w:r>
      <w:r w:rsidRPr="004863EE">
        <w:rPr>
          <w:rFonts w:ascii="Calibri" w:eastAsia="Times New Roman" w:hAnsi="Calibri" w:cs="Times New Roman"/>
          <w:bCs/>
          <w:sz w:val="20"/>
          <w:szCs w:val="20"/>
        </w:rPr>
        <w:t xml:space="preserve"> savings per household </w:t>
      </w:r>
      <w:r>
        <w:rPr>
          <w:rFonts w:ascii="Calibri" w:eastAsia="Times New Roman" w:hAnsi="Calibri" w:cs="Times New Roman"/>
          <w:bCs/>
          <w:sz w:val="20"/>
          <w:szCs w:val="20"/>
        </w:rPr>
        <w:t>are</w:t>
      </w:r>
      <w:r w:rsidRPr="004863EE">
        <w:rPr>
          <w:rFonts w:ascii="Calibri" w:eastAsia="Times New Roman" w:hAnsi="Calibri" w:cs="Times New Roman"/>
          <w:bCs/>
          <w:sz w:val="20"/>
          <w:szCs w:val="20"/>
        </w:rPr>
        <w:t xml:space="preserve"> </w:t>
      </w:r>
      <w:r>
        <w:rPr>
          <w:rFonts w:ascii="Calibri" w:eastAsia="Times New Roman" w:hAnsi="Calibri" w:cs="Times New Roman"/>
          <w:bCs/>
          <w:sz w:val="20"/>
          <w:szCs w:val="20"/>
        </w:rPr>
        <w:t>the program population, except for measures estimated through billing analysis, which are based on the billing analysis participant sample</w:t>
      </w:r>
      <w:r w:rsidRPr="004863EE">
        <w:rPr>
          <w:rFonts w:ascii="Calibri" w:eastAsia="Times New Roman" w:hAnsi="Calibri" w:cs="Times New Roman"/>
          <w:bCs/>
          <w:sz w:val="20"/>
          <w:szCs w:val="20"/>
        </w:rPr>
        <w:t>.</w:t>
      </w:r>
    </w:p>
    <w:p w:rsidR="0049243C" w:rsidRPr="004863EE" w:rsidRDefault="0049243C" w:rsidP="0049243C">
      <w:pPr>
        <w:pStyle w:val="NormalAfterTablesandFigures"/>
      </w:pPr>
    </w:p>
    <w:p w:rsidR="0049243C" w:rsidRDefault="0049243C" w:rsidP="0049243C">
      <w:pPr>
        <w:pStyle w:val="Caption"/>
      </w:pPr>
      <w:bookmarkStart w:id="15" w:name="_Ref389466133"/>
      <w:r>
        <w:t xml:space="preserve">Table </w:t>
      </w:r>
      <w:r w:rsidR="002506E1">
        <w:fldChar w:fldCharType="begin"/>
      </w:r>
      <w:r w:rsidR="002506E1">
        <w:instrText xml:space="preserve"> SEQ Table \* ARABIC </w:instrText>
      </w:r>
      <w:r w:rsidR="002506E1">
        <w:fldChar w:fldCharType="separate"/>
      </w:r>
      <w:r w:rsidR="00CD20CF">
        <w:rPr>
          <w:noProof/>
        </w:rPr>
        <w:t>9</w:t>
      </w:r>
      <w:r w:rsidR="002506E1">
        <w:rPr>
          <w:noProof/>
        </w:rPr>
        <w:fldChar w:fldCharType="end"/>
      </w:r>
      <w:bookmarkEnd w:id="15"/>
      <w:r>
        <w:t xml:space="preserve">. Comparison of </w:t>
      </w:r>
      <w:r w:rsidRPr="001567EE">
        <w:rPr>
          <w:i/>
        </w:rPr>
        <w:t xml:space="preserve">Ex Ante </w:t>
      </w:r>
      <w:r>
        <w:t xml:space="preserve">and </w:t>
      </w:r>
      <w:r w:rsidR="005025C1">
        <w:t xml:space="preserve">Evaluated </w:t>
      </w:r>
      <w:r>
        <w:t>Gross Savings by Measure—HES-IE Gas</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87"/>
        <w:gridCol w:w="1793"/>
        <w:gridCol w:w="1808"/>
        <w:gridCol w:w="1350"/>
        <w:gridCol w:w="1283"/>
        <w:gridCol w:w="2155"/>
      </w:tblGrid>
      <w:tr w:rsidR="005025C1" w:rsidRPr="00C20399" w:rsidTr="00662AC0">
        <w:trPr>
          <w:tblHeader/>
        </w:trPr>
        <w:tc>
          <w:tcPr>
            <w:tcW w:w="620" w:type="pct"/>
            <w:shd w:val="clear" w:color="000000" w:fill="005DAA"/>
            <w:vAlign w:val="center"/>
            <w:hideMark/>
          </w:tcPr>
          <w:p w:rsidR="0049243C" w:rsidRPr="00C20399" w:rsidRDefault="0049243C" w:rsidP="0049243C">
            <w:pPr>
              <w:spacing w:after="0"/>
              <w:jc w:val="center"/>
              <w:rPr>
                <w:rFonts w:ascii="Calibri" w:eastAsia="Times New Roman" w:hAnsi="Calibri" w:cs="Times New Roman"/>
                <w:b/>
                <w:bCs/>
                <w:color w:val="FFFFFF"/>
              </w:rPr>
            </w:pPr>
            <w:r w:rsidRPr="00C20399">
              <w:rPr>
                <w:rFonts w:ascii="Calibri" w:eastAsia="Times New Roman" w:hAnsi="Calibri" w:cs="Times New Roman"/>
                <w:b/>
                <w:bCs/>
                <w:color w:val="FFFFFF"/>
              </w:rPr>
              <w:t>Category</w:t>
            </w:r>
          </w:p>
        </w:tc>
        <w:tc>
          <w:tcPr>
            <w:tcW w:w="936" w:type="pct"/>
            <w:shd w:val="clear" w:color="000000" w:fill="005DAA"/>
            <w:vAlign w:val="center"/>
            <w:hideMark/>
          </w:tcPr>
          <w:p w:rsidR="0049243C" w:rsidRPr="00C20399" w:rsidRDefault="0049243C" w:rsidP="0049243C">
            <w:pPr>
              <w:spacing w:after="0"/>
              <w:jc w:val="center"/>
              <w:rPr>
                <w:rFonts w:ascii="Calibri" w:eastAsia="Times New Roman" w:hAnsi="Calibri" w:cs="Times New Roman"/>
                <w:b/>
                <w:bCs/>
                <w:color w:val="FFFFFF"/>
              </w:rPr>
            </w:pPr>
            <w:r w:rsidRPr="00C20399">
              <w:rPr>
                <w:rFonts w:ascii="Calibri" w:eastAsia="Times New Roman" w:hAnsi="Calibri" w:cs="Times New Roman"/>
                <w:b/>
                <w:bCs/>
                <w:color w:val="FFFFFF"/>
              </w:rPr>
              <w:t>Measure</w:t>
            </w:r>
          </w:p>
        </w:tc>
        <w:tc>
          <w:tcPr>
            <w:tcW w:w="944" w:type="pct"/>
            <w:shd w:val="clear" w:color="000000" w:fill="005DAA"/>
            <w:vAlign w:val="center"/>
            <w:hideMark/>
          </w:tcPr>
          <w:p w:rsidR="0049243C" w:rsidRPr="00C20399" w:rsidRDefault="0049243C" w:rsidP="0049243C">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Reported Ex ante Savings (CCF/ Household)</w:t>
            </w:r>
            <w:r w:rsidRPr="00C20399">
              <w:rPr>
                <w:rFonts w:ascii="Calibri" w:eastAsia="Times New Roman" w:hAnsi="Calibri" w:cs="Times New Roman"/>
                <w:b/>
                <w:bCs/>
                <w:color w:val="FFFFFF"/>
              </w:rPr>
              <w:t>*</w:t>
            </w:r>
            <w:r w:rsidRPr="00C20399">
              <w:rPr>
                <w:rFonts w:ascii="Calibri" w:eastAsia="Times New Roman" w:hAnsi="Calibri" w:cs="Times New Roman"/>
                <w:b/>
                <w:bCs/>
                <w:color w:val="FFFFFF"/>
              </w:rPr>
              <w:br/>
              <w:t>(A)</w:t>
            </w:r>
          </w:p>
        </w:tc>
        <w:tc>
          <w:tcPr>
            <w:tcW w:w="705" w:type="pct"/>
            <w:shd w:val="clear" w:color="000000" w:fill="005DAA"/>
            <w:vAlign w:val="center"/>
            <w:hideMark/>
          </w:tcPr>
          <w:p w:rsidR="0049243C" w:rsidRPr="00C20399" w:rsidRDefault="005025C1" w:rsidP="005025C1">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Gross Savings (CCF/ Household)</w:t>
            </w:r>
            <w:r w:rsidR="0049243C" w:rsidRPr="00C20399">
              <w:rPr>
                <w:rFonts w:ascii="Calibri" w:eastAsia="Times New Roman" w:hAnsi="Calibri" w:cs="Times New Roman"/>
                <w:b/>
                <w:bCs/>
                <w:color w:val="FFFFFF"/>
              </w:rPr>
              <w:t xml:space="preserve"> </w:t>
            </w:r>
            <w:r w:rsidR="0049243C" w:rsidRPr="00C20399">
              <w:rPr>
                <w:rFonts w:ascii="Calibri" w:eastAsia="Times New Roman" w:hAnsi="Calibri" w:cs="Times New Roman"/>
                <w:b/>
                <w:bCs/>
                <w:color w:val="FFFFFF"/>
              </w:rPr>
              <w:br/>
              <w:t>(B)</w:t>
            </w:r>
          </w:p>
        </w:tc>
        <w:tc>
          <w:tcPr>
            <w:tcW w:w="670" w:type="pct"/>
            <w:shd w:val="clear" w:color="000000" w:fill="005DAA"/>
            <w:vAlign w:val="center"/>
            <w:hideMark/>
          </w:tcPr>
          <w:p w:rsidR="0049243C" w:rsidRPr="00C20399" w:rsidRDefault="005025C1" w:rsidP="0049243C">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Realization Rate</w:t>
            </w:r>
            <w:r w:rsidR="0049243C" w:rsidRPr="00C20399">
              <w:rPr>
                <w:rFonts w:ascii="Calibri" w:eastAsia="Times New Roman" w:hAnsi="Calibri" w:cs="Times New Roman"/>
                <w:b/>
                <w:bCs/>
                <w:color w:val="FFFFFF"/>
              </w:rPr>
              <w:t xml:space="preserve"> </w:t>
            </w:r>
            <w:r w:rsidR="0049243C" w:rsidRPr="00C20399">
              <w:rPr>
                <w:rFonts w:ascii="Calibri" w:eastAsia="Times New Roman" w:hAnsi="Calibri" w:cs="Times New Roman"/>
                <w:b/>
                <w:bCs/>
                <w:color w:val="FFFFFF"/>
              </w:rPr>
              <w:br/>
              <w:t>(B/A)</w:t>
            </w:r>
          </w:p>
        </w:tc>
        <w:tc>
          <w:tcPr>
            <w:tcW w:w="1125" w:type="pct"/>
            <w:shd w:val="clear" w:color="000000" w:fill="005DAA"/>
            <w:vAlign w:val="center"/>
            <w:hideMark/>
          </w:tcPr>
          <w:p w:rsidR="0049243C" w:rsidRPr="00C20399" w:rsidRDefault="0049243C" w:rsidP="0049243C">
            <w:pPr>
              <w:spacing w:after="0"/>
              <w:jc w:val="center"/>
              <w:rPr>
                <w:rFonts w:ascii="Calibri" w:eastAsia="Times New Roman" w:hAnsi="Calibri" w:cs="Times New Roman"/>
                <w:b/>
                <w:bCs/>
                <w:color w:val="FFFFFF"/>
              </w:rPr>
            </w:pPr>
            <w:r w:rsidRPr="00C20399">
              <w:rPr>
                <w:rFonts w:ascii="Calibri" w:eastAsia="Times New Roman" w:hAnsi="Calibri" w:cs="Times New Roman"/>
                <w:b/>
                <w:bCs/>
                <w:color w:val="FFFFFF"/>
              </w:rPr>
              <w:t>Method</w:t>
            </w:r>
          </w:p>
        </w:tc>
      </w:tr>
      <w:tr w:rsidR="005025C1" w:rsidRPr="00C20399" w:rsidTr="00A01111">
        <w:tc>
          <w:tcPr>
            <w:tcW w:w="620"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Appliance</w:t>
            </w:r>
          </w:p>
        </w:tc>
        <w:tc>
          <w:tcPr>
            <w:tcW w:w="936"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Appliance Other</w:t>
            </w:r>
          </w:p>
        </w:tc>
        <w:tc>
          <w:tcPr>
            <w:tcW w:w="944" w:type="pct"/>
            <w:shd w:val="clear" w:color="auto" w:fill="auto"/>
            <w:vAlign w:val="center"/>
            <w:hideMark/>
          </w:tcPr>
          <w:p w:rsidR="0049243C" w:rsidRPr="00C20399" w:rsidRDefault="0049243C" w:rsidP="0049243C">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8</w:t>
            </w:r>
          </w:p>
        </w:tc>
        <w:tc>
          <w:tcPr>
            <w:tcW w:w="705" w:type="pct"/>
            <w:shd w:val="clear" w:color="auto" w:fill="auto"/>
            <w:vAlign w:val="center"/>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w:t>
            </w:r>
          </w:p>
        </w:tc>
        <w:tc>
          <w:tcPr>
            <w:tcW w:w="670" w:type="pct"/>
            <w:shd w:val="clear" w:color="auto" w:fill="auto"/>
            <w:vAlign w:val="center"/>
            <w:hideMark/>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r w:rsidR="0049243C" w:rsidRPr="00C20399">
              <w:rPr>
                <w:rFonts w:ascii="Calibri" w:eastAsia="Times New Roman" w:hAnsi="Calibri" w:cs="Times New Roman"/>
                <w:color w:val="000000"/>
                <w:sz w:val="20"/>
                <w:szCs w:val="20"/>
              </w:rPr>
              <w:t>%</w:t>
            </w:r>
          </w:p>
        </w:tc>
        <w:tc>
          <w:tcPr>
            <w:tcW w:w="1125"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 xml:space="preserve">Reported </w:t>
            </w:r>
            <w:r w:rsidRPr="00C20399">
              <w:rPr>
                <w:rFonts w:ascii="Calibri" w:eastAsia="Times New Roman" w:hAnsi="Calibri" w:cs="Times New Roman"/>
                <w:i/>
                <w:color w:val="000000"/>
                <w:sz w:val="20"/>
                <w:szCs w:val="20"/>
              </w:rPr>
              <w:t>Ex Ante</w:t>
            </w:r>
          </w:p>
        </w:tc>
      </w:tr>
      <w:tr w:rsidR="005025C1" w:rsidRPr="00C20399" w:rsidTr="00A01111">
        <w:tc>
          <w:tcPr>
            <w:tcW w:w="620"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HVAC</w:t>
            </w:r>
          </w:p>
        </w:tc>
        <w:tc>
          <w:tcPr>
            <w:tcW w:w="936"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Duct Sealing</w:t>
            </w:r>
          </w:p>
        </w:tc>
        <w:tc>
          <w:tcPr>
            <w:tcW w:w="944" w:type="pct"/>
            <w:shd w:val="clear" w:color="auto" w:fill="auto"/>
            <w:vAlign w:val="center"/>
            <w:hideMark/>
          </w:tcPr>
          <w:p w:rsidR="0049243C" w:rsidRPr="00C20399" w:rsidRDefault="0049243C" w:rsidP="0049243C">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174</w:t>
            </w:r>
          </w:p>
        </w:tc>
        <w:tc>
          <w:tcPr>
            <w:tcW w:w="705" w:type="pct"/>
            <w:shd w:val="clear" w:color="auto" w:fill="auto"/>
            <w:vAlign w:val="center"/>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28</w:t>
            </w:r>
          </w:p>
        </w:tc>
        <w:tc>
          <w:tcPr>
            <w:tcW w:w="670" w:type="pct"/>
            <w:shd w:val="clear" w:color="auto" w:fill="auto"/>
            <w:vAlign w:val="center"/>
            <w:hideMark/>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16</w:t>
            </w:r>
            <w:r w:rsidR="0049243C" w:rsidRPr="00C20399">
              <w:rPr>
                <w:rFonts w:ascii="Calibri" w:eastAsia="Times New Roman" w:hAnsi="Calibri" w:cs="Times New Roman"/>
                <w:color w:val="000000"/>
                <w:sz w:val="20"/>
                <w:szCs w:val="20"/>
              </w:rPr>
              <w:t>%</w:t>
            </w:r>
          </w:p>
        </w:tc>
        <w:tc>
          <w:tcPr>
            <w:tcW w:w="1125"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Simulation Modeling</w:t>
            </w:r>
          </w:p>
        </w:tc>
      </w:tr>
      <w:tr w:rsidR="005025C1" w:rsidRPr="00C20399" w:rsidTr="00A01111">
        <w:tc>
          <w:tcPr>
            <w:tcW w:w="620"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HVAC</w:t>
            </w:r>
          </w:p>
        </w:tc>
        <w:tc>
          <w:tcPr>
            <w:tcW w:w="936"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Heating System Replacement</w:t>
            </w:r>
          </w:p>
        </w:tc>
        <w:tc>
          <w:tcPr>
            <w:tcW w:w="944" w:type="pct"/>
            <w:shd w:val="clear" w:color="auto" w:fill="auto"/>
            <w:vAlign w:val="center"/>
            <w:hideMark/>
          </w:tcPr>
          <w:p w:rsidR="0049243C" w:rsidRPr="00C20399" w:rsidRDefault="0049243C" w:rsidP="0049243C">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128</w:t>
            </w:r>
          </w:p>
        </w:tc>
        <w:tc>
          <w:tcPr>
            <w:tcW w:w="705" w:type="pct"/>
            <w:shd w:val="clear" w:color="auto" w:fill="auto"/>
            <w:vAlign w:val="center"/>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107</w:t>
            </w:r>
          </w:p>
        </w:tc>
        <w:tc>
          <w:tcPr>
            <w:tcW w:w="670" w:type="pct"/>
            <w:shd w:val="clear" w:color="auto" w:fill="auto"/>
            <w:vAlign w:val="center"/>
            <w:hideMark/>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84</w:t>
            </w:r>
            <w:r w:rsidR="0049243C" w:rsidRPr="00C20399">
              <w:rPr>
                <w:rFonts w:ascii="Calibri" w:eastAsia="Times New Roman" w:hAnsi="Calibri" w:cs="Times New Roman"/>
                <w:color w:val="000000"/>
                <w:sz w:val="20"/>
                <w:szCs w:val="20"/>
              </w:rPr>
              <w:t>%</w:t>
            </w:r>
          </w:p>
        </w:tc>
        <w:tc>
          <w:tcPr>
            <w:tcW w:w="1125"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Billing Analysis (±14%)</w:t>
            </w:r>
          </w:p>
        </w:tc>
      </w:tr>
      <w:tr w:rsidR="005025C1" w:rsidRPr="00C20399" w:rsidTr="00A01111">
        <w:tc>
          <w:tcPr>
            <w:tcW w:w="620"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Other</w:t>
            </w:r>
          </w:p>
        </w:tc>
        <w:tc>
          <w:tcPr>
            <w:tcW w:w="936"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Other</w:t>
            </w:r>
          </w:p>
        </w:tc>
        <w:tc>
          <w:tcPr>
            <w:tcW w:w="944" w:type="pct"/>
            <w:shd w:val="clear" w:color="auto" w:fill="auto"/>
            <w:vAlign w:val="center"/>
            <w:hideMark/>
          </w:tcPr>
          <w:p w:rsidR="0049243C" w:rsidRPr="00C20399" w:rsidRDefault="0049243C" w:rsidP="0049243C">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23</w:t>
            </w:r>
          </w:p>
        </w:tc>
        <w:tc>
          <w:tcPr>
            <w:tcW w:w="705" w:type="pct"/>
            <w:shd w:val="clear" w:color="auto" w:fill="auto"/>
            <w:vAlign w:val="center"/>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23</w:t>
            </w:r>
          </w:p>
        </w:tc>
        <w:tc>
          <w:tcPr>
            <w:tcW w:w="670" w:type="pct"/>
            <w:shd w:val="clear" w:color="auto" w:fill="auto"/>
            <w:vAlign w:val="center"/>
            <w:hideMark/>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r w:rsidR="0049243C" w:rsidRPr="00C20399">
              <w:rPr>
                <w:rFonts w:ascii="Calibri" w:eastAsia="Times New Roman" w:hAnsi="Calibri" w:cs="Times New Roman"/>
                <w:color w:val="000000"/>
                <w:sz w:val="20"/>
                <w:szCs w:val="20"/>
              </w:rPr>
              <w:t>%</w:t>
            </w:r>
          </w:p>
        </w:tc>
        <w:tc>
          <w:tcPr>
            <w:tcW w:w="1125"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 xml:space="preserve">Reported </w:t>
            </w:r>
            <w:r w:rsidRPr="00C20399">
              <w:rPr>
                <w:rFonts w:ascii="Calibri" w:eastAsia="Times New Roman" w:hAnsi="Calibri" w:cs="Times New Roman"/>
                <w:i/>
                <w:color w:val="000000"/>
                <w:sz w:val="20"/>
                <w:szCs w:val="20"/>
              </w:rPr>
              <w:t>Ex Ante</w:t>
            </w:r>
          </w:p>
        </w:tc>
      </w:tr>
      <w:tr w:rsidR="005025C1" w:rsidRPr="00C20399" w:rsidTr="00A01111">
        <w:tc>
          <w:tcPr>
            <w:tcW w:w="620"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Shell</w:t>
            </w:r>
          </w:p>
        </w:tc>
        <w:tc>
          <w:tcPr>
            <w:tcW w:w="936"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Air Sealing</w:t>
            </w:r>
          </w:p>
        </w:tc>
        <w:tc>
          <w:tcPr>
            <w:tcW w:w="944" w:type="pct"/>
            <w:shd w:val="clear" w:color="auto" w:fill="auto"/>
            <w:vAlign w:val="center"/>
            <w:hideMark/>
          </w:tcPr>
          <w:p w:rsidR="0049243C" w:rsidRPr="00C20399" w:rsidRDefault="0049243C" w:rsidP="0049243C">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59</w:t>
            </w:r>
          </w:p>
        </w:tc>
        <w:tc>
          <w:tcPr>
            <w:tcW w:w="705" w:type="pct"/>
            <w:shd w:val="clear" w:color="auto" w:fill="auto"/>
            <w:vAlign w:val="center"/>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36</w:t>
            </w:r>
          </w:p>
        </w:tc>
        <w:tc>
          <w:tcPr>
            <w:tcW w:w="670" w:type="pct"/>
            <w:shd w:val="clear" w:color="auto" w:fill="auto"/>
            <w:vAlign w:val="center"/>
            <w:hideMark/>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61</w:t>
            </w:r>
            <w:r w:rsidR="0049243C" w:rsidRPr="00C20399">
              <w:rPr>
                <w:rFonts w:ascii="Calibri" w:eastAsia="Times New Roman" w:hAnsi="Calibri" w:cs="Times New Roman"/>
                <w:color w:val="000000"/>
                <w:sz w:val="20"/>
                <w:szCs w:val="20"/>
              </w:rPr>
              <w:t>%</w:t>
            </w:r>
          </w:p>
        </w:tc>
        <w:tc>
          <w:tcPr>
            <w:tcW w:w="1125"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Billing Analysis (±31%)</w:t>
            </w:r>
          </w:p>
        </w:tc>
      </w:tr>
      <w:tr w:rsidR="005025C1" w:rsidRPr="00C20399" w:rsidTr="00A01111">
        <w:tc>
          <w:tcPr>
            <w:tcW w:w="620"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Shell</w:t>
            </w:r>
          </w:p>
        </w:tc>
        <w:tc>
          <w:tcPr>
            <w:tcW w:w="936"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Windows</w:t>
            </w:r>
          </w:p>
        </w:tc>
        <w:tc>
          <w:tcPr>
            <w:tcW w:w="944" w:type="pct"/>
            <w:shd w:val="clear" w:color="auto" w:fill="auto"/>
            <w:vAlign w:val="center"/>
            <w:hideMark/>
          </w:tcPr>
          <w:p w:rsidR="0049243C" w:rsidRPr="00C20399" w:rsidRDefault="0049243C" w:rsidP="0049243C">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25</w:t>
            </w:r>
          </w:p>
        </w:tc>
        <w:tc>
          <w:tcPr>
            <w:tcW w:w="705" w:type="pct"/>
            <w:shd w:val="clear" w:color="auto" w:fill="auto"/>
            <w:vAlign w:val="center"/>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23</w:t>
            </w:r>
          </w:p>
        </w:tc>
        <w:tc>
          <w:tcPr>
            <w:tcW w:w="670" w:type="pct"/>
            <w:shd w:val="clear" w:color="auto" w:fill="auto"/>
            <w:vAlign w:val="center"/>
            <w:hideMark/>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93</w:t>
            </w:r>
            <w:r w:rsidR="0049243C" w:rsidRPr="00C20399">
              <w:rPr>
                <w:rFonts w:ascii="Calibri" w:eastAsia="Times New Roman" w:hAnsi="Calibri" w:cs="Times New Roman"/>
                <w:color w:val="000000"/>
                <w:sz w:val="20"/>
                <w:szCs w:val="20"/>
              </w:rPr>
              <w:t>%</w:t>
            </w:r>
          </w:p>
        </w:tc>
        <w:tc>
          <w:tcPr>
            <w:tcW w:w="1125"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Engineering Algorithm</w:t>
            </w:r>
          </w:p>
        </w:tc>
      </w:tr>
      <w:tr w:rsidR="005025C1" w:rsidRPr="00C20399" w:rsidTr="00A01111">
        <w:tc>
          <w:tcPr>
            <w:tcW w:w="620"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Shell</w:t>
            </w:r>
          </w:p>
        </w:tc>
        <w:tc>
          <w:tcPr>
            <w:tcW w:w="936"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Attic Insulation</w:t>
            </w:r>
          </w:p>
        </w:tc>
        <w:tc>
          <w:tcPr>
            <w:tcW w:w="944" w:type="pct"/>
            <w:shd w:val="clear" w:color="auto" w:fill="auto"/>
            <w:vAlign w:val="center"/>
            <w:hideMark/>
          </w:tcPr>
          <w:p w:rsidR="0049243C" w:rsidRPr="00C20399" w:rsidRDefault="0049243C" w:rsidP="0049243C">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152</w:t>
            </w:r>
          </w:p>
        </w:tc>
        <w:tc>
          <w:tcPr>
            <w:tcW w:w="705" w:type="pct"/>
            <w:shd w:val="clear" w:color="auto" w:fill="auto"/>
            <w:vAlign w:val="center"/>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197</w:t>
            </w:r>
          </w:p>
        </w:tc>
        <w:tc>
          <w:tcPr>
            <w:tcW w:w="670" w:type="pct"/>
            <w:shd w:val="clear" w:color="auto" w:fill="auto"/>
            <w:vAlign w:val="center"/>
            <w:hideMark/>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129</w:t>
            </w:r>
            <w:r w:rsidR="0049243C" w:rsidRPr="00C20399">
              <w:rPr>
                <w:rFonts w:ascii="Calibri" w:eastAsia="Times New Roman" w:hAnsi="Calibri" w:cs="Times New Roman"/>
                <w:color w:val="000000"/>
                <w:sz w:val="20"/>
                <w:szCs w:val="20"/>
              </w:rPr>
              <w:t>%</w:t>
            </w:r>
          </w:p>
        </w:tc>
        <w:tc>
          <w:tcPr>
            <w:tcW w:w="1125"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Simulation Modeling</w:t>
            </w:r>
          </w:p>
        </w:tc>
      </w:tr>
      <w:tr w:rsidR="005025C1" w:rsidRPr="00C20399" w:rsidTr="00A01111">
        <w:tc>
          <w:tcPr>
            <w:tcW w:w="620"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Shell</w:t>
            </w:r>
          </w:p>
        </w:tc>
        <w:tc>
          <w:tcPr>
            <w:tcW w:w="936"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Wall Insulation</w:t>
            </w:r>
          </w:p>
        </w:tc>
        <w:tc>
          <w:tcPr>
            <w:tcW w:w="944" w:type="pct"/>
            <w:shd w:val="clear" w:color="auto" w:fill="auto"/>
            <w:vAlign w:val="center"/>
            <w:hideMark/>
          </w:tcPr>
          <w:p w:rsidR="0049243C" w:rsidRPr="00C20399" w:rsidRDefault="0049243C" w:rsidP="0049243C">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304</w:t>
            </w:r>
          </w:p>
        </w:tc>
        <w:tc>
          <w:tcPr>
            <w:tcW w:w="705" w:type="pct"/>
            <w:shd w:val="clear" w:color="auto" w:fill="auto"/>
            <w:vAlign w:val="center"/>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96</w:t>
            </w:r>
          </w:p>
        </w:tc>
        <w:tc>
          <w:tcPr>
            <w:tcW w:w="670" w:type="pct"/>
            <w:shd w:val="clear" w:color="auto" w:fill="auto"/>
            <w:vAlign w:val="center"/>
            <w:hideMark/>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32</w:t>
            </w:r>
            <w:r w:rsidR="0049243C" w:rsidRPr="00C20399">
              <w:rPr>
                <w:rFonts w:ascii="Calibri" w:eastAsia="Times New Roman" w:hAnsi="Calibri" w:cs="Times New Roman"/>
                <w:color w:val="000000"/>
                <w:sz w:val="20"/>
                <w:szCs w:val="20"/>
              </w:rPr>
              <w:t>%</w:t>
            </w:r>
          </w:p>
        </w:tc>
        <w:tc>
          <w:tcPr>
            <w:tcW w:w="1125"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Billing Analysis (±30%)</w:t>
            </w:r>
          </w:p>
        </w:tc>
      </w:tr>
      <w:tr w:rsidR="005025C1" w:rsidRPr="00C20399" w:rsidTr="00A01111">
        <w:tc>
          <w:tcPr>
            <w:tcW w:w="620"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Water Heat</w:t>
            </w:r>
          </w:p>
        </w:tc>
        <w:tc>
          <w:tcPr>
            <w:tcW w:w="936"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Temp Setback</w:t>
            </w:r>
          </w:p>
        </w:tc>
        <w:tc>
          <w:tcPr>
            <w:tcW w:w="944" w:type="pct"/>
            <w:shd w:val="clear" w:color="auto" w:fill="auto"/>
            <w:vAlign w:val="center"/>
            <w:hideMark/>
          </w:tcPr>
          <w:p w:rsidR="0049243C" w:rsidRPr="00C20399" w:rsidRDefault="0049243C" w:rsidP="0049243C">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6</w:t>
            </w:r>
          </w:p>
        </w:tc>
        <w:tc>
          <w:tcPr>
            <w:tcW w:w="705" w:type="pct"/>
            <w:shd w:val="clear" w:color="auto" w:fill="auto"/>
            <w:vAlign w:val="center"/>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w:t>
            </w:r>
          </w:p>
        </w:tc>
        <w:tc>
          <w:tcPr>
            <w:tcW w:w="670" w:type="pct"/>
            <w:shd w:val="clear" w:color="auto" w:fill="auto"/>
            <w:vAlign w:val="center"/>
            <w:hideMark/>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62</w:t>
            </w:r>
            <w:r w:rsidR="0049243C" w:rsidRPr="00C20399">
              <w:rPr>
                <w:rFonts w:ascii="Calibri" w:eastAsia="Times New Roman" w:hAnsi="Calibri" w:cs="Times New Roman"/>
                <w:color w:val="000000"/>
                <w:sz w:val="20"/>
                <w:szCs w:val="20"/>
              </w:rPr>
              <w:t>%</w:t>
            </w:r>
          </w:p>
        </w:tc>
        <w:tc>
          <w:tcPr>
            <w:tcW w:w="1125"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Engineering Algorithm</w:t>
            </w:r>
          </w:p>
        </w:tc>
      </w:tr>
      <w:tr w:rsidR="005025C1" w:rsidRPr="00C20399" w:rsidTr="00A01111">
        <w:tc>
          <w:tcPr>
            <w:tcW w:w="620"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Water Heat</w:t>
            </w:r>
          </w:p>
        </w:tc>
        <w:tc>
          <w:tcPr>
            <w:tcW w:w="936" w:type="pct"/>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DWH Bundle</w:t>
            </w:r>
          </w:p>
        </w:tc>
        <w:tc>
          <w:tcPr>
            <w:tcW w:w="944" w:type="pct"/>
            <w:shd w:val="clear" w:color="auto" w:fill="auto"/>
            <w:vAlign w:val="center"/>
            <w:hideMark/>
          </w:tcPr>
          <w:p w:rsidR="0049243C" w:rsidRPr="00C20399" w:rsidRDefault="0049243C" w:rsidP="0049243C">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41</w:t>
            </w:r>
          </w:p>
        </w:tc>
        <w:tc>
          <w:tcPr>
            <w:tcW w:w="705" w:type="pct"/>
            <w:tcBorders>
              <w:bottom w:val="single" w:sz="4" w:space="0" w:color="BFBFBF"/>
            </w:tcBorders>
            <w:shd w:val="clear" w:color="auto" w:fill="auto"/>
            <w:vAlign w:val="center"/>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29</w:t>
            </w:r>
          </w:p>
        </w:tc>
        <w:tc>
          <w:tcPr>
            <w:tcW w:w="670" w:type="pct"/>
            <w:tcBorders>
              <w:bottom w:val="single" w:sz="4" w:space="0" w:color="BFBFBF"/>
            </w:tcBorders>
            <w:shd w:val="clear" w:color="auto" w:fill="auto"/>
            <w:vAlign w:val="center"/>
            <w:hideMark/>
          </w:tcPr>
          <w:p w:rsidR="0049243C" w:rsidRPr="00C20399" w:rsidRDefault="00A01111" w:rsidP="004924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72</w:t>
            </w:r>
            <w:r w:rsidR="0049243C" w:rsidRPr="00C20399">
              <w:rPr>
                <w:rFonts w:ascii="Calibri" w:eastAsia="Times New Roman" w:hAnsi="Calibri" w:cs="Times New Roman"/>
                <w:color w:val="000000"/>
                <w:sz w:val="20"/>
                <w:szCs w:val="20"/>
              </w:rPr>
              <w:t>%</w:t>
            </w:r>
          </w:p>
        </w:tc>
        <w:tc>
          <w:tcPr>
            <w:tcW w:w="1125" w:type="pct"/>
            <w:tcBorders>
              <w:bottom w:val="single" w:sz="4" w:space="0" w:color="BFBFBF"/>
            </w:tcBorders>
            <w:shd w:val="clear" w:color="auto" w:fill="auto"/>
            <w:vAlign w:val="center"/>
            <w:hideMark/>
          </w:tcPr>
          <w:p w:rsidR="0049243C" w:rsidRPr="00C20399" w:rsidRDefault="0049243C" w:rsidP="0049243C">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Billing Analysis (±26%)</w:t>
            </w:r>
          </w:p>
        </w:tc>
      </w:tr>
    </w:tbl>
    <w:p w:rsidR="0049243C" w:rsidRPr="004863EE" w:rsidRDefault="0049243C" w:rsidP="0049243C">
      <w:pPr>
        <w:spacing w:after="0" w:line="240" w:lineRule="auto"/>
        <w:ind w:left="90" w:hanging="90"/>
        <w:rPr>
          <w:rFonts w:ascii="Calibri" w:eastAsia="Times New Roman" w:hAnsi="Calibri" w:cs="Times New Roman"/>
          <w:bCs/>
          <w:sz w:val="20"/>
          <w:szCs w:val="20"/>
        </w:rPr>
      </w:pPr>
      <w:r w:rsidRPr="004863EE">
        <w:rPr>
          <w:rFonts w:ascii="Calibri" w:eastAsia="Times New Roman" w:hAnsi="Calibri" w:cs="Times New Roman"/>
          <w:bCs/>
          <w:sz w:val="20"/>
          <w:szCs w:val="20"/>
        </w:rPr>
        <w:lastRenderedPageBreak/>
        <w:t xml:space="preserve">*Average </w:t>
      </w:r>
      <w:r w:rsidRPr="00296386">
        <w:rPr>
          <w:rFonts w:ascii="Calibri" w:eastAsia="Times New Roman" w:hAnsi="Calibri" w:cs="Times New Roman"/>
          <w:bCs/>
          <w:i/>
          <w:sz w:val="20"/>
          <w:szCs w:val="20"/>
        </w:rPr>
        <w:t>ex ante</w:t>
      </w:r>
      <w:r w:rsidRPr="004863EE">
        <w:rPr>
          <w:rFonts w:ascii="Calibri" w:eastAsia="Times New Roman" w:hAnsi="Calibri" w:cs="Times New Roman"/>
          <w:bCs/>
          <w:sz w:val="20"/>
          <w:szCs w:val="20"/>
        </w:rPr>
        <w:t xml:space="preserve"> savings per household </w:t>
      </w:r>
      <w:r>
        <w:rPr>
          <w:rFonts w:ascii="Calibri" w:eastAsia="Times New Roman" w:hAnsi="Calibri" w:cs="Times New Roman"/>
          <w:bCs/>
          <w:sz w:val="20"/>
          <w:szCs w:val="20"/>
        </w:rPr>
        <w:t>are</w:t>
      </w:r>
      <w:r w:rsidRPr="004863EE">
        <w:rPr>
          <w:rFonts w:ascii="Calibri" w:eastAsia="Times New Roman" w:hAnsi="Calibri" w:cs="Times New Roman"/>
          <w:bCs/>
          <w:sz w:val="20"/>
          <w:szCs w:val="20"/>
        </w:rPr>
        <w:t xml:space="preserve"> </w:t>
      </w:r>
      <w:r>
        <w:rPr>
          <w:rFonts w:ascii="Calibri" w:eastAsia="Times New Roman" w:hAnsi="Calibri" w:cs="Times New Roman"/>
          <w:bCs/>
          <w:sz w:val="20"/>
          <w:szCs w:val="20"/>
        </w:rPr>
        <w:t>the program population, except for measures estimated through billing analysis, which are based on the billing analysis participant sample</w:t>
      </w:r>
      <w:r w:rsidRPr="004863EE">
        <w:rPr>
          <w:rFonts w:ascii="Calibri" w:eastAsia="Times New Roman" w:hAnsi="Calibri" w:cs="Times New Roman"/>
          <w:bCs/>
          <w:sz w:val="20"/>
          <w:szCs w:val="20"/>
        </w:rPr>
        <w:t>.</w:t>
      </w:r>
    </w:p>
    <w:p w:rsidR="00E716B9" w:rsidRDefault="00E716B9" w:rsidP="00E716B9">
      <w:pPr>
        <w:pStyle w:val="Heading2"/>
      </w:pPr>
      <w:bookmarkStart w:id="16" w:name="_Toc389663831"/>
      <w:r>
        <w:t>Recommendations</w:t>
      </w:r>
      <w:bookmarkEnd w:id="16"/>
    </w:p>
    <w:p w:rsidR="007439A4" w:rsidRDefault="007439A4" w:rsidP="007439A4">
      <w:pPr>
        <w:pStyle w:val="NormalBeforeList"/>
      </w:pPr>
      <w:r>
        <w:t>The Evaluation Team has developed several recommendations related to improved data management as well as several measure-specific</w:t>
      </w:r>
      <w:r w:rsidR="00662AC0">
        <w:t xml:space="preserve"> recommendations</w:t>
      </w:r>
      <w:r>
        <w:t xml:space="preserve">. These recommendations address challenges that arose in working with utility billing and program tracking data throughout this study, and </w:t>
      </w:r>
      <w:r w:rsidR="00662AC0">
        <w:t xml:space="preserve">have been </w:t>
      </w:r>
      <w:r>
        <w:t>based on the impact evaluation findings and assessment of results.</w:t>
      </w:r>
    </w:p>
    <w:p w:rsidR="007439A4" w:rsidRDefault="007439A4" w:rsidP="007439A4">
      <w:pPr>
        <w:pStyle w:val="Heading3"/>
      </w:pPr>
      <w:r>
        <w:t>Data Management</w:t>
      </w:r>
    </w:p>
    <w:p w:rsidR="007439A4" w:rsidRPr="00EB6D4C" w:rsidRDefault="007439A4" w:rsidP="007439A4">
      <w:pPr>
        <w:pStyle w:val="NormalBeforeList"/>
      </w:pPr>
      <w:r>
        <w:t xml:space="preserve">In addition to </w:t>
      </w:r>
      <w:r w:rsidR="00662AC0">
        <w:t xml:space="preserve">the </w:t>
      </w:r>
      <w:r>
        <w:t>recommendations discussed in Volume 1, some additional suggestions follow for improvements in data management. These adjustments will not only benefit the evaluation</w:t>
      </w:r>
      <w:r w:rsidR="00662AC0">
        <w:t>; they</w:t>
      </w:r>
      <w:r>
        <w:t xml:space="preserve"> will provide valuable data to inform the future delivery of these programs:</w:t>
      </w:r>
    </w:p>
    <w:p w:rsidR="007439A4" w:rsidRDefault="007439A4" w:rsidP="007439A4">
      <w:pPr>
        <w:pStyle w:val="Bulletlevel1"/>
      </w:pPr>
      <w:r>
        <w:rPr>
          <w:b/>
          <w:i/>
        </w:rPr>
        <w:t>M</w:t>
      </w:r>
      <w:r w:rsidRPr="00FB2AF7">
        <w:rPr>
          <w:b/>
          <w:i/>
        </w:rPr>
        <w:t xml:space="preserve">easure-specific inputs </w:t>
      </w:r>
      <w:r>
        <w:rPr>
          <w:b/>
          <w:i/>
        </w:rPr>
        <w:t xml:space="preserve">require better tracking </w:t>
      </w:r>
      <w:r w:rsidRPr="00FB2AF7">
        <w:rPr>
          <w:b/>
          <w:i/>
        </w:rPr>
        <w:t>within the utility program tracking systems</w:t>
      </w:r>
      <w:r>
        <w:t xml:space="preserve"> to calculate savings based on </w:t>
      </w:r>
      <w:r w:rsidR="00737019" w:rsidRPr="00BB1268">
        <w:t xml:space="preserve">Program Savings Documentation </w:t>
      </w:r>
      <w:r w:rsidR="00737019">
        <w:t>(</w:t>
      </w:r>
      <w:r>
        <w:t>PSD</w:t>
      </w:r>
      <w:r w:rsidR="00737019">
        <w:t>)</w:t>
      </w:r>
      <w:r>
        <w:t xml:space="preserve"> algorithms. In many cases, the tracking system did not provide the details used for these calculations (e.g., windows, no baseline or efficient unit descriptions or installed square footage).</w:t>
      </w:r>
    </w:p>
    <w:p w:rsidR="007439A4" w:rsidRDefault="007439A4" w:rsidP="007439A4">
      <w:pPr>
        <w:pStyle w:val="Bulletlevel2"/>
      </w:pPr>
      <w:r>
        <w:t>Many challenges arose in identifying measure names/descriptions and, in some cases, disaggregating a category into specific measures for energy-savings calculations (e.g., appliances, insulation).</w:t>
      </w:r>
    </w:p>
    <w:p w:rsidR="007439A4" w:rsidRDefault="007439A4" w:rsidP="007439A4">
      <w:pPr>
        <w:pStyle w:val="Bulletlevel1"/>
      </w:pPr>
      <w:r>
        <w:rPr>
          <w:b/>
          <w:i/>
        </w:rPr>
        <w:t>C</w:t>
      </w:r>
      <w:r w:rsidRPr="00FB2AF7">
        <w:rPr>
          <w:b/>
          <w:i/>
        </w:rPr>
        <w:t xml:space="preserve">onsistency </w:t>
      </w:r>
      <w:r>
        <w:rPr>
          <w:b/>
          <w:i/>
        </w:rPr>
        <w:t xml:space="preserve">should increase </w:t>
      </w:r>
      <w:r w:rsidRPr="00FB2AF7">
        <w:rPr>
          <w:b/>
          <w:i/>
        </w:rPr>
        <w:t>between utility tracking systems</w:t>
      </w:r>
      <w:r>
        <w:t xml:space="preserve"> for programs and measures, particularly if the programs continue to be reported and evaluated jointly across gas and </w:t>
      </w:r>
      <w:r>
        <w:br/>
        <w:t>electric utilities.</w:t>
      </w:r>
    </w:p>
    <w:p w:rsidR="007439A4" w:rsidRDefault="007439A4" w:rsidP="007439A4">
      <w:pPr>
        <w:pStyle w:val="Bulletlevel2"/>
      </w:pPr>
      <w:r>
        <w:t>Align terminologies, such as: discrete measure categories (including subcategories and descriptions, as necessary); measure input values (e.g., efficiency levels); program and subprogram names; and building/household/equipment characteristics.</w:t>
      </w:r>
    </w:p>
    <w:p w:rsidR="007439A4" w:rsidRDefault="007439A4" w:rsidP="007439A4">
      <w:pPr>
        <w:pStyle w:val="Bulletlevel2"/>
      </w:pPr>
      <w:r>
        <w:t xml:space="preserve">Consistently collect household/equipment characteristics that feed into detailed savings calculations (such as building types, heating fuels, and heating and cooling equipment). </w:t>
      </w:r>
    </w:p>
    <w:p w:rsidR="007439A4" w:rsidRDefault="007439A4" w:rsidP="007439A4">
      <w:pPr>
        <w:pStyle w:val="Bulletlevel2"/>
      </w:pPr>
      <w:r>
        <w:t>Integrate database QA protocols to ensure consisten</w:t>
      </w:r>
      <w:r w:rsidR="00746FAA">
        <w:t>cy</w:t>
      </w:r>
      <w:r>
        <w:t xml:space="preserve"> within projects: </w:t>
      </w:r>
    </w:p>
    <w:p w:rsidR="007439A4" w:rsidRDefault="007439A4" w:rsidP="007439A4">
      <w:pPr>
        <w:pStyle w:val="ListParagraph"/>
        <w:numPr>
          <w:ilvl w:val="2"/>
          <w:numId w:val="23"/>
        </w:numPr>
        <w:spacing w:after="60"/>
        <w:ind w:left="1440"/>
      </w:pPr>
      <w:r>
        <w:t>For example, the value of conditioned square footage from an initial home audit should match reported condition</w:t>
      </w:r>
      <w:r w:rsidR="00746FAA">
        <w:t>ed</w:t>
      </w:r>
      <w:r>
        <w:t xml:space="preserve"> square footage collected in subsequent visits for follow-on measure installations; in some instances, audit data reported conflicting information for individual participants.</w:t>
      </w:r>
    </w:p>
    <w:p w:rsidR="007439A4" w:rsidRDefault="007439A4" w:rsidP="007439A4">
      <w:pPr>
        <w:pStyle w:val="Bulletlevel2-last"/>
        <w:spacing w:after="60"/>
      </w:pPr>
      <w:r>
        <w:t xml:space="preserve">Ensure fields are populated consistently with standardized values: many differences occurred within and across utility data regarding </w:t>
      </w:r>
      <w:r w:rsidR="00746FAA">
        <w:t xml:space="preserve">the methods for defining or describing </w:t>
      </w:r>
      <w:r>
        <w:t xml:space="preserve">measures; unpopulated fields (blanks) could be appropriately replaced with values such </w:t>
      </w:r>
      <w:r w:rsidR="00746FAA">
        <w:t xml:space="preserve">as </w:t>
      </w:r>
      <w:r>
        <w:t>“n/a” or a quantity of zero.</w:t>
      </w:r>
    </w:p>
    <w:p w:rsidR="007439A4" w:rsidRDefault="007439A4" w:rsidP="007439A4">
      <w:pPr>
        <w:pStyle w:val="Bulletlevel1"/>
      </w:pPr>
      <w:r w:rsidRPr="00FB2AF7">
        <w:rPr>
          <w:b/>
          <w:i/>
        </w:rPr>
        <w:t>QA check information by project</w:t>
      </w:r>
      <w:r>
        <w:t xml:space="preserve">. Specifically for insulation, QA checks should determine whether installed square footage quantities surpass reasonable values relative to a reported, </w:t>
      </w:r>
      <w:r>
        <w:lastRenderedPageBreak/>
        <w:t xml:space="preserve">total, conditioned floor area. Additionally, checks could ensure fuel-specific savings calculated for a project </w:t>
      </w:r>
      <w:r w:rsidR="00746FAA">
        <w:t xml:space="preserve">remain </w:t>
      </w:r>
      <w:r>
        <w:t xml:space="preserve">consistent with information provided for that site regarding heating and water heating fuel, and </w:t>
      </w:r>
      <w:r w:rsidR="00746FAA">
        <w:t xml:space="preserve">the </w:t>
      </w:r>
      <w:r>
        <w:t>presence and/or type of cooling equipment.</w:t>
      </w:r>
    </w:p>
    <w:p w:rsidR="007439A4" w:rsidRDefault="007439A4" w:rsidP="007439A4">
      <w:pPr>
        <w:pStyle w:val="Bulletlevel1"/>
      </w:pPr>
      <w:r w:rsidRPr="00FB2AF7">
        <w:rPr>
          <w:b/>
          <w:i/>
        </w:rPr>
        <w:t>Improved tracking of project data for multifamily buildings</w:t>
      </w:r>
      <w:r>
        <w:rPr>
          <w:b/>
          <w:i/>
        </w:rPr>
        <w:t>.</w:t>
      </w:r>
      <w:r>
        <w:t xml:space="preserve"> Reporting should be consistent at the unit level. The Evaluation Team observed that tracking data and billing data could not always be directly mapped. Billing data often were presented at the facility level, while measure data often were presented at the unit level; a unique identifier to link these data sources should help to resolve this issue. If program tracking data can maintain consistency for multifamily participants in recording information at the unit level, this unique identifier for multifamily units should be present in the billing data to facilitate integration.</w:t>
      </w:r>
    </w:p>
    <w:p w:rsidR="007439A4" w:rsidRDefault="007439A4" w:rsidP="007439A4">
      <w:pPr>
        <w:pStyle w:val="Bulletlevel1"/>
      </w:pPr>
      <w:r w:rsidRPr="00FB2AF7">
        <w:rPr>
          <w:b/>
          <w:i/>
        </w:rPr>
        <w:t xml:space="preserve">Improve </w:t>
      </w:r>
      <w:r w:rsidR="00746FAA">
        <w:rPr>
          <w:b/>
          <w:i/>
        </w:rPr>
        <w:t xml:space="preserve">the </w:t>
      </w:r>
      <w:r w:rsidRPr="00FB2AF7">
        <w:rPr>
          <w:b/>
          <w:i/>
        </w:rPr>
        <w:t>ability to easily export program tracking data</w:t>
      </w:r>
      <w:r>
        <w:t xml:space="preserve"> for specific programs in isolation. In some cases, challenges emerged in identifying measures attributed to HES and HES-IE programs (versus other energy-efficiency programs). In several cases, lacking a program identifier, the Evaluation Team had to identify program-attributed measures using measure descriptions and rebate levels. Recommended actions include creating a data dictionary for existing variables and always adding a variable description when </w:t>
      </w:r>
      <w:r w:rsidR="00746FAA">
        <w:t xml:space="preserve">including </w:t>
      </w:r>
      <w:r>
        <w:t>new fields/values to the dataset.</w:t>
      </w:r>
    </w:p>
    <w:p w:rsidR="007439A4" w:rsidRPr="00EB6D4C" w:rsidRDefault="007439A4" w:rsidP="007439A4">
      <w:pPr>
        <w:pStyle w:val="Bulletlevel1-last"/>
      </w:pPr>
      <w:r w:rsidRPr="00FB2AF7">
        <w:rPr>
          <w:b/>
          <w:i/>
        </w:rPr>
        <w:t>Ensure program tracking of both electric and gas account numbers</w:t>
      </w:r>
      <w:r>
        <w:rPr>
          <w:b/>
          <w:i/>
        </w:rPr>
        <w:t>.</w:t>
      </w:r>
      <w:r>
        <w:t xml:space="preserve"> This would facilitate accessibility and connections to other databases, using account numbers as unique identifiers (e.g., billing and transaction data). Alternatively, another unique identifier currently utilized by utilities could </w:t>
      </w:r>
      <w:r w:rsidR="00746FAA">
        <w:t xml:space="preserve">possibly </w:t>
      </w:r>
      <w:r>
        <w:t>better facilitate this process.</w:t>
      </w:r>
    </w:p>
    <w:p w:rsidR="007439A4" w:rsidRDefault="007439A4" w:rsidP="007439A4">
      <w:pPr>
        <w:pStyle w:val="Heading3"/>
      </w:pPr>
      <w:r>
        <w:t>Measure-Specific</w:t>
      </w:r>
    </w:p>
    <w:p w:rsidR="007439A4" w:rsidRDefault="007439A4" w:rsidP="007439A4">
      <w:pPr>
        <w:pStyle w:val="Heading4"/>
      </w:pPr>
      <w:r>
        <w:t>Ductless Heat Pumps</w:t>
      </w:r>
    </w:p>
    <w:p w:rsidR="007439A4" w:rsidRPr="00EB6D4C" w:rsidRDefault="007439A4" w:rsidP="007439A4">
      <w:r>
        <w:t xml:space="preserve">Based on measure-level and whole-house findings, </w:t>
      </w:r>
      <w:r w:rsidRPr="00B73767">
        <w:rPr>
          <w:i/>
        </w:rPr>
        <w:t>ex ante</w:t>
      </w:r>
      <w:r>
        <w:t xml:space="preserve"> savings estimates for ductless heat pumps overestimate</w:t>
      </w:r>
      <w:r w:rsidR="00746FAA">
        <w:t>d</w:t>
      </w:r>
      <w:r>
        <w:t xml:space="preserve"> actual savings and </w:t>
      </w:r>
      <w:r w:rsidR="00746FAA">
        <w:t xml:space="preserve">did </w:t>
      </w:r>
      <w:r>
        <w:t xml:space="preserve">not account for scaled-down savings, which </w:t>
      </w:r>
      <w:r w:rsidR="001C14F9">
        <w:t xml:space="preserve">could </w:t>
      </w:r>
      <w:r>
        <w:t xml:space="preserve">relate to take-back effects or the accuracy of baseline assumptions (e.g., some level of continued baseboard heating or increased cooling loads). More detailed analysis should be performed, specific to this measure, for HES and HES-IE participants (and could include other programs offering ductless heat pumps in Connecticut). Region-specific research </w:t>
      </w:r>
      <w:r w:rsidR="001C14F9">
        <w:t>would</w:t>
      </w:r>
      <w:r>
        <w:t xml:space="preserve"> help clarify discrepancies between current planning estimates and evaluated savings, refine assumptions regarding baseline conditions, and identify key inputs that the current algorithm does not account for.</w:t>
      </w:r>
    </w:p>
    <w:p w:rsidR="007439A4" w:rsidRPr="00635DCD" w:rsidRDefault="007439A4" w:rsidP="007439A4">
      <w:pPr>
        <w:pStyle w:val="Heading4"/>
      </w:pPr>
      <w:r>
        <w:t>Faucet Aerators</w:t>
      </w:r>
    </w:p>
    <w:p w:rsidR="007439A4" w:rsidRDefault="007439A4" w:rsidP="007439A4">
      <w:r>
        <w:t xml:space="preserve">Based on the engineering review and benchmarking performed on the faucet aerator measure, the savings algorithms and inputs used for the energy-savings </w:t>
      </w:r>
      <w:r w:rsidR="0049243C">
        <w:t xml:space="preserve">calculation should be adjusted to incorporate a drain factor and to use </w:t>
      </w:r>
      <w:r w:rsidR="001C14F9">
        <w:t xml:space="preserve">the </w:t>
      </w:r>
      <w:r w:rsidR="0049243C">
        <w:t>water heater recovery efficiency rather than the energy factor.</w:t>
      </w:r>
    </w:p>
    <w:p w:rsidR="007439A4" w:rsidRPr="00635DCD" w:rsidRDefault="007439A4" w:rsidP="007439A4">
      <w:pPr>
        <w:pStyle w:val="Heading4"/>
      </w:pPr>
      <w:r>
        <w:t xml:space="preserve">Showerhead </w:t>
      </w:r>
    </w:p>
    <w:p w:rsidR="007439A4" w:rsidRDefault="007439A4" w:rsidP="007439A4">
      <w:r>
        <w:t xml:space="preserve">Much like faucet aerators (above), the utility should use the water heater recovery efficiency rather than the energy factor when determining energy savings for showerheads. </w:t>
      </w:r>
    </w:p>
    <w:p w:rsidR="007439A4" w:rsidRPr="00635DCD" w:rsidRDefault="007439A4" w:rsidP="007439A4">
      <w:pPr>
        <w:pStyle w:val="Heading4"/>
      </w:pPr>
      <w:r>
        <w:lastRenderedPageBreak/>
        <w:t xml:space="preserve">Pipe Insulation </w:t>
      </w:r>
    </w:p>
    <w:p w:rsidR="0049243C" w:rsidRDefault="0049243C" w:rsidP="0049243C">
      <w:r>
        <w:t xml:space="preserve">The Evaluation Team recommends setting a maximum linear feet of pipe insulation to be used in calculating savings for this measure (i.e., approximately six feet of pipe insulation per water heater). </w:t>
      </w:r>
    </w:p>
    <w:p w:rsidR="007439A4" w:rsidRDefault="007439A4" w:rsidP="007439A4">
      <w:pPr>
        <w:pStyle w:val="Heading4"/>
      </w:pPr>
      <w:r>
        <w:t>Window AC</w:t>
      </w:r>
    </w:p>
    <w:p w:rsidR="007439A4" w:rsidRPr="00710A32" w:rsidRDefault="007439A4" w:rsidP="007439A4">
      <w:r>
        <w:t xml:space="preserve">Utilities should ensure that window AC replacements installed through the program meet minimum efficiency requirements, and claimed savings should account for the installed efficiency collected through tracking data (rather than assuming a constant installed efficiency from the PSD). As discussed, the Evaluation Team found, in many cases, </w:t>
      </w:r>
      <w:r w:rsidR="001C14F9">
        <w:t xml:space="preserve">that </w:t>
      </w:r>
      <w:r>
        <w:t xml:space="preserve">installed units proved less efficient than the CEER Tier 1 or Tier 1 levels, </w:t>
      </w:r>
    </w:p>
    <w:p w:rsidR="007439A4" w:rsidRPr="007439A4" w:rsidRDefault="007439A4" w:rsidP="007439A4"/>
    <w:p w:rsidR="00E716B9" w:rsidRPr="00ED7CA0" w:rsidRDefault="00E716B9" w:rsidP="00E716B9"/>
    <w:p w:rsidR="00F04460" w:rsidRDefault="00F04460" w:rsidP="003C1539">
      <w:pPr>
        <w:sectPr w:rsidR="00F04460" w:rsidSect="00C32B05">
          <w:footerReference w:type="even" r:id="rId20"/>
          <w:footerReference w:type="default" r:id="rId21"/>
          <w:pgSz w:w="12240" w:h="15840"/>
          <w:pgMar w:top="1440" w:right="1440" w:bottom="1440" w:left="1440" w:header="720" w:footer="720" w:gutter="0"/>
          <w:pgNumType w:start="1"/>
          <w:cols w:space="720"/>
          <w:docGrid w:linePitch="360"/>
        </w:sectPr>
      </w:pPr>
    </w:p>
    <w:p w:rsidR="00F04460" w:rsidRDefault="00F04460" w:rsidP="00F04460">
      <w:pPr>
        <w:pStyle w:val="Heading1"/>
      </w:pPr>
      <w:bookmarkStart w:id="17" w:name="_Toc389663832"/>
      <w:r>
        <w:lastRenderedPageBreak/>
        <w:t>Introduction</w:t>
      </w:r>
      <w:bookmarkEnd w:id="17"/>
    </w:p>
    <w:p w:rsidR="003865ED" w:rsidRDefault="005D4E4B" w:rsidP="003865ED">
      <w:bookmarkStart w:id="18" w:name="_Toc378750706"/>
      <w:bookmarkStart w:id="19" w:name="_Toc352331803"/>
      <w:r>
        <w:t xml:space="preserve">This report summarizes the impact evaluation findings </w:t>
      </w:r>
      <w:r w:rsidR="005A2FB0">
        <w:t>for</w:t>
      </w:r>
      <w:r>
        <w:t xml:space="preserve"> the Home Energy Services (HES) and Home Energy Services</w:t>
      </w:r>
      <w:r w:rsidR="007A1CBE">
        <w:t>—</w:t>
      </w:r>
      <w:r>
        <w:t>Income</w:t>
      </w:r>
      <w:r w:rsidR="00F82384">
        <w:t>-</w:t>
      </w:r>
      <w:r>
        <w:t>Eligible (HES-IE) programs.</w:t>
      </w:r>
      <w:r w:rsidR="001C1838">
        <w:t xml:space="preserve"> Connecticut’s Energy Efficiency Board (EEB) </w:t>
      </w:r>
      <w:r w:rsidR="008915B6">
        <w:t xml:space="preserve">contracted the Evaluation Team </w:t>
      </w:r>
      <w:r w:rsidR="00CC2F38">
        <w:t xml:space="preserve">(Cadmus and NMR) </w:t>
      </w:r>
      <w:r w:rsidR="001C1838">
        <w:t>to perform an impact evaluation of the HES and HES-IE program</w:t>
      </w:r>
      <w:r w:rsidR="00CE4577">
        <w:t>s</w:t>
      </w:r>
      <w:r w:rsidR="001C1838">
        <w:t xml:space="preserve">, which </w:t>
      </w:r>
      <w:r w:rsidR="005A2FB0">
        <w:t xml:space="preserve">the following </w:t>
      </w:r>
      <w:r w:rsidR="001C1838">
        <w:t>Connecticut electric and gas utilities</w:t>
      </w:r>
      <w:r w:rsidR="005A2FB0">
        <w:t xml:space="preserve"> provide</w:t>
      </w:r>
      <w:r w:rsidR="001C1838">
        <w:t>: Connecticut Light and Power (CL&amp;P), United Illuminating Company (UI), Southern Connecticut Gas (SCG), Connecticut Natural Gas (CNG), and Yankee Gas (Yankee).</w:t>
      </w:r>
      <w:r w:rsidR="00CE7255">
        <w:t xml:space="preserve"> </w:t>
      </w:r>
    </w:p>
    <w:p w:rsidR="005A2FB0" w:rsidRDefault="00AF07EA" w:rsidP="005A2FB0">
      <w:pPr>
        <w:pStyle w:val="NormalBeforeList"/>
      </w:pPr>
      <w:r w:rsidRPr="00BB1268">
        <w:t>This report</w:t>
      </w:r>
      <w:r w:rsidR="00171D7C" w:rsidRPr="00BB1268">
        <w:t xml:space="preserve"> consists of</w:t>
      </w:r>
      <w:r w:rsidRPr="00BB1268">
        <w:t xml:space="preserve"> two volumes: </w:t>
      </w:r>
    </w:p>
    <w:p w:rsidR="005A2FB0" w:rsidRDefault="00AF07EA" w:rsidP="005A2FB0">
      <w:pPr>
        <w:pStyle w:val="Bulletlevel1"/>
      </w:pPr>
      <w:r w:rsidRPr="00BB1268">
        <w:t>Volume 1 provid</w:t>
      </w:r>
      <w:r w:rsidR="00CE4577" w:rsidRPr="00BB1268">
        <w:t>es</w:t>
      </w:r>
      <w:r w:rsidRPr="00BB1268">
        <w:t xml:space="preserve"> </w:t>
      </w:r>
      <w:r w:rsidR="005A2FB0">
        <w:t xml:space="preserve">the </w:t>
      </w:r>
      <w:r w:rsidRPr="00BB1268">
        <w:t>methodology and results of performing a whole-house billing analysis of the HES and HES-IE programs</w:t>
      </w:r>
      <w:r w:rsidR="0043428B">
        <w:t>.</w:t>
      </w:r>
      <w:r w:rsidR="00E7041D" w:rsidRPr="00BB1268">
        <w:t xml:space="preserve"> </w:t>
      </w:r>
    </w:p>
    <w:p w:rsidR="005A2FB0" w:rsidRDefault="00AF07EA" w:rsidP="005A2FB0">
      <w:pPr>
        <w:pStyle w:val="Bulletlevel1-last"/>
      </w:pPr>
      <w:r w:rsidRPr="00BB1268">
        <w:t>Volume 2</w:t>
      </w:r>
      <w:r w:rsidR="002E0D8A" w:rsidRPr="00BB1268">
        <w:t xml:space="preserve"> </w:t>
      </w:r>
      <w:r w:rsidRPr="00BB1268">
        <w:t>provid</w:t>
      </w:r>
      <w:r w:rsidR="00CE4577" w:rsidRPr="00BB1268">
        <w:t>es</w:t>
      </w:r>
      <w:r w:rsidRPr="00BB1268">
        <w:t xml:space="preserve"> </w:t>
      </w:r>
      <w:r w:rsidR="005A2FB0">
        <w:t xml:space="preserve">the </w:t>
      </w:r>
      <w:r w:rsidRPr="00BB1268">
        <w:t>methodology and results of performing a measure-level analysis of these programs</w:t>
      </w:r>
      <w:r w:rsidR="00E760E4" w:rsidRPr="00BB1268">
        <w:t xml:space="preserve">, </w:t>
      </w:r>
      <w:r w:rsidR="002E0D8A" w:rsidRPr="00BB1268">
        <w:t>u</w:t>
      </w:r>
      <w:r w:rsidR="004A4FD5" w:rsidRPr="00BB1268">
        <w:t>s</w:t>
      </w:r>
      <w:r w:rsidR="002E0D8A" w:rsidRPr="00BB1268">
        <w:t>ing an</w:t>
      </w:r>
      <w:r w:rsidRPr="00BB1268">
        <w:t xml:space="preserve"> evaluation approach that combines billing and engineering analyses.</w:t>
      </w:r>
      <w:r w:rsidR="00E760E4" w:rsidRPr="00BB1268">
        <w:t xml:space="preserve"> </w:t>
      </w:r>
    </w:p>
    <w:p w:rsidR="00AF07EA" w:rsidRDefault="005A2FB0" w:rsidP="003865ED">
      <w:r>
        <w:t>T</w:t>
      </w:r>
      <w:r w:rsidR="00E760E4" w:rsidRPr="00BB1268">
        <w:t>he EEB Evaluation Consultant and Evaluation Team plan</w:t>
      </w:r>
      <w:r>
        <w:t>s</w:t>
      </w:r>
      <w:r w:rsidR="00E760E4" w:rsidRPr="00BB1268">
        <w:t xml:space="preserve"> additional evaluation studies</w:t>
      </w:r>
      <w:r>
        <w:t xml:space="preserve">, </w:t>
      </w:r>
      <w:r w:rsidR="00E760E4" w:rsidRPr="00BB1268">
        <w:t>focus</w:t>
      </w:r>
      <w:r>
        <w:t>ing</w:t>
      </w:r>
      <w:r w:rsidR="00E760E4" w:rsidRPr="00BB1268">
        <w:t xml:space="preserve"> on</w:t>
      </w:r>
      <w:r>
        <w:t>:</w:t>
      </w:r>
      <w:r w:rsidR="00E760E4" w:rsidRPr="00BB1268">
        <w:t xml:space="preserve"> program process</w:t>
      </w:r>
      <w:r>
        <w:t>es;</w:t>
      </w:r>
      <w:r w:rsidR="00E760E4" w:rsidRPr="00BB1268">
        <w:t xml:space="preserve"> effective useful life</w:t>
      </w:r>
      <w:r>
        <w:t>;</w:t>
      </w:r>
      <w:r w:rsidR="00E760E4" w:rsidRPr="00BB1268">
        <w:t xml:space="preserve"> net-to-gross</w:t>
      </w:r>
      <w:r w:rsidR="00BB4987">
        <w:t xml:space="preserve"> (NTG)</w:t>
      </w:r>
      <w:r>
        <w:t>;</w:t>
      </w:r>
      <w:r w:rsidR="00E760E4" w:rsidRPr="00BB1268">
        <w:t xml:space="preserve"> and non-energy impacts for </w:t>
      </w:r>
      <w:r>
        <w:t>the</w:t>
      </w:r>
      <w:r w:rsidR="00E760E4" w:rsidRPr="00BB1268">
        <w:t xml:space="preserve"> HES and HES-IE programs.</w:t>
      </w:r>
    </w:p>
    <w:p w:rsidR="00B46854" w:rsidRPr="004A4FD5" w:rsidRDefault="00B46854" w:rsidP="004A4FD5">
      <w:pPr>
        <w:pStyle w:val="Heading2"/>
      </w:pPr>
      <w:bookmarkStart w:id="20" w:name="_Toc389663833"/>
      <w:r w:rsidRPr="004A4FD5">
        <w:t>Program Overview</w:t>
      </w:r>
      <w:bookmarkEnd w:id="18"/>
      <w:bookmarkEnd w:id="20"/>
    </w:p>
    <w:p w:rsidR="00E760E4" w:rsidRDefault="0042756F" w:rsidP="004A4FD5">
      <w:bookmarkStart w:id="21" w:name="_Toc378750707"/>
      <w:r>
        <w:t xml:space="preserve">The HES and HES-IE programs target residential customers living in </w:t>
      </w:r>
      <w:r w:rsidR="006A128C">
        <w:t>single-family</w:t>
      </w:r>
      <w:r>
        <w:t xml:space="preserve"> houses or multifamily buildings. The program</w:t>
      </w:r>
      <w:r w:rsidR="0043428B">
        <w:t>s</w:t>
      </w:r>
      <w:r>
        <w:t xml:space="preserve"> offer home energy audits </w:t>
      </w:r>
      <w:r w:rsidR="00D1609B">
        <w:t>by BPI</w:t>
      </w:r>
      <w:r w:rsidR="0043428B">
        <w:t>-</w:t>
      </w:r>
      <w:r w:rsidR="00D1609B">
        <w:t xml:space="preserve">certified technicians </w:t>
      </w:r>
      <w:r>
        <w:t xml:space="preserve">to participating customers, regardless of their heating fuel type. </w:t>
      </w:r>
      <w:r w:rsidR="00E760E4">
        <w:t xml:space="preserve">Currently, the </w:t>
      </w:r>
      <w:r w:rsidR="002E0D8A">
        <w:t xml:space="preserve">HES </w:t>
      </w:r>
      <w:r w:rsidR="00794599">
        <w:t>program</w:t>
      </w:r>
      <w:r w:rsidR="00E760E4">
        <w:t xml:space="preserve"> </w:t>
      </w:r>
      <w:r w:rsidR="002E0D8A">
        <w:t>requires</w:t>
      </w:r>
      <w:r w:rsidR="00E760E4">
        <w:t xml:space="preserve"> participants to pay $75 for the initial energy audit. In the past, oil and propane</w:t>
      </w:r>
      <w:r w:rsidR="005A2FB0">
        <w:t xml:space="preserve"> </w:t>
      </w:r>
      <w:r w:rsidR="00E760E4">
        <w:t xml:space="preserve">heat </w:t>
      </w:r>
      <w:r w:rsidR="002E0D8A">
        <w:t>(delivered fuels)</w:t>
      </w:r>
      <w:r w:rsidR="00E760E4">
        <w:t xml:space="preserve"> </w:t>
      </w:r>
      <w:r w:rsidR="004A4FD5">
        <w:t xml:space="preserve">customers </w:t>
      </w:r>
      <w:r w:rsidR="00E760E4">
        <w:t>had to pay larger co-pay</w:t>
      </w:r>
      <w:r w:rsidR="005A2FB0">
        <w:t>ment</w:t>
      </w:r>
      <w:r w:rsidR="00E760E4">
        <w:t>s, but American Recovery and Reinvestment Act (ARRA) funds and</w:t>
      </w:r>
      <w:r w:rsidR="005A2FB0">
        <w:t>,</w:t>
      </w:r>
      <w:r w:rsidR="00E760E4">
        <w:t xml:space="preserve"> more recently</w:t>
      </w:r>
      <w:r w:rsidR="005A2FB0">
        <w:t>,</w:t>
      </w:r>
      <w:r w:rsidR="00E760E4">
        <w:t xml:space="preserve"> other Connecticut Energy-Efficiency Fund (CEEF) funds</w:t>
      </w:r>
      <w:r w:rsidR="00D1609B">
        <w:t xml:space="preserve"> (such as those from the Regional Greenhouse Gas Initiative)</w:t>
      </w:r>
      <w:r w:rsidR="004A4FD5">
        <w:t>,</w:t>
      </w:r>
      <w:r w:rsidR="00E760E4">
        <w:t xml:space="preserve"> have allowed the </w:t>
      </w:r>
      <w:r w:rsidR="00733001">
        <w:t>utilities</w:t>
      </w:r>
      <w:r w:rsidR="00E760E4">
        <w:t xml:space="preserve"> to offer the $75 co-pay</w:t>
      </w:r>
      <w:r w:rsidR="005A2FB0">
        <w:t>ment</w:t>
      </w:r>
      <w:r w:rsidR="00E760E4">
        <w:t xml:space="preserve"> to delivered</w:t>
      </w:r>
      <w:r w:rsidR="004A4FD5">
        <w:t>-</w:t>
      </w:r>
      <w:r w:rsidR="00E760E4">
        <w:t xml:space="preserve">fuel households. </w:t>
      </w:r>
      <w:r w:rsidR="005A2FB0">
        <w:t xml:space="preserve">Typically, </w:t>
      </w:r>
      <w:r w:rsidR="00E760E4">
        <w:t>HES-IE</w:t>
      </w:r>
      <w:r w:rsidR="0077073F">
        <w:t xml:space="preserve"> </w:t>
      </w:r>
      <w:r w:rsidR="002E0D8A">
        <w:t xml:space="preserve">program </w:t>
      </w:r>
      <w:r w:rsidR="0043428B">
        <w:t xml:space="preserve">participants </w:t>
      </w:r>
      <w:r w:rsidR="005A2FB0">
        <w:t xml:space="preserve">receive audits at no cost </w:t>
      </w:r>
      <w:r w:rsidR="0077073F">
        <w:t xml:space="preserve">(although </w:t>
      </w:r>
      <w:r w:rsidR="002E0D8A">
        <w:t>property owners</w:t>
      </w:r>
      <w:r w:rsidR="0077073F">
        <w:t xml:space="preserve"> often </w:t>
      </w:r>
      <w:r w:rsidR="005A2FB0">
        <w:t xml:space="preserve">must cover </w:t>
      </w:r>
      <w:r w:rsidR="0043428B">
        <w:br/>
      </w:r>
      <w:r w:rsidR="0077073F">
        <w:t>co-pay</w:t>
      </w:r>
      <w:r w:rsidR="005A2FB0">
        <w:t>ment</w:t>
      </w:r>
      <w:r w:rsidR="0077073F">
        <w:t>s)</w:t>
      </w:r>
      <w:r w:rsidR="00E760E4">
        <w:t>.</w:t>
      </w:r>
    </w:p>
    <w:p w:rsidR="0042756F" w:rsidRDefault="0042756F" w:rsidP="004A4FD5">
      <w:r>
        <w:t xml:space="preserve">Through these audits, technicians identify opportunities </w:t>
      </w:r>
      <w:r w:rsidR="005A2FB0">
        <w:t xml:space="preserve">that allow </w:t>
      </w:r>
      <w:r>
        <w:t>customers to save energy through a variety of home improvements, as shown in</w:t>
      </w:r>
      <w:r w:rsidR="00985811">
        <w:t xml:space="preserve"> </w:t>
      </w:r>
      <w:r w:rsidR="005C2163">
        <w:fldChar w:fldCharType="begin"/>
      </w:r>
      <w:r w:rsidR="00985811">
        <w:instrText xml:space="preserve"> REF _Ref382207935 \h </w:instrText>
      </w:r>
      <w:r w:rsidR="005C2163">
        <w:fldChar w:fldCharType="separate"/>
      </w:r>
      <w:r w:rsidR="00CD20CF">
        <w:t xml:space="preserve">Table </w:t>
      </w:r>
      <w:r w:rsidR="00CD20CF">
        <w:rPr>
          <w:noProof/>
        </w:rPr>
        <w:t>10</w:t>
      </w:r>
      <w:r w:rsidR="005C2163">
        <w:fldChar w:fldCharType="end"/>
      </w:r>
      <w:r>
        <w:t>.</w:t>
      </w:r>
    </w:p>
    <w:p w:rsidR="0042756F" w:rsidRDefault="00985811" w:rsidP="00985811">
      <w:pPr>
        <w:pStyle w:val="Caption"/>
      </w:pPr>
      <w:bookmarkStart w:id="22" w:name="_Ref382207935"/>
      <w:bookmarkStart w:id="23" w:name="_Toc369073834"/>
      <w:r>
        <w:t xml:space="preserve">Table </w:t>
      </w:r>
      <w:r w:rsidR="002506E1">
        <w:fldChar w:fldCharType="begin"/>
      </w:r>
      <w:r w:rsidR="002506E1">
        <w:instrText xml:space="preserve"> SEQ Table \* ARABIC </w:instrText>
      </w:r>
      <w:r w:rsidR="002506E1">
        <w:fldChar w:fldCharType="separate"/>
      </w:r>
      <w:r w:rsidR="00CD20CF">
        <w:rPr>
          <w:noProof/>
        </w:rPr>
        <w:t>10</w:t>
      </w:r>
      <w:r w:rsidR="002506E1">
        <w:rPr>
          <w:noProof/>
        </w:rPr>
        <w:fldChar w:fldCharType="end"/>
      </w:r>
      <w:bookmarkEnd w:id="22"/>
      <w:r>
        <w:t xml:space="preserve">. </w:t>
      </w:r>
      <w:r w:rsidR="0042756F">
        <w:t>Overview of HES and HES-IE Measure Offerings</w:t>
      </w:r>
      <w:bookmarkEnd w:id="23"/>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98"/>
        <w:gridCol w:w="7578"/>
      </w:tblGrid>
      <w:tr w:rsidR="0042756F" w:rsidRPr="0043082A" w:rsidTr="005A2FB0">
        <w:trPr>
          <w:tblHeader/>
        </w:trPr>
        <w:tc>
          <w:tcPr>
            <w:tcW w:w="1043" w:type="pct"/>
            <w:shd w:val="clear" w:color="auto" w:fill="005DAA"/>
            <w:vAlign w:val="center"/>
            <w:hideMark/>
          </w:tcPr>
          <w:p w:rsidR="0042756F" w:rsidRPr="0043082A" w:rsidRDefault="0042756F" w:rsidP="005A2FB0">
            <w:pPr>
              <w:pStyle w:val="TableHeading-centered"/>
            </w:pPr>
            <w:r w:rsidRPr="0043082A">
              <w:t>Measure Type</w:t>
            </w:r>
          </w:p>
        </w:tc>
        <w:tc>
          <w:tcPr>
            <w:tcW w:w="3957" w:type="pct"/>
            <w:shd w:val="clear" w:color="auto" w:fill="005DAA"/>
            <w:vAlign w:val="center"/>
            <w:hideMark/>
          </w:tcPr>
          <w:p w:rsidR="0042756F" w:rsidRPr="0043082A" w:rsidRDefault="0042756F" w:rsidP="005A2FB0">
            <w:pPr>
              <w:pStyle w:val="TableHeading-centered"/>
            </w:pPr>
            <w:r w:rsidRPr="0043082A">
              <w:t>Measure</w:t>
            </w:r>
          </w:p>
        </w:tc>
      </w:tr>
      <w:tr w:rsidR="0042756F" w:rsidRPr="0043082A" w:rsidTr="005A2FB0">
        <w:tc>
          <w:tcPr>
            <w:tcW w:w="1043" w:type="pct"/>
            <w:vMerge w:val="restart"/>
            <w:shd w:val="clear" w:color="auto" w:fill="auto"/>
            <w:vAlign w:val="center"/>
            <w:hideMark/>
          </w:tcPr>
          <w:p w:rsidR="0042756F" w:rsidRPr="0043082A" w:rsidRDefault="0042756F" w:rsidP="005A2FB0">
            <w:pPr>
              <w:pStyle w:val="TableRow-left"/>
            </w:pPr>
            <w:r w:rsidRPr="0043082A">
              <w:rPr>
                <w:b/>
                <w:bCs/>
              </w:rPr>
              <w:t xml:space="preserve">Core </w:t>
            </w:r>
            <w:r w:rsidR="005A2FB0">
              <w:rPr>
                <w:b/>
                <w:bCs/>
              </w:rPr>
              <w:t>M</w:t>
            </w:r>
            <w:r w:rsidR="005A2FB0" w:rsidRPr="0043082A">
              <w:rPr>
                <w:b/>
                <w:bCs/>
              </w:rPr>
              <w:t>easures</w:t>
            </w:r>
            <w:r w:rsidR="005A2FB0" w:rsidRPr="0043082A">
              <w:t xml:space="preserve"> </w:t>
            </w:r>
            <w:r w:rsidRPr="0043082A">
              <w:t>(installed on</w:t>
            </w:r>
            <w:r w:rsidR="005A2FB0">
              <w:t>-</w:t>
            </w:r>
            <w:r w:rsidRPr="0043082A">
              <w:t>site during audit)</w:t>
            </w:r>
          </w:p>
        </w:tc>
        <w:tc>
          <w:tcPr>
            <w:tcW w:w="3957" w:type="pct"/>
            <w:shd w:val="clear" w:color="auto" w:fill="auto"/>
            <w:vAlign w:val="center"/>
            <w:hideMark/>
          </w:tcPr>
          <w:p w:rsidR="0042756F" w:rsidRPr="0043082A" w:rsidRDefault="005A2FB0" w:rsidP="005A2FB0">
            <w:pPr>
              <w:pStyle w:val="TableRow-left"/>
            </w:pPr>
            <w:r>
              <w:t>C</w:t>
            </w:r>
            <w:r w:rsidRPr="00EB4ED1">
              <w:t xml:space="preserve">ompact fluorescent light </w:t>
            </w:r>
            <w:r>
              <w:t>(</w:t>
            </w:r>
            <w:r w:rsidR="0042756F" w:rsidRPr="0043082A">
              <w:t>CFL</w:t>
            </w:r>
            <w:r>
              <w:t>)</w:t>
            </w:r>
            <w:r w:rsidR="0042756F" w:rsidRPr="0043082A">
              <w:t xml:space="preserve"> bulbs</w:t>
            </w:r>
          </w:p>
        </w:tc>
      </w:tr>
      <w:tr w:rsidR="0042756F" w:rsidRPr="0043082A" w:rsidTr="005A2FB0">
        <w:tc>
          <w:tcPr>
            <w:tcW w:w="1043" w:type="pct"/>
            <w:vMerge/>
            <w:vAlign w:val="center"/>
            <w:hideMark/>
          </w:tcPr>
          <w:p w:rsidR="0042756F" w:rsidRPr="0043082A" w:rsidRDefault="0042756F" w:rsidP="005A2FB0">
            <w:pPr>
              <w:pStyle w:val="TableRow-left"/>
            </w:pPr>
          </w:p>
        </w:tc>
        <w:tc>
          <w:tcPr>
            <w:tcW w:w="3957" w:type="pct"/>
            <w:shd w:val="clear" w:color="auto" w:fill="auto"/>
            <w:vAlign w:val="center"/>
            <w:hideMark/>
          </w:tcPr>
          <w:p w:rsidR="0042756F" w:rsidRPr="0043082A" w:rsidRDefault="0042756F" w:rsidP="005A2FB0">
            <w:pPr>
              <w:pStyle w:val="TableRow-left"/>
            </w:pPr>
            <w:r w:rsidRPr="0043082A">
              <w:rPr>
                <w:rFonts w:eastAsia="Symbol" w:cs="Symbol"/>
              </w:rPr>
              <w:t>Low-flow showerheads</w:t>
            </w:r>
          </w:p>
        </w:tc>
      </w:tr>
      <w:tr w:rsidR="0042756F" w:rsidRPr="0043082A" w:rsidTr="005A2FB0">
        <w:tc>
          <w:tcPr>
            <w:tcW w:w="1043" w:type="pct"/>
            <w:vMerge/>
            <w:vAlign w:val="center"/>
            <w:hideMark/>
          </w:tcPr>
          <w:p w:rsidR="0042756F" w:rsidRPr="0043082A" w:rsidRDefault="0042756F" w:rsidP="005A2FB0">
            <w:pPr>
              <w:pStyle w:val="TableRow-left"/>
            </w:pPr>
          </w:p>
        </w:tc>
        <w:tc>
          <w:tcPr>
            <w:tcW w:w="3957" w:type="pct"/>
            <w:shd w:val="clear" w:color="auto" w:fill="auto"/>
            <w:vAlign w:val="center"/>
            <w:hideMark/>
          </w:tcPr>
          <w:p w:rsidR="0042756F" w:rsidRPr="0043082A" w:rsidRDefault="0042756F" w:rsidP="005A2FB0">
            <w:pPr>
              <w:pStyle w:val="TableRow-left"/>
            </w:pPr>
            <w:r w:rsidRPr="0043082A">
              <w:rPr>
                <w:rFonts w:eastAsia="Symbol" w:cs="Symbol"/>
              </w:rPr>
              <w:t>Low-flow faucet aerators</w:t>
            </w:r>
          </w:p>
        </w:tc>
      </w:tr>
      <w:tr w:rsidR="0042756F" w:rsidRPr="0043082A" w:rsidTr="005A2FB0">
        <w:tc>
          <w:tcPr>
            <w:tcW w:w="1043" w:type="pct"/>
            <w:vMerge/>
            <w:vAlign w:val="center"/>
            <w:hideMark/>
          </w:tcPr>
          <w:p w:rsidR="0042756F" w:rsidRPr="0043082A" w:rsidRDefault="0042756F" w:rsidP="005A2FB0">
            <w:pPr>
              <w:pStyle w:val="TableRow-left"/>
            </w:pPr>
          </w:p>
        </w:tc>
        <w:tc>
          <w:tcPr>
            <w:tcW w:w="3957" w:type="pct"/>
            <w:shd w:val="clear" w:color="auto" w:fill="auto"/>
            <w:vAlign w:val="center"/>
            <w:hideMark/>
          </w:tcPr>
          <w:p w:rsidR="0042756F" w:rsidRPr="0043082A" w:rsidRDefault="0042756F" w:rsidP="005A2FB0">
            <w:pPr>
              <w:pStyle w:val="TableRow-left"/>
            </w:pPr>
            <w:r w:rsidRPr="0043082A">
              <w:t>Air and duct sealing</w:t>
            </w:r>
          </w:p>
        </w:tc>
      </w:tr>
      <w:tr w:rsidR="0042756F" w:rsidRPr="0043082A" w:rsidTr="005A2FB0">
        <w:tc>
          <w:tcPr>
            <w:tcW w:w="1043" w:type="pct"/>
            <w:vMerge w:val="restart"/>
            <w:shd w:val="clear" w:color="auto" w:fill="auto"/>
            <w:vAlign w:val="center"/>
            <w:hideMark/>
          </w:tcPr>
          <w:p w:rsidR="0042756F" w:rsidRPr="0043082A" w:rsidRDefault="0042756F" w:rsidP="005A2FB0">
            <w:pPr>
              <w:pStyle w:val="TableRow-left"/>
              <w:pageBreakBefore/>
            </w:pPr>
            <w:r w:rsidRPr="0043082A">
              <w:rPr>
                <w:b/>
                <w:bCs/>
              </w:rPr>
              <w:lastRenderedPageBreak/>
              <w:t xml:space="preserve">Additional </w:t>
            </w:r>
            <w:r w:rsidR="005A2FB0">
              <w:rPr>
                <w:b/>
                <w:bCs/>
              </w:rPr>
              <w:t>M</w:t>
            </w:r>
            <w:r w:rsidR="005A2FB0" w:rsidRPr="0043082A">
              <w:rPr>
                <w:b/>
                <w:bCs/>
              </w:rPr>
              <w:t>easures</w:t>
            </w:r>
            <w:r w:rsidR="005A2FB0" w:rsidRPr="0043082A">
              <w:t xml:space="preserve"> </w:t>
            </w:r>
            <w:r w:rsidRPr="0043082A">
              <w:t>(recommended based on audit results)</w:t>
            </w:r>
          </w:p>
        </w:tc>
        <w:tc>
          <w:tcPr>
            <w:tcW w:w="3957" w:type="pct"/>
            <w:shd w:val="clear" w:color="auto" w:fill="auto"/>
            <w:vAlign w:val="center"/>
            <w:hideMark/>
          </w:tcPr>
          <w:p w:rsidR="0042756F" w:rsidRPr="0043082A" w:rsidRDefault="0042756F" w:rsidP="005A2FB0">
            <w:pPr>
              <w:pStyle w:val="TableRow-left"/>
            </w:pPr>
            <w:r w:rsidRPr="0043082A">
              <w:rPr>
                <w:b/>
                <w:bCs/>
              </w:rPr>
              <w:t>Appliance replacement</w:t>
            </w:r>
            <w:r w:rsidR="005A2FB0">
              <w:rPr>
                <w:b/>
                <w:bCs/>
              </w:rPr>
              <w:t>s</w:t>
            </w:r>
            <w:r w:rsidRPr="0043082A">
              <w:t xml:space="preserve"> (including refrigerators, freezers, clothes washers [HES only], dehumidifiers [HES only], room </w:t>
            </w:r>
            <w:r w:rsidR="005A2FB0">
              <w:t xml:space="preserve">air conditioning </w:t>
            </w:r>
            <w:r w:rsidR="00325C62">
              <w:t>[AC]</w:t>
            </w:r>
            <w:r w:rsidRPr="0043082A">
              <w:t>units [HES-IE only])</w:t>
            </w:r>
          </w:p>
        </w:tc>
      </w:tr>
      <w:tr w:rsidR="0042756F" w:rsidRPr="0043082A" w:rsidTr="005A2FB0">
        <w:tc>
          <w:tcPr>
            <w:tcW w:w="1043" w:type="pct"/>
            <w:vMerge/>
            <w:vAlign w:val="center"/>
            <w:hideMark/>
          </w:tcPr>
          <w:p w:rsidR="0042756F" w:rsidRPr="0043082A" w:rsidRDefault="0042756F" w:rsidP="005A2FB0">
            <w:pPr>
              <w:spacing w:after="0"/>
              <w:rPr>
                <w:rFonts w:ascii="Calibri" w:eastAsia="Times New Roman" w:hAnsi="Calibri" w:cs="Times New Roman"/>
                <w:color w:val="000000"/>
                <w:sz w:val="20"/>
                <w:szCs w:val="20"/>
              </w:rPr>
            </w:pPr>
          </w:p>
        </w:tc>
        <w:tc>
          <w:tcPr>
            <w:tcW w:w="3957" w:type="pct"/>
            <w:shd w:val="clear" w:color="auto" w:fill="auto"/>
            <w:vAlign w:val="center"/>
            <w:hideMark/>
          </w:tcPr>
          <w:p w:rsidR="0042756F" w:rsidRPr="0043082A" w:rsidRDefault="0042756F" w:rsidP="00325C62">
            <w:pPr>
              <w:pStyle w:val="TableRow-left"/>
            </w:pPr>
            <w:r w:rsidRPr="0043082A">
              <w:rPr>
                <w:b/>
                <w:bCs/>
              </w:rPr>
              <w:t>Shell measures</w:t>
            </w:r>
            <w:r w:rsidRPr="0043082A">
              <w:t xml:space="preserve"> (including attic and wall</w:t>
            </w:r>
            <w:r w:rsidR="00325C62">
              <w:t>;</w:t>
            </w:r>
            <w:r w:rsidRPr="0043082A">
              <w:t xml:space="preserve"> window replacement</w:t>
            </w:r>
            <w:r w:rsidR="005A2FB0">
              <w:t>s</w:t>
            </w:r>
            <w:r w:rsidRPr="0043082A">
              <w:t xml:space="preserve">) </w:t>
            </w:r>
          </w:p>
        </w:tc>
      </w:tr>
      <w:tr w:rsidR="0042756F" w:rsidRPr="0043082A" w:rsidTr="005A2FB0">
        <w:tc>
          <w:tcPr>
            <w:tcW w:w="1043" w:type="pct"/>
            <w:vMerge/>
            <w:vAlign w:val="center"/>
            <w:hideMark/>
          </w:tcPr>
          <w:p w:rsidR="0042756F" w:rsidRPr="0043082A" w:rsidRDefault="0042756F" w:rsidP="005A2FB0">
            <w:pPr>
              <w:spacing w:after="0"/>
              <w:rPr>
                <w:rFonts w:ascii="Calibri" w:eastAsia="Times New Roman" w:hAnsi="Calibri" w:cs="Times New Roman"/>
                <w:color w:val="000000"/>
                <w:sz w:val="20"/>
                <w:szCs w:val="20"/>
              </w:rPr>
            </w:pPr>
          </w:p>
        </w:tc>
        <w:tc>
          <w:tcPr>
            <w:tcW w:w="3957" w:type="pct"/>
            <w:shd w:val="clear" w:color="auto" w:fill="auto"/>
            <w:vAlign w:val="center"/>
            <w:hideMark/>
          </w:tcPr>
          <w:p w:rsidR="0042756F" w:rsidRPr="0043082A" w:rsidRDefault="0042756F" w:rsidP="005A2FB0">
            <w:pPr>
              <w:pStyle w:val="TableRow-left"/>
            </w:pPr>
            <w:r w:rsidRPr="0043082A">
              <w:rPr>
                <w:b/>
                <w:bCs/>
              </w:rPr>
              <w:t>HVAC equipment</w:t>
            </w:r>
            <w:r w:rsidRPr="0043082A">
              <w:t xml:space="preserve"> (including central AC units, heat pumps, ductless mini-splits)</w:t>
            </w:r>
          </w:p>
        </w:tc>
      </w:tr>
      <w:tr w:rsidR="0042756F" w:rsidRPr="0043082A" w:rsidTr="005A2FB0">
        <w:tc>
          <w:tcPr>
            <w:tcW w:w="1043" w:type="pct"/>
            <w:vMerge/>
            <w:vAlign w:val="center"/>
            <w:hideMark/>
          </w:tcPr>
          <w:p w:rsidR="0042756F" w:rsidRPr="0043082A" w:rsidRDefault="0042756F" w:rsidP="005A2FB0">
            <w:pPr>
              <w:spacing w:after="0"/>
              <w:rPr>
                <w:rFonts w:ascii="Calibri" w:eastAsia="Times New Roman" w:hAnsi="Calibri" w:cs="Times New Roman"/>
                <w:color w:val="000000"/>
                <w:sz w:val="20"/>
                <w:szCs w:val="20"/>
              </w:rPr>
            </w:pPr>
          </w:p>
        </w:tc>
        <w:tc>
          <w:tcPr>
            <w:tcW w:w="3957" w:type="pct"/>
            <w:shd w:val="clear" w:color="auto" w:fill="auto"/>
            <w:vAlign w:val="center"/>
            <w:hideMark/>
          </w:tcPr>
          <w:p w:rsidR="0042756F" w:rsidRPr="0043082A" w:rsidRDefault="0042756F" w:rsidP="00D1609B">
            <w:pPr>
              <w:pStyle w:val="TableRow-left"/>
            </w:pPr>
            <w:r w:rsidRPr="0043082A">
              <w:rPr>
                <w:b/>
                <w:bCs/>
              </w:rPr>
              <w:t>Water heater replacement</w:t>
            </w:r>
            <w:r w:rsidRPr="0043082A">
              <w:t xml:space="preserve"> </w:t>
            </w:r>
          </w:p>
        </w:tc>
      </w:tr>
    </w:tbl>
    <w:p w:rsidR="0042756F" w:rsidRDefault="0042756F" w:rsidP="002E4BC5">
      <w:pPr>
        <w:pStyle w:val="NormalAfterTablesandFigures"/>
      </w:pPr>
    </w:p>
    <w:p w:rsidR="0042756F" w:rsidRPr="00E716B9" w:rsidRDefault="00325C62" w:rsidP="0042756F">
      <w:r>
        <w:t xml:space="preserve">CL&amp;P’s </w:t>
      </w:r>
      <w:r w:rsidR="002E0D8A">
        <w:t xml:space="preserve">HES-IE program </w:t>
      </w:r>
      <w:r>
        <w:t xml:space="preserve">includes </w:t>
      </w:r>
      <w:r w:rsidR="002E0D8A">
        <w:t>four components or</w:t>
      </w:r>
      <w:r w:rsidR="0042756F" w:rsidRPr="00E716B9">
        <w:t xml:space="preserve"> subprograms</w:t>
      </w:r>
      <w:r w:rsidR="00E7041D">
        <w:t xml:space="preserve"> </w:t>
      </w:r>
      <w:r w:rsidR="00130B9B">
        <w:t>(SPs)</w:t>
      </w:r>
      <w:r w:rsidR="004A4FD5">
        <w:t>,</w:t>
      </w:r>
      <w:r w:rsidR="002E0D8A">
        <w:t xml:space="preserve"> </w:t>
      </w:r>
      <w:r w:rsidR="00EF09E9" w:rsidRPr="00E716B9">
        <w:t xml:space="preserve">as </w:t>
      </w:r>
      <w:r w:rsidR="0042756F" w:rsidRPr="00E716B9">
        <w:t xml:space="preserve">outlined in </w:t>
      </w:r>
      <w:r w:rsidR="002506E1">
        <w:fldChar w:fldCharType="begin"/>
      </w:r>
      <w:r w:rsidR="002506E1">
        <w:instrText xml:space="preserve"> REF _Ref382207936 \h  \* MERGEFORMAT </w:instrText>
      </w:r>
      <w:r w:rsidR="002506E1">
        <w:fldChar w:fldCharType="separate"/>
      </w:r>
      <w:r w:rsidR="00CD20CF" w:rsidRPr="00E716B9">
        <w:t xml:space="preserve">Table </w:t>
      </w:r>
      <w:r w:rsidR="00CD20CF">
        <w:rPr>
          <w:noProof/>
        </w:rPr>
        <w:t>11</w:t>
      </w:r>
      <w:r w:rsidR="002506E1">
        <w:fldChar w:fldCharType="end"/>
      </w:r>
      <w:r w:rsidR="0042756F" w:rsidRPr="00E716B9">
        <w:t xml:space="preserve">. </w:t>
      </w:r>
      <w:r>
        <w:t xml:space="preserve">UI’s </w:t>
      </w:r>
      <w:r>
        <w:br/>
      </w:r>
      <w:r w:rsidR="002E0D8A">
        <w:t xml:space="preserve">HES-IE program </w:t>
      </w:r>
      <w:r w:rsidR="00E760E4">
        <w:t xml:space="preserve">also </w:t>
      </w:r>
      <w:r w:rsidR="002E0D8A">
        <w:t>collaborates</w:t>
      </w:r>
      <w:r w:rsidR="00E760E4">
        <w:t xml:space="preserve"> with </w:t>
      </w:r>
      <w:r w:rsidR="002E0D8A">
        <w:t xml:space="preserve">the </w:t>
      </w:r>
      <w:r w:rsidR="00E760E4">
        <w:t>Weatherization Assistance Program (WAP)</w:t>
      </w:r>
      <w:r>
        <w:t xml:space="preserve"> in a manner</w:t>
      </w:r>
      <w:r w:rsidR="002E0D8A">
        <w:t xml:space="preserve"> </w:t>
      </w:r>
      <w:r w:rsidR="00E760E4">
        <w:t xml:space="preserve">similar to </w:t>
      </w:r>
      <w:r w:rsidR="00DA28A8">
        <w:t>SP</w:t>
      </w:r>
      <w:r w:rsidR="00E760E4">
        <w:t xml:space="preserve">1 for CL&amp;P, but UI does not </w:t>
      </w:r>
      <w:r>
        <w:t>utilize</w:t>
      </w:r>
      <w:r w:rsidR="00E760E4">
        <w:t xml:space="preserve"> the same subprogram structure as CL&amp;P.</w:t>
      </w:r>
    </w:p>
    <w:p w:rsidR="0042756F" w:rsidRPr="00E716B9" w:rsidRDefault="00985811" w:rsidP="00985811">
      <w:pPr>
        <w:pStyle w:val="Caption"/>
      </w:pPr>
      <w:bookmarkStart w:id="24" w:name="_Ref382207936"/>
      <w:bookmarkStart w:id="25" w:name="_Toc369073835"/>
      <w:r w:rsidRPr="00E716B9">
        <w:t xml:space="preserve">Table </w:t>
      </w:r>
      <w:r w:rsidR="002506E1">
        <w:fldChar w:fldCharType="begin"/>
      </w:r>
      <w:r w:rsidR="002506E1">
        <w:instrText xml:space="preserve"> SEQ Table \* ARABIC </w:instrText>
      </w:r>
      <w:r w:rsidR="002506E1">
        <w:fldChar w:fldCharType="separate"/>
      </w:r>
      <w:r w:rsidR="00CD20CF">
        <w:rPr>
          <w:noProof/>
        </w:rPr>
        <w:t>11</w:t>
      </w:r>
      <w:r w:rsidR="002506E1">
        <w:rPr>
          <w:noProof/>
        </w:rPr>
        <w:fldChar w:fldCharType="end"/>
      </w:r>
      <w:bookmarkEnd w:id="24"/>
      <w:r w:rsidRPr="00E716B9">
        <w:t>.</w:t>
      </w:r>
      <w:r w:rsidR="0042756F" w:rsidRPr="00E716B9">
        <w:t xml:space="preserve"> Overview of </w:t>
      </w:r>
      <w:r w:rsidR="00E716B9" w:rsidRPr="00E716B9">
        <w:t xml:space="preserve">CL&amp;P </w:t>
      </w:r>
      <w:r w:rsidR="0042756F" w:rsidRPr="00E716B9">
        <w:t>HES-IE Sub</w:t>
      </w:r>
      <w:r w:rsidR="00AE646B" w:rsidRPr="00E716B9">
        <w:t>p</w:t>
      </w:r>
      <w:r w:rsidR="0042756F" w:rsidRPr="00E716B9">
        <w:t>rograms</w:t>
      </w:r>
      <w:bookmarkEnd w:id="25"/>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091"/>
        <w:gridCol w:w="6485"/>
      </w:tblGrid>
      <w:tr w:rsidR="0042756F" w:rsidRPr="00E716B9" w:rsidTr="00852EAD">
        <w:tc>
          <w:tcPr>
            <w:tcW w:w="1614" w:type="pct"/>
            <w:shd w:val="clear" w:color="000000" w:fill="005DAA"/>
            <w:vAlign w:val="center"/>
            <w:hideMark/>
          </w:tcPr>
          <w:p w:rsidR="0042756F" w:rsidRPr="00E716B9" w:rsidRDefault="0042756F" w:rsidP="007A1CBE">
            <w:pPr>
              <w:pStyle w:val="TableHeading-centered"/>
              <w:keepNext/>
              <w:keepLines/>
            </w:pPr>
            <w:r w:rsidRPr="00E716B9">
              <w:t>HES-IE Component</w:t>
            </w:r>
          </w:p>
        </w:tc>
        <w:tc>
          <w:tcPr>
            <w:tcW w:w="3386" w:type="pct"/>
            <w:shd w:val="clear" w:color="000000" w:fill="005DAA"/>
            <w:vAlign w:val="center"/>
            <w:hideMark/>
          </w:tcPr>
          <w:p w:rsidR="0042756F" w:rsidRPr="00E716B9" w:rsidRDefault="0042756F" w:rsidP="007A1CBE">
            <w:pPr>
              <w:pStyle w:val="TableHeading-centered"/>
              <w:keepNext/>
              <w:keepLines/>
            </w:pPr>
            <w:r w:rsidRPr="00E716B9">
              <w:t>Description</w:t>
            </w:r>
          </w:p>
        </w:tc>
      </w:tr>
      <w:tr w:rsidR="0042756F" w:rsidRPr="00E716B9" w:rsidTr="00852EAD">
        <w:tc>
          <w:tcPr>
            <w:tcW w:w="1614" w:type="pct"/>
            <w:shd w:val="clear" w:color="auto" w:fill="auto"/>
            <w:vAlign w:val="center"/>
            <w:hideMark/>
          </w:tcPr>
          <w:p w:rsidR="0042756F" w:rsidRPr="00E716B9" w:rsidRDefault="00130B9B" w:rsidP="00325C62">
            <w:pPr>
              <w:pStyle w:val="TableRow-left"/>
              <w:keepNext/>
              <w:keepLines/>
            </w:pPr>
            <w:r>
              <w:t>SP</w:t>
            </w:r>
            <w:r w:rsidR="0042756F" w:rsidRPr="00E716B9">
              <w:t>1: Weatherization Projects/</w:t>
            </w:r>
            <w:r w:rsidR="00325C62">
              <w:t xml:space="preserve"> Department of Energy </w:t>
            </w:r>
            <w:r w:rsidR="000E2125">
              <w:t xml:space="preserve">(DOE) </w:t>
            </w:r>
            <w:r w:rsidR="0042756F" w:rsidRPr="00E716B9">
              <w:t>Approved Jobs</w:t>
            </w:r>
            <w:r w:rsidR="0042756F" w:rsidRPr="00325C62">
              <w:t>*</w:t>
            </w:r>
          </w:p>
        </w:tc>
        <w:tc>
          <w:tcPr>
            <w:tcW w:w="3386" w:type="pct"/>
            <w:shd w:val="clear" w:color="auto" w:fill="auto"/>
            <w:vAlign w:val="center"/>
            <w:hideMark/>
          </w:tcPr>
          <w:p w:rsidR="0042756F" w:rsidRPr="00E716B9" w:rsidRDefault="0042756F" w:rsidP="004362A1">
            <w:pPr>
              <w:pStyle w:val="TableRow-left"/>
              <w:keepNext/>
              <w:keepLines/>
              <w:rPr>
                <w:rFonts w:ascii="Calibri" w:eastAsia="Times New Roman" w:hAnsi="Calibri" w:cs="Times New Roman"/>
                <w:color w:val="000000"/>
                <w:szCs w:val="20"/>
              </w:rPr>
            </w:pPr>
            <w:r w:rsidRPr="00E716B9">
              <w:rPr>
                <w:rFonts w:ascii="Calibri" w:eastAsia="Times New Roman" w:hAnsi="Calibri" w:cs="Times New Roman"/>
                <w:color w:val="000000"/>
                <w:szCs w:val="20"/>
              </w:rPr>
              <w:t>Utility-leveraged weatherization projects</w:t>
            </w:r>
            <w:r w:rsidR="00325C62">
              <w:rPr>
                <w:rFonts w:ascii="Calibri" w:eastAsia="Times New Roman" w:hAnsi="Calibri" w:cs="Times New Roman"/>
                <w:color w:val="000000"/>
                <w:szCs w:val="20"/>
              </w:rPr>
              <w:t>,</w:t>
            </w:r>
            <w:r w:rsidRPr="00E716B9">
              <w:rPr>
                <w:rFonts w:ascii="Calibri" w:eastAsia="Times New Roman" w:hAnsi="Calibri" w:cs="Times New Roman"/>
                <w:color w:val="000000"/>
                <w:szCs w:val="20"/>
              </w:rPr>
              <w:t xml:space="preserve"> implemented by agency networks </w:t>
            </w:r>
            <w:r w:rsidR="008915B6" w:rsidRPr="00E716B9">
              <w:rPr>
                <w:rFonts w:ascii="Calibri" w:eastAsia="Times New Roman" w:hAnsi="Calibri" w:cs="Times New Roman"/>
                <w:color w:val="000000"/>
                <w:szCs w:val="20"/>
              </w:rPr>
              <w:t xml:space="preserve">that </w:t>
            </w:r>
            <w:r w:rsidRPr="00E716B9">
              <w:rPr>
                <w:rFonts w:ascii="Calibri" w:eastAsia="Times New Roman" w:hAnsi="Calibri" w:cs="Times New Roman"/>
                <w:color w:val="000000"/>
                <w:szCs w:val="20"/>
              </w:rPr>
              <w:t xml:space="preserve">deliver </w:t>
            </w:r>
            <w:r w:rsidR="00EF09E9" w:rsidRPr="00E716B9">
              <w:rPr>
                <w:rFonts w:ascii="Calibri" w:eastAsia="Times New Roman" w:hAnsi="Calibri" w:cs="Times New Roman"/>
                <w:color w:val="000000"/>
                <w:szCs w:val="20"/>
              </w:rPr>
              <w:t xml:space="preserve">the </w:t>
            </w:r>
            <w:r w:rsidRPr="00E716B9">
              <w:rPr>
                <w:rFonts w:ascii="Calibri" w:eastAsia="Times New Roman" w:hAnsi="Calibri" w:cs="Times New Roman"/>
                <w:color w:val="000000"/>
                <w:szCs w:val="20"/>
              </w:rPr>
              <w:t>federally</w:t>
            </w:r>
            <w:r w:rsidR="00EF09E9" w:rsidRPr="00E716B9">
              <w:rPr>
                <w:rFonts w:ascii="Calibri" w:eastAsia="Times New Roman" w:hAnsi="Calibri" w:cs="Times New Roman"/>
                <w:color w:val="000000"/>
                <w:szCs w:val="20"/>
              </w:rPr>
              <w:t xml:space="preserve"> </w:t>
            </w:r>
            <w:r w:rsidRPr="00E716B9">
              <w:rPr>
                <w:rFonts w:ascii="Calibri" w:eastAsia="Times New Roman" w:hAnsi="Calibri" w:cs="Times New Roman"/>
                <w:color w:val="000000"/>
                <w:szCs w:val="20"/>
              </w:rPr>
              <w:t xml:space="preserve">funded </w:t>
            </w:r>
            <w:r w:rsidR="004362A1">
              <w:rPr>
                <w:rFonts w:ascii="Calibri" w:eastAsia="Times New Roman" w:hAnsi="Calibri" w:cs="Times New Roman"/>
                <w:color w:val="000000"/>
                <w:szCs w:val="20"/>
              </w:rPr>
              <w:t>WAP</w:t>
            </w:r>
            <w:r w:rsidR="00325C62">
              <w:rPr>
                <w:rFonts w:ascii="Calibri" w:eastAsia="Times New Roman" w:hAnsi="Calibri" w:cs="Times New Roman"/>
                <w:color w:val="000000"/>
                <w:szCs w:val="20"/>
              </w:rPr>
              <w:t>.</w:t>
            </w:r>
          </w:p>
        </w:tc>
      </w:tr>
      <w:tr w:rsidR="0042756F" w:rsidRPr="00E716B9" w:rsidTr="00852EAD">
        <w:tc>
          <w:tcPr>
            <w:tcW w:w="1614" w:type="pct"/>
            <w:shd w:val="clear" w:color="auto" w:fill="auto"/>
            <w:vAlign w:val="center"/>
            <w:hideMark/>
          </w:tcPr>
          <w:p w:rsidR="0042756F" w:rsidRPr="00E716B9" w:rsidRDefault="00130B9B" w:rsidP="007A1CBE">
            <w:pPr>
              <w:pStyle w:val="TableRow-left"/>
              <w:keepNext/>
              <w:keepLines/>
              <w:rPr>
                <w:rFonts w:ascii="Calibri" w:eastAsia="Times New Roman" w:hAnsi="Calibri" w:cs="Times New Roman"/>
                <w:color w:val="000000"/>
                <w:szCs w:val="20"/>
              </w:rPr>
            </w:pPr>
            <w:r w:rsidRPr="00E716B9">
              <w:rPr>
                <w:rFonts w:ascii="Calibri" w:eastAsia="Times New Roman" w:hAnsi="Calibri" w:cs="Times New Roman"/>
                <w:color w:val="000000"/>
                <w:szCs w:val="20"/>
              </w:rPr>
              <w:t>S</w:t>
            </w:r>
            <w:r>
              <w:rPr>
                <w:rFonts w:ascii="Calibri" w:eastAsia="Times New Roman" w:hAnsi="Calibri" w:cs="Times New Roman"/>
                <w:color w:val="000000"/>
                <w:szCs w:val="20"/>
              </w:rPr>
              <w:t>P</w:t>
            </w:r>
            <w:r w:rsidR="0042756F" w:rsidRPr="00E716B9">
              <w:rPr>
                <w:rFonts w:ascii="Calibri" w:eastAsia="Times New Roman" w:hAnsi="Calibri" w:cs="Times New Roman"/>
                <w:color w:val="000000"/>
                <w:szCs w:val="20"/>
              </w:rPr>
              <w:t>2: Individual Customer Work Orders</w:t>
            </w:r>
          </w:p>
        </w:tc>
        <w:tc>
          <w:tcPr>
            <w:tcW w:w="3386" w:type="pct"/>
            <w:shd w:val="clear" w:color="auto" w:fill="auto"/>
            <w:vAlign w:val="center"/>
            <w:hideMark/>
          </w:tcPr>
          <w:p w:rsidR="0042756F" w:rsidRPr="00E716B9" w:rsidRDefault="0042756F" w:rsidP="007A1CBE">
            <w:pPr>
              <w:pStyle w:val="TableRow-left"/>
              <w:keepNext/>
              <w:keepLines/>
              <w:rPr>
                <w:rFonts w:ascii="Calibri" w:eastAsia="Times New Roman" w:hAnsi="Calibri" w:cs="Times New Roman"/>
                <w:color w:val="000000"/>
                <w:szCs w:val="20"/>
              </w:rPr>
            </w:pPr>
            <w:r w:rsidRPr="00E716B9">
              <w:rPr>
                <w:rFonts w:ascii="Calibri" w:eastAsia="Times New Roman" w:hAnsi="Calibri" w:cs="Times New Roman"/>
                <w:color w:val="000000"/>
                <w:szCs w:val="20"/>
              </w:rPr>
              <w:t>Comprehensive audit and delivery of energy-efficiency and weatherization services</w:t>
            </w:r>
            <w:r w:rsidR="00325C62">
              <w:rPr>
                <w:rFonts w:ascii="Calibri" w:eastAsia="Times New Roman" w:hAnsi="Calibri" w:cs="Times New Roman"/>
                <w:color w:val="000000"/>
                <w:szCs w:val="20"/>
              </w:rPr>
              <w:t>.</w:t>
            </w:r>
          </w:p>
        </w:tc>
      </w:tr>
      <w:tr w:rsidR="0042756F" w:rsidRPr="00E716B9" w:rsidTr="00852EAD">
        <w:tc>
          <w:tcPr>
            <w:tcW w:w="1614" w:type="pct"/>
            <w:shd w:val="clear" w:color="auto" w:fill="auto"/>
            <w:vAlign w:val="center"/>
            <w:hideMark/>
          </w:tcPr>
          <w:p w:rsidR="0042756F" w:rsidRPr="00E716B9" w:rsidRDefault="00130B9B" w:rsidP="007A1CBE">
            <w:pPr>
              <w:pStyle w:val="TableRow-left"/>
              <w:keepNext/>
              <w:keepLines/>
              <w:rPr>
                <w:rFonts w:ascii="Calibri" w:eastAsia="Times New Roman" w:hAnsi="Calibri" w:cs="Times New Roman"/>
                <w:color w:val="000000"/>
                <w:szCs w:val="20"/>
              </w:rPr>
            </w:pPr>
            <w:r w:rsidRPr="00E716B9">
              <w:rPr>
                <w:rFonts w:ascii="Calibri" w:eastAsia="Times New Roman" w:hAnsi="Calibri" w:cs="Times New Roman"/>
                <w:color w:val="000000"/>
                <w:szCs w:val="20"/>
              </w:rPr>
              <w:t>S</w:t>
            </w:r>
            <w:r>
              <w:rPr>
                <w:rFonts w:ascii="Calibri" w:eastAsia="Times New Roman" w:hAnsi="Calibri" w:cs="Times New Roman"/>
                <w:color w:val="000000"/>
                <w:szCs w:val="20"/>
              </w:rPr>
              <w:t>P</w:t>
            </w:r>
            <w:r w:rsidR="0042756F" w:rsidRPr="00E716B9">
              <w:rPr>
                <w:rFonts w:ascii="Calibri" w:eastAsia="Times New Roman" w:hAnsi="Calibri" w:cs="Times New Roman"/>
                <w:color w:val="000000"/>
                <w:szCs w:val="20"/>
              </w:rPr>
              <w:t>3: Multifamily Comprehensive Projects</w:t>
            </w:r>
          </w:p>
        </w:tc>
        <w:tc>
          <w:tcPr>
            <w:tcW w:w="3386" w:type="pct"/>
            <w:shd w:val="clear" w:color="auto" w:fill="auto"/>
            <w:vAlign w:val="center"/>
            <w:hideMark/>
          </w:tcPr>
          <w:p w:rsidR="0042756F" w:rsidRPr="00E716B9" w:rsidRDefault="0042756F" w:rsidP="00325C62">
            <w:pPr>
              <w:pStyle w:val="TableRow-left"/>
              <w:keepNext/>
              <w:keepLines/>
              <w:rPr>
                <w:rFonts w:ascii="Calibri" w:eastAsia="Times New Roman" w:hAnsi="Calibri" w:cs="Times New Roman"/>
                <w:color w:val="000000"/>
                <w:szCs w:val="20"/>
              </w:rPr>
            </w:pPr>
            <w:r w:rsidRPr="00E716B9">
              <w:rPr>
                <w:rFonts w:ascii="Calibri" w:eastAsia="Times New Roman" w:hAnsi="Calibri" w:cs="Times New Roman"/>
                <w:color w:val="000000"/>
                <w:szCs w:val="20"/>
              </w:rPr>
              <w:t>Comprehensive audit</w:t>
            </w:r>
            <w:r w:rsidR="00325C62">
              <w:rPr>
                <w:rFonts w:ascii="Calibri" w:eastAsia="Times New Roman" w:hAnsi="Calibri" w:cs="Times New Roman"/>
                <w:color w:val="000000"/>
                <w:szCs w:val="20"/>
              </w:rPr>
              <w:t>s</w:t>
            </w:r>
            <w:r w:rsidRPr="00E716B9">
              <w:rPr>
                <w:rFonts w:ascii="Calibri" w:eastAsia="Times New Roman" w:hAnsi="Calibri" w:cs="Times New Roman"/>
                <w:color w:val="000000"/>
                <w:szCs w:val="20"/>
              </w:rPr>
              <w:t xml:space="preserve"> and delivery of energy-efficiency and weatherization services specific to multifamily buildings</w:t>
            </w:r>
            <w:r w:rsidR="00325C62">
              <w:rPr>
                <w:rFonts w:ascii="Calibri" w:eastAsia="Times New Roman" w:hAnsi="Calibri" w:cs="Times New Roman"/>
                <w:color w:val="000000"/>
                <w:szCs w:val="20"/>
              </w:rPr>
              <w:t>,</w:t>
            </w:r>
            <w:r w:rsidRPr="00E716B9">
              <w:rPr>
                <w:rFonts w:ascii="Calibri" w:eastAsia="Times New Roman" w:hAnsi="Calibri" w:cs="Times New Roman"/>
                <w:color w:val="000000"/>
                <w:szCs w:val="20"/>
              </w:rPr>
              <w:t xml:space="preserve"> </w:t>
            </w:r>
            <w:r w:rsidR="008915B6" w:rsidRPr="00E716B9">
              <w:rPr>
                <w:rFonts w:ascii="Calibri" w:eastAsia="Times New Roman" w:hAnsi="Calibri" w:cs="Times New Roman"/>
                <w:color w:val="000000"/>
                <w:szCs w:val="20"/>
              </w:rPr>
              <w:t xml:space="preserve">in which </w:t>
            </w:r>
            <w:r w:rsidRPr="00E716B9">
              <w:rPr>
                <w:rFonts w:ascii="Calibri" w:eastAsia="Times New Roman" w:hAnsi="Calibri" w:cs="Times New Roman"/>
                <w:color w:val="000000"/>
                <w:szCs w:val="20"/>
              </w:rPr>
              <w:t>75% of residents meet income qualifications</w:t>
            </w:r>
            <w:r w:rsidR="00325C62">
              <w:rPr>
                <w:rFonts w:ascii="Calibri" w:eastAsia="Times New Roman" w:hAnsi="Calibri" w:cs="Times New Roman"/>
                <w:color w:val="000000"/>
                <w:szCs w:val="20"/>
              </w:rPr>
              <w:t>.</w:t>
            </w:r>
          </w:p>
        </w:tc>
      </w:tr>
      <w:tr w:rsidR="0042756F" w:rsidRPr="00E716B9" w:rsidTr="00852EAD">
        <w:tc>
          <w:tcPr>
            <w:tcW w:w="1614" w:type="pct"/>
            <w:shd w:val="clear" w:color="auto" w:fill="auto"/>
            <w:vAlign w:val="center"/>
            <w:hideMark/>
          </w:tcPr>
          <w:p w:rsidR="0042756F" w:rsidRPr="00E716B9" w:rsidRDefault="00130B9B" w:rsidP="007A1CBE">
            <w:pPr>
              <w:pStyle w:val="TableRow-left"/>
              <w:keepNext/>
              <w:keepLines/>
              <w:rPr>
                <w:rFonts w:ascii="Calibri" w:eastAsia="Times New Roman" w:hAnsi="Calibri" w:cs="Times New Roman"/>
                <w:color w:val="000000"/>
                <w:szCs w:val="20"/>
              </w:rPr>
            </w:pPr>
            <w:r w:rsidRPr="00E716B9">
              <w:rPr>
                <w:rFonts w:ascii="Calibri" w:eastAsia="Times New Roman" w:hAnsi="Calibri" w:cs="Times New Roman"/>
                <w:color w:val="000000"/>
                <w:szCs w:val="20"/>
              </w:rPr>
              <w:t>S</w:t>
            </w:r>
            <w:r>
              <w:rPr>
                <w:rFonts w:ascii="Calibri" w:eastAsia="Times New Roman" w:hAnsi="Calibri" w:cs="Times New Roman"/>
                <w:color w:val="000000"/>
                <w:szCs w:val="20"/>
              </w:rPr>
              <w:t>P</w:t>
            </w:r>
            <w:r w:rsidR="0042756F" w:rsidRPr="00E716B9">
              <w:rPr>
                <w:rFonts w:ascii="Calibri" w:eastAsia="Times New Roman" w:hAnsi="Calibri" w:cs="Times New Roman"/>
                <w:color w:val="000000"/>
                <w:szCs w:val="20"/>
              </w:rPr>
              <w:t>4: Neighborhood Canvassing</w:t>
            </w:r>
          </w:p>
        </w:tc>
        <w:tc>
          <w:tcPr>
            <w:tcW w:w="3386" w:type="pct"/>
            <w:shd w:val="clear" w:color="auto" w:fill="auto"/>
            <w:vAlign w:val="center"/>
            <w:hideMark/>
          </w:tcPr>
          <w:p w:rsidR="0042756F" w:rsidRPr="00E716B9" w:rsidRDefault="0042756F" w:rsidP="00325C62">
            <w:pPr>
              <w:pStyle w:val="TableRow-left"/>
              <w:keepNext/>
              <w:keepLines/>
              <w:rPr>
                <w:rFonts w:ascii="Calibri" w:eastAsia="Times New Roman" w:hAnsi="Calibri" w:cs="Times New Roman"/>
                <w:color w:val="000000"/>
                <w:szCs w:val="20"/>
              </w:rPr>
            </w:pPr>
            <w:r w:rsidRPr="00E716B9">
              <w:rPr>
                <w:rFonts w:ascii="Calibri" w:eastAsia="Times New Roman" w:hAnsi="Calibri" w:cs="Times New Roman"/>
                <w:color w:val="000000"/>
                <w:szCs w:val="20"/>
              </w:rPr>
              <w:t xml:space="preserve">Neighborhoods with anticipated income-eligible customers receive door-to-door HES-IE marketing and direct-installation measures, </w:t>
            </w:r>
            <w:r w:rsidR="00325C62">
              <w:rPr>
                <w:rFonts w:ascii="Calibri" w:eastAsia="Times New Roman" w:hAnsi="Calibri" w:cs="Times New Roman"/>
                <w:color w:val="000000"/>
                <w:szCs w:val="20"/>
              </w:rPr>
              <w:t xml:space="preserve">leading to </w:t>
            </w:r>
            <w:r w:rsidRPr="00E716B9">
              <w:rPr>
                <w:rFonts w:ascii="Calibri" w:eastAsia="Times New Roman" w:hAnsi="Calibri" w:cs="Times New Roman"/>
                <w:color w:val="000000"/>
                <w:szCs w:val="20"/>
              </w:rPr>
              <w:t xml:space="preserve">participation in </w:t>
            </w:r>
            <w:r w:rsidR="00130B9B">
              <w:rPr>
                <w:rFonts w:ascii="Calibri" w:eastAsia="Times New Roman" w:hAnsi="Calibri" w:cs="Times New Roman"/>
                <w:color w:val="000000"/>
                <w:szCs w:val="20"/>
              </w:rPr>
              <w:t>SP</w:t>
            </w:r>
            <w:r w:rsidRPr="00E716B9">
              <w:rPr>
                <w:rFonts w:ascii="Calibri" w:eastAsia="Times New Roman" w:hAnsi="Calibri" w:cs="Times New Roman"/>
                <w:color w:val="000000"/>
                <w:szCs w:val="20"/>
              </w:rPr>
              <w:t>2.</w:t>
            </w:r>
          </w:p>
        </w:tc>
      </w:tr>
    </w:tbl>
    <w:p w:rsidR="0042756F" w:rsidRPr="007A1CBE" w:rsidRDefault="007A1CBE" w:rsidP="004A7E9B">
      <w:pPr>
        <w:pStyle w:val="NormalAfterTablesandFigures"/>
        <w:ind w:left="90" w:hanging="90"/>
        <w:rPr>
          <w:rFonts w:asciiTheme="minorHAnsi" w:hAnsiTheme="minorHAnsi"/>
          <w:sz w:val="20"/>
          <w:szCs w:val="20"/>
        </w:rPr>
      </w:pPr>
      <w:r w:rsidRPr="007A1CBE">
        <w:rPr>
          <w:rFonts w:asciiTheme="minorHAnsi" w:hAnsiTheme="minorHAnsi"/>
          <w:sz w:val="20"/>
          <w:szCs w:val="20"/>
        </w:rPr>
        <w:t>*Currently administered by the C</w:t>
      </w:r>
      <w:r w:rsidR="00325C62">
        <w:rPr>
          <w:rFonts w:asciiTheme="minorHAnsi" w:hAnsiTheme="minorHAnsi"/>
          <w:sz w:val="20"/>
          <w:szCs w:val="20"/>
        </w:rPr>
        <w:t xml:space="preserve">onnecticut </w:t>
      </w:r>
      <w:r w:rsidRPr="007A1CBE">
        <w:rPr>
          <w:rFonts w:asciiTheme="minorHAnsi" w:hAnsiTheme="minorHAnsi"/>
          <w:sz w:val="20"/>
          <w:szCs w:val="20"/>
        </w:rPr>
        <w:t>Department of Energy &amp; Environmental Protection</w:t>
      </w:r>
      <w:r w:rsidR="00325C62">
        <w:rPr>
          <w:rFonts w:asciiTheme="minorHAnsi" w:hAnsiTheme="minorHAnsi"/>
          <w:sz w:val="20"/>
          <w:szCs w:val="20"/>
        </w:rPr>
        <w:t>,</w:t>
      </w:r>
      <w:r w:rsidRPr="007A1CBE">
        <w:rPr>
          <w:rFonts w:asciiTheme="minorHAnsi" w:hAnsiTheme="minorHAnsi"/>
          <w:sz w:val="20"/>
          <w:szCs w:val="20"/>
        </w:rPr>
        <w:t xml:space="preserve"> but</w:t>
      </w:r>
      <w:r w:rsidR="00325C62">
        <w:rPr>
          <w:rFonts w:asciiTheme="minorHAnsi" w:hAnsiTheme="minorHAnsi"/>
          <w:sz w:val="20"/>
          <w:szCs w:val="20"/>
        </w:rPr>
        <w:t xml:space="preserve"> </w:t>
      </w:r>
      <w:r w:rsidRPr="007A1CBE">
        <w:rPr>
          <w:rFonts w:asciiTheme="minorHAnsi" w:hAnsiTheme="minorHAnsi"/>
          <w:sz w:val="20"/>
          <w:szCs w:val="20"/>
        </w:rPr>
        <w:t xml:space="preserve">previously under the jurisdiction of the </w:t>
      </w:r>
      <w:r w:rsidR="00325C62">
        <w:rPr>
          <w:rFonts w:asciiTheme="minorHAnsi" w:hAnsiTheme="minorHAnsi"/>
          <w:sz w:val="20"/>
          <w:szCs w:val="20"/>
        </w:rPr>
        <w:t xml:space="preserve">Connecticut </w:t>
      </w:r>
      <w:r w:rsidRPr="007A1CBE">
        <w:rPr>
          <w:rFonts w:asciiTheme="minorHAnsi" w:hAnsiTheme="minorHAnsi"/>
          <w:sz w:val="20"/>
          <w:szCs w:val="20"/>
        </w:rPr>
        <w:t>Department of Social Services.</w:t>
      </w:r>
    </w:p>
    <w:p w:rsidR="007A1CBE" w:rsidRPr="00E716B9" w:rsidRDefault="007A1CBE" w:rsidP="002E4BC5">
      <w:pPr>
        <w:pStyle w:val="NormalAfterTablesandFigures"/>
      </w:pPr>
    </w:p>
    <w:p w:rsidR="00B46854" w:rsidRDefault="00B46854" w:rsidP="00B46854">
      <w:pPr>
        <w:pStyle w:val="Heading2"/>
      </w:pPr>
      <w:bookmarkStart w:id="26" w:name="_Toc389663834"/>
      <w:r>
        <w:t>Report Organization</w:t>
      </w:r>
      <w:bookmarkEnd w:id="21"/>
      <w:bookmarkEnd w:id="26"/>
      <w:r>
        <w:t xml:space="preserve"> </w:t>
      </w:r>
    </w:p>
    <w:bookmarkEnd w:id="19"/>
    <w:p w:rsidR="00985CC7" w:rsidRPr="00BB1268" w:rsidRDefault="00325C62" w:rsidP="002E4BC5">
      <w:pPr>
        <w:pStyle w:val="NormalBeforeList"/>
      </w:pPr>
      <w:r>
        <w:t>T</w:t>
      </w:r>
      <w:r w:rsidR="00AF07EA" w:rsidRPr="00BB1268">
        <w:t xml:space="preserve">his report </w:t>
      </w:r>
      <w:r>
        <w:t xml:space="preserve">divides into </w:t>
      </w:r>
      <w:r w:rsidR="00AF07EA" w:rsidRPr="00BB1268">
        <w:t>the following sections:</w:t>
      </w:r>
    </w:p>
    <w:p w:rsidR="00AF07EA" w:rsidRPr="00BB1268" w:rsidRDefault="00AF07EA" w:rsidP="007A48E1">
      <w:pPr>
        <w:pStyle w:val="Bulletlevel1"/>
      </w:pPr>
      <w:r w:rsidRPr="00BB1268">
        <w:rPr>
          <w:b/>
          <w:i/>
        </w:rPr>
        <w:t>Methodology</w:t>
      </w:r>
      <w:r w:rsidRPr="00BB1268">
        <w:t>, which explains the impact</w:t>
      </w:r>
      <w:r w:rsidR="008915B6" w:rsidRPr="00BB1268">
        <w:t>-</w:t>
      </w:r>
      <w:r w:rsidRPr="00BB1268">
        <w:t xml:space="preserve">evaluation tasks, data sources, and </w:t>
      </w:r>
      <w:r w:rsidR="00325C62">
        <w:br/>
      </w:r>
      <w:r w:rsidRPr="00BB1268">
        <w:t>analytical approach</w:t>
      </w:r>
      <w:r w:rsidR="00DE4EE9" w:rsidRPr="00BB1268">
        <w:t>;</w:t>
      </w:r>
    </w:p>
    <w:p w:rsidR="00AF07EA" w:rsidRPr="00BB1268" w:rsidRDefault="00AF07EA" w:rsidP="007A48E1">
      <w:pPr>
        <w:pStyle w:val="Bulletlevel1"/>
      </w:pPr>
      <w:r w:rsidRPr="00BB1268">
        <w:rPr>
          <w:b/>
          <w:i/>
        </w:rPr>
        <w:t>Findings</w:t>
      </w:r>
      <w:r w:rsidRPr="00BB1268">
        <w:t xml:space="preserve">, which detail key impact results from evaluation activities for </w:t>
      </w:r>
      <w:r w:rsidR="008915B6" w:rsidRPr="00BB1268">
        <w:t xml:space="preserve">the </w:t>
      </w:r>
      <w:r w:rsidRPr="00BB1268">
        <w:t>HES and HES-IE program</w:t>
      </w:r>
      <w:r w:rsidR="00325C62">
        <w:t>s</w:t>
      </w:r>
      <w:r w:rsidR="00CC2F38" w:rsidRPr="00BB1268">
        <w:t xml:space="preserve">, </w:t>
      </w:r>
      <w:r w:rsidR="00BB1268">
        <w:t xml:space="preserve">at </w:t>
      </w:r>
      <w:r w:rsidR="00325C62">
        <w:t xml:space="preserve">both </w:t>
      </w:r>
      <w:r w:rsidR="00BB1268">
        <w:t>program and measure levels</w:t>
      </w:r>
      <w:r w:rsidR="00006A42">
        <w:t xml:space="preserve"> as well as results specific to whole-house billing analysis of HES-IE SP1 and SP4</w:t>
      </w:r>
      <w:r w:rsidR="0043428B">
        <w:t>;</w:t>
      </w:r>
      <w:r w:rsidR="00D1609B">
        <w:rPr>
          <w:rStyle w:val="FootnoteReference"/>
        </w:rPr>
        <w:footnoteReference w:id="6"/>
      </w:r>
      <w:r w:rsidR="00DE4EE9" w:rsidRPr="00BB1268">
        <w:t xml:space="preserve"> and</w:t>
      </w:r>
    </w:p>
    <w:p w:rsidR="00AF07EA" w:rsidRDefault="00AF07EA" w:rsidP="007A48E1">
      <w:pPr>
        <w:pStyle w:val="Bulletlevel1-last"/>
      </w:pPr>
      <w:r w:rsidRPr="00BB1268">
        <w:rPr>
          <w:b/>
          <w:i/>
        </w:rPr>
        <w:t>Appendices</w:t>
      </w:r>
      <w:r w:rsidRPr="00BB1268">
        <w:t>, which provide supplemental details regarding the impact</w:t>
      </w:r>
      <w:r w:rsidR="00C8567D" w:rsidRPr="00BB1268">
        <w:t xml:space="preserve"> </w:t>
      </w:r>
      <w:r w:rsidRPr="00BB1268">
        <w:t>evaluation methods.</w:t>
      </w:r>
    </w:p>
    <w:p w:rsidR="007A1CBE" w:rsidRPr="00BB1268" w:rsidRDefault="007A1CBE" w:rsidP="007A1CBE"/>
    <w:p w:rsidR="00061DC9" w:rsidRPr="007773ED" w:rsidRDefault="0043082A" w:rsidP="0063234A">
      <w:pPr>
        <w:pStyle w:val="Heading1"/>
      </w:pPr>
      <w:bookmarkStart w:id="27" w:name="_Ref383694348"/>
      <w:bookmarkStart w:id="28" w:name="_Toc389663835"/>
      <w:r>
        <w:lastRenderedPageBreak/>
        <w:t>Methodology</w:t>
      </w:r>
      <w:bookmarkEnd w:id="27"/>
      <w:bookmarkEnd w:id="28"/>
    </w:p>
    <w:p w:rsidR="00ED5498" w:rsidRDefault="00ED5498" w:rsidP="00ED5498">
      <w:r w:rsidRPr="00C86B3F">
        <w:t xml:space="preserve">Volume 2 of this report provides the detailed methodology associated with performing </w:t>
      </w:r>
      <w:r w:rsidR="003F3EF8">
        <w:t xml:space="preserve">a combination of analytical approaches to </w:t>
      </w:r>
      <w:r w:rsidRPr="00C86B3F">
        <w:t xml:space="preserve">estimate </w:t>
      </w:r>
      <w:r w:rsidR="001571BF">
        <w:t xml:space="preserve">the </w:t>
      </w:r>
      <w:r w:rsidR="003F3EF8">
        <w:t>measure</w:t>
      </w:r>
      <w:r w:rsidRPr="00C86B3F">
        <w:t xml:space="preserve">-level impacts of the 2011 HES and HES-IE programs. Using this approach, </w:t>
      </w:r>
      <w:r w:rsidR="001571BF">
        <w:t xml:space="preserve">the Evaluation Team estimated </w:t>
      </w:r>
      <w:r w:rsidRPr="00C86B3F">
        <w:t xml:space="preserve">electric and gas energy savings for each </w:t>
      </w:r>
      <w:r w:rsidR="003F3EF8">
        <w:t xml:space="preserve">measure and for each </w:t>
      </w:r>
      <w:r w:rsidRPr="00C86B3F">
        <w:t xml:space="preserve">program overall. </w:t>
      </w:r>
      <w:r w:rsidR="001571BF">
        <w:t>The Evaluation Team also estimated e</w:t>
      </w:r>
      <w:r w:rsidRPr="00C86B3F">
        <w:t>lectric demand and oil/propane impacts based on the evaluated energy savings.</w:t>
      </w:r>
      <w:r w:rsidR="003F3EF8">
        <w:t xml:space="preserve"> Finally, specific to HES-IE SP1 and SP4, </w:t>
      </w:r>
      <w:r w:rsidR="00AA153E">
        <w:t xml:space="preserve">the Evaluation Team used whole-house billing analysis to estimate </w:t>
      </w:r>
      <w:r w:rsidR="003F3EF8">
        <w:t xml:space="preserve">electric and gas energy savings for each subprogram. </w:t>
      </w:r>
    </w:p>
    <w:p w:rsidR="00ED5498" w:rsidRDefault="00ED5498" w:rsidP="00ED5498">
      <w:pPr>
        <w:pStyle w:val="Heading2"/>
        <w:tabs>
          <w:tab w:val="left" w:pos="2461"/>
        </w:tabs>
      </w:pPr>
      <w:bookmarkStart w:id="29" w:name="_Toc388515957"/>
      <w:bookmarkStart w:id="30" w:name="_Toc389663836"/>
      <w:r>
        <w:t xml:space="preserve">Evaluation Approach: Electric and Natural Gas </w:t>
      </w:r>
      <w:r w:rsidR="00916A55">
        <w:t xml:space="preserve">Measure-Level </w:t>
      </w:r>
      <w:r>
        <w:t>Impacts</w:t>
      </w:r>
      <w:bookmarkEnd w:id="29"/>
      <w:bookmarkEnd w:id="30"/>
    </w:p>
    <w:p w:rsidR="001571BF" w:rsidRDefault="00ED5498" w:rsidP="00A55F33">
      <w:pPr>
        <w:pStyle w:val="NormalBeforeList"/>
      </w:pPr>
      <w:r>
        <w:t>The Evaluation Team assessed gross per-unit savings generated by each HES and HES-IE measure</w:t>
      </w:r>
      <w:r w:rsidR="001571BF">
        <w:t xml:space="preserve">. These assessments used </w:t>
      </w:r>
      <w:r>
        <w:t>a combination of analytical approaches: (1) a billing analysis</w:t>
      </w:r>
      <w:r w:rsidR="001571BF">
        <w:t>;</w:t>
      </w:r>
      <w:r>
        <w:t xml:space="preserve"> and (2) an engineering analysis, including calibrated simulation modeling and </w:t>
      </w:r>
      <w:r w:rsidRPr="00C86B3F">
        <w:t xml:space="preserve">engineering algorithms. </w:t>
      </w:r>
    </w:p>
    <w:p w:rsidR="00ED5498" w:rsidRPr="00C86B3F" w:rsidRDefault="001571BF" w:rsidP="00A55F33">
      <w:pPr>
        <w:pStyle w:val="NormalBeforeList"/>
      </w:pPr>
      <w:r>
        <w:t>B</w:t>
      </w:r>
      <w:r w:rsidR="00ED5498" w:rsidRPr="00C86B3F">
        <w:t>rief description</w:t>
      </w:r>
      <w:r>
        <w:t>s</w:t>
      </w:r>
      <w:r w:rsidR="00ED5498" w:rsidRPr="00C86B3F">
        <w:t xml:space="preserve"> of each </w:t>
      </w:r>
      <w:r>
        <w:t>of these approach follows</w:t>
      </w:r>
      <w:r w:rsidR="00ED5498" w:rsidRPr="00C86B3F">
        <w:t xml:space="preserve">, </w:t>
      </w:r>
      <w:r>
        <w:t xml:space="preserve">with </w:t>
      </w:r>
      <w:r w:rsidR="00ED5498" w:rsidRPr="00C86B3F">
        <w:t xml:space="preserve">significant detail provided in </w:t>
      </w:r>
      <w:r w:rsidR="00C37680">
        <w:t xml:space="preserve">this report’s </w:t>
      </w:r>
      <w:r w:rsidR="00ED5498" w:rsidRPr="00C86B3F">
        <w:t>body and appendices:</w:t>
      </w:r>
    </w:p>
    <w:p w:rsidR="00ED5498" w:rsidRPr="00C86B3F" w:rsidRDefault="00ED5498" w:rsidP="00ED5498">
      <w:pPr>
        <w:pStyle w:val="Bulletlevel1"/>
      </w:pPr>
      <w:r w:rsidRPr="00C86B3F">
        <w:rPr>
          <w:b/>
          <w:i/>
        </w:rPr>
        <w:t xml:space="preserve">Billing Analysis. </w:t>
      </w:r>
      <w:r w:rsidRPr="00C86B3F">
        <w:t>The Evaluation Team developed fixed-effects savings regression models to estimate measure-level savings for measures installed through the HES and HES-IE programs.</w:t>
      </w:r>
      <w:r>
        <w:rPr>
          <w:rStyle w:val="FootnoteReference"/>
        </w:rPr>
        <w:footnoteReference w:id="7"/>
      </w:r>
      <w:r w:rsidRPr="00C86B3F">
        <w:t xml:space="preserve"> </w:t>
      </w:r>
      <w:r>
        <w:t xml:space="preserve">Weather-normalized models were developed </w:t>
      </w:r>
      <w:r w:rsidR="00C37680">
        <w:t xml:space="preserve">that </w:t>
      </w:r>
      <w:r>
        <w:t>incorpor</w:t>
      </w:r>
      <w:r w:rsidR="00C37680">
        <w:t>ated</w:t>
      </w:r>
      <w:r>
        <w:t xml:space="preserve"> detailed measure information from utility tracking data. </w:t>
      </w:r>
      <w:r w:rsidRPr="00C86B3F">
        <w:t xml:space="preserve">For the billing analysis, the </w:t>
      </w:r>
      <w:r>
        <w:t>Evaluat</w:t>
      </w:r>
      <w:r w:rsidR="00CF4F75">
        <w:t>ion</w:t>
      </w:r>
      <w:r>
        <w:t xml:space="preserve"> Team </w:t>
      </w:r>
      <w:r w:rsidRPr="00C86B3F">
        <w:t>utilize</w:t>
      </w:r>
      <w:r>
        <w:t>d</w:t>
      </w:r>
      <w:r w:rsidRPr="00C86B3F">
        <w:t xml:space="preserve"> a comparison group</w:t>
      </w:r>
      <w:r w:rsidR="00C37680">
        <w:t>,</w:t>
      </w:r>
      <w:r w:rsidRPr="00C86B3F">
        <w:t xml:space="preserve"> composed of future HES and HES-IE participants (</w:t>
      </w:r>
      <w:r>
        <w:t xml:space="preserve">described </w:t>
      </w:r>
      <w:r w:rsidRPr="00C86B3F">
        <w:t xml:space="preserve">in more </w:t>
      </w:r>
      <w:r>
        <w:t xml:space="preserve">detail in </w:t>
      </w:r>
      <w:r w:rsidR="00AA153E">
        <w:t xml:space="preserve">this </w:t>
      </w:r>
      <w:r w:rsidR="00C37680">
        <w:t xml:space="preserve">report’s </w:t>
      </w:r>
      <w:r>
        <w:t>Volume 1</w:t>
      </w:r>
      <w:r w:rsidRPr="00C86B3F">
        <w:t xml:space="preserve">) to test for </w:t>
      </w:r>
      <w:r>
        <w:t xml:space="preserve">exogenous effects or </w:t>
      </w:r>
      <w:r w:rsidRPr="00C86B3F">
        <w:t xml:space="preserve">macroeconomic factors that might have </w:t>
      </w:r>
      <w:r w:rsidR="00F879E9" w:rsidRPr="00C86B3F">
        <w:t>affected</w:t>
      </w:r>
      <w:r w:rsidRPr="00C86B3F">
        <w:t xml:space="preserve"> energy consumption between the pre- and post-periods. </w:t>
      </w:r>
    </w:p>
    <w:p w:rsidR="00ED5498" w:rsidRPr="00C86B3F" w:rsidRDefault="00ED5498" w:rsidP="00ED5498">
      <w:pPr>
        <w:pStyle w:val="Bulletlevel1"/>
      </w:pPr>
      <w:r w:rsidRPr="00C86B3F">
        <w:rPr>
          <w:b/>
          <w:i/>
        </w:rPr>
        <w:t>Engineering Analysis.</w:t>
      </w:r>
      <w:r w:rsidRPr="00C86B3F">
        <w:t xml:space="preserve"> The </w:t>
      </w:r>
      <w:r>
        <w:t>Evaluat</w:t>
      </w:r>
      <w:r w:rsidR="00C37680">
        <w:t>ion</w:t>
      </w:r>
      <w:r>
        <w:t xml:space="preserve"> Team </w:t>
      </w:r>
      <w:r w:rsidRPr="00C86B3F">
        <w:t>utilize</w:t>
      </w:r>
      <w:r>
        <w:t>d</w:t>
      </w:r>
      <w:r w:rsidRPr="00C86B3F">
        <w:t xml:space="preserve"> two engineering analysis approaches to estimate measure-specific savings for the most common fuel types (</w:t>
      </w:r>
      <w:r w:rsidR="00C37680">
        <w:t xml:space="preserve">e.g., </w:t>
      </w:r>
      <w:r w:rsidRPr="00C86B3F">
        <w:t xml:space="preserve">electric, natural gas, propane, and heating oil). Both engineering approaches </w:t>
      </w:r>
      <w:r>
        <w:t xml:space="preserve">relied </w:t>
      </w:r>
      <w:r w:rsidR="00C37680">
        <w:t xml:space="preserve">on </w:t>
      </w:r>
      <w:r w:rsidRPr="00C86B3F">
        <w:t xml:space="preserve">detailed measure </w:t>
      </w:r>
      <w:r>
        <w:t xml:space="preserve">information </w:t>
      </w:r>
      <w:r w:rsidRPr="00C86B3F">
        <w:t xml:space="preserve">and home characteristics </w:t>
      </w:r>
      <w:r>
        <w:t>from utility tracking data</w:t>
      </w:r>
      <w:r w:rsidR="00C37680">
        <w:t>:</w:t>
      </w:r>
    </w:p>
    <w:p w:rsidR="00ED5498" w:rsidRPr="00C86B3F" w:rsidRDefault="00ED5498" w:rsidP="00A55F33">
      <w:pPr>
        <w:pStyle w:val="Bulletlevel2"/>
      </w:pPr>
      <w:r w:rsidRPr="00C86B3F">
        <w:t>For program measures known to generate interactive effects (</w:t>
      </w:r>
      <w:r w:rsidR="00C37680">
        <w:t>e.g.,</w:t>
      </w:r>
      <w:r w:rsidR="00C37680" w:rsidRPr="00C86B3F" w:rsidDel="00C37680">
        <w:t xml:space="preserve"> </w:t>
      </w:r>
      <w:r w:rsidRPr="00C86B3F">
        <w:t>those increas</w:t>
      </w:r>
      <w:r w:rsidR="00C37680">
        <w:t>ing</w:t>
      </w:r>
      <w:r w:rsidRPr="00C86B3F">
        <w:t xml:space="preserve"> or decreas</w:t>
      </w:r>
      <w:r w:rsidR="00C37680">
        <w:t>ing</w:t>
      </w:r>
      <w:r w:rsidRPr="00C86B3F">
        <w:t xml:space="preserve"> the energy consumption of another end use</w:t>
      </w:r>
      <w:r w:rsidR="00D1609B">
        <w:t>, such as insulation</w:t>
      </w:r>
      <w:r w:rsidRPr="00C86B3F">
        <w:t xml:space="preserve">), the </w:t>
      </w:r>
      <w:r>
        <w:t xml:space="preserve">Evaluation Team </w:t>
      </w:r>
      <w:r w:rsidRPr="00C86B3F">
        <w:t>estimate</w:t>
      </w:r>
      <w:r>
        <w:t>d</w:t>
      </w:r>
      <w:r w:rsidRPr="00C86B3F">
        <w:t xml:space="preserve"> savings using a DOE-2-based simulation model, calibrated using average pre-program energy consumption of HES and HES-IE participants. </w:t>
      </w:r>
    </w:p>
    <w:p w:rsidR="00ED5498" w:rsidRPr="00C86B3F" w:rsidRDefault="00ED5498" w:rsidP="00A55F33">
      <w:pPr>
        <w:pStyle w:val="Bulletlevel2-last"/>
      </w:pPr>
      <w:r w:rsidRPr="00C86B3F">
        <w:t xml:space="preserve">For measures not typically subject to interactive effects, the </w:t>
      </w:r>
      <w:r>
        <w:t xml:space="preserve">Evaluation Team </w:t>
      </w:r>
      <w:r w:rsidRPr="00C86B3F">
        <w:t>estimate</w:t>
      </w:r>
      <w:r>
        <w:t>d</w:t>
      </w:r>
      <w:r w:rsidRPr="00C86B3F">
        <w:t xml:space="preserve"> savings using standard industry engineering algorithms.</w:t>
      </w:r>
    </w:p>
    <w:p w:rsidR="00C37680" w:rsidRDefault="00ED5498" w:rsidP="00ED5498">
      <w:r w:rsidRPr="00C86B3F">
        <w:t>The impact assessment var</w:t>
      </w:r>
      <w:r>
        <w:t>ied</w:t>
      </w:r>
      <w:r w:rsidRPr="00C86B3F">
        <w:t xml:space="preserve"> slightly per measure to calculate the most accurate savings value</w:t>
      </w:r>
      <w:r w:rsidR="00C37680">
        <w:t>s</w:t>
      </w:r>
      <w:r w:rsidRPr="00C86B3F">
        <w:t xml:space="preserve">. </w:t>
      </w:r>
      <w:r>
        <w:t>A billing analysis captured</w:t>
      </w:r>
      <w:r w:rsidRPr="00C86B3F">
        <w:t xml:space="preserve"> </w:t>
      </w:r>
      <w:r w:rsidR="00C37680">
        <w:t xml:space="preserve">participating homes’ </w:t>
      </w:r>
      <w:r w:rsidRPr="00C86B3F">
        <w:t xml:space="preserve">actual changes in energy consumption </w:t>
      </w:r>
      <w:r w:rsidR="00C37680">
        <w:t xml:space="preserve">due to </w:t>
      </w:r>
      <w:r w:rsidRPr="00C86B3F">
        <w:t>energy-</w:t>
      </w:r>
      <w:r w:rsidRPr="00C86B3F">
        <w:lastRenderedPageBreak/>
        <w:t>efficie</w:t>
      </w:r>
      <w:r>
        <w:t>ncy and behavioral improvements</w:t>
      </w:r>
      <w:r w:rsidRPr="00C86B3F">
        <w:t>.</w:t>
      </w:r>
      <w:r>
        <w:t xml:space="preserve"> </w:t>
      </w:r>
      <w:r w:rsidRPr="00C86B3F">
        <w:t xml:space="preserve">The </w:t>
      </w:r>
      <w:r w:rsidR="00C37680">
        <w:t xml:space="preserve">report includes billing analysis </w:t>
      </w:r>
      <w:r w:rsidRPr="00C86B3F">
        <w:t xml:space="preserve">measure- and fuel-specific results </w:t>
      </w:r>
      <w:r>
        <w:t xml:space="preserve">whenever </w:t>
      </w:r>
      <w:r w:rsidR="00C37680">
        <w:t xml:space="preserve">these </w:t>
      </w:r>
      <w:r>
        <w:t>met a precision threshold set at ±</w:t>
      </w:r>
      <w:r w:rsidR="00801B2D">
        <w:t>35</w:t>
      </w:r>
      <w:r>
        <w:t>% or less at the 90% confidence level</w:t>
      </w:r>
      <w:r w:rsidRPr="00C86B3F">
        <w:t>.</w:t>
      </w:r>
      <w:r w:rsidR="003C4590">
        <w:t>)</w:t>
      </w:r>
      <w:r w:rsidRPr="00C86B3F">
        <w:rPr>
          <w:rStyle w:val="FootnoteReference"/>
          <w:sz w:val="20"/>
          <w:szCs w:val="20"/>
        </w:rPr>
        <w:footnoteReference w:id="8"/>
      </w:r>
      <w:r>
        <w:t xml:space="preserve"> The </w:t>
      </w:r>
      <w:r w:rsidR="003C4590">
        <w:t>Evaluation Team</w:t>
      </w:r>
      <w:r w:rsidR="00C37680">
        <w:t xml:space="preserve"> </w:t>
      </w:r>
      <w:r>
        <w:t>derived savings for other measures using the engineering analysis.</w:t>
      </w:r>
      <w:r w:rsidR="00006A42">
        <w:rPr>
          <w:rStyle w:val="FootnoteReference"/>
        </w:rPr>
        <w:footnoteReference w:id="9"/>
      </w:r>
      <w:r>
        <w:t xml:space="preserve"> </w:t>
      </w:r>
    </w:p>
    <w:p w:rsidR="00ED5498" w:rsidRPr="00C86B3F" w:rsidRDefault="005C2163" w:rsidP="00ED5498">
      <w:r>
        <w:fldChar w:fldCharType="begin"/>
      </w:r>
      <w:r w:rsidR="00ED5498">
        <w:instrText xml:space="preserve"> REF _Ref388529636 \h </w:instrText>
      </w:r>
      <w:r>
        <w:fldChar w:fldCharType="separate"/>
      </w:r>
      <w:r w:rsidR="00CD20CF">
        <w:t xml:space="preserve">Table </w:t>
      </w:r>
      <w:r w:rsidR="00CD20CF">
        <w:rPr>
          <w:noProof/>
        </w:rPr>
        <w:t>12</w:t>
      </w:r>
      <w:r>
        <w:fldChar w:fldCharType="end"/>
      </w:r>
      <w:r w:rsidR="00ED5498">
        <w:t xml:space="preserve"> and </w:t>
      </w:r>
      <w:r>
        <w:fldChar w:fldCharType="begin"/>
      </w:r>
      <w:r w:rsidR="00ED5498">
        <w:instrText xml:space="preserve"> REF _Ref388531519 \h </w:instrText>
      </w:r>
      <w:r>
        <w:fldChar w:fldCharType="separate"/>
      </w:r>
      <w:r w:rsidR="00CD20CF">
        <w:t xml:space="preserve">Table </w:t>
      </w:r>
      <w:r w:rsidR="00CD20CF">
        <w:rPr>
          <w:noProof/>
        </w:rPr>
        <w:t>13</w:t>
      </w:r>
      <w:r>
        <w:fldChar w:fldCharType="end"/>
      </w:r>
      <w:r w:rsidR="00ED5498">
        <w:t xml:space="preserve"> specify </w:t>
      </w:r>
      <w:r w:rsidR="00C37680">
        <w:t xml:space="preserve">the </w:t>
      </w:r>
      <w:r w:rsidR="00ED5498">
        <w:t xml:space="preserve">approach used for each HES and HES-IE measure, </w:t>
      </w:r>
      <w:r w:rsidR="00C37680">
        <w:t>per</w:t>
      </w:r>
      <w:r w:rsidR="00ED5498">
        <w:t xml:space="preserve"> fuel type. The </w:t>
      </w:r>
      <w:r w:rsidR="00C37680">
        <w:t xml:space="preserve">tables also provide the </w:t>
      </w:r>
      <w:r w:rsidR="00ED5498">
        <w:t>precision associated with each billing analysis-based savings estimate.</w:t>
      </w:r>
    </w:p>
    <w:p w:rsidR="00ED5498" w:rsidRDefault="00ED5498" w:rsidP="00ED5498">
      <w:pPr>
        <w:pStyle w:val="Caption"/>
      </w:pPr>
      <w:bookmarkStart w:id="31" w:name="_Ref388529636"/>
      <w:r>
        <w:t xml:space="preserve">Table </w:t>
      </w:r>
      <w:r w:rsidR="002506E1">
        <w:fldChar w:fldCharType="begin"/>
      </w:r>
      <w:r w:rsidR="002506E1">
        <w:instrText xml:space="preserve"> SEQ Table \* ARABIC </w:instrText>
      </w:r>
      <w:r w:rsidR="002506E1">
        <w:fldChar w:fldCharType="separate"/>
      </w:r>
      <w:r w:rsidR="00CD20CF">
        <w:rPr>
          <w:noProof/>
        </w:rPr>
        <w:t>12</w:t>
      </w:r>
      <w:r w:rsidR="002506E1">
        <w:rPr>
          <w:noProof/>
        </w:rPr>
        <w:fldChar w:fldCharType="end"/>
      </w:r>
      <w:bookmarkEnd w:id="31"/>
      <w:r>
        <w:t>. Methodological Approach to Calculating Savings by Measure and Primary Fuel Type</w:t>
      </w:r>
      <w:r w:rsidR="00C37680">
        <w:t>—</w:t>
      </w:r>
      <w:r>
        <w:t xml:space="preserve">HES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170"/>
        <w:gridCol w:w="2178"/>
        <w:gridCol w:w="2070"/>
        <w:gridCol w:w="2070"/>
        <w:gridCol w:w="2088"/>
      </w:tblGrid>
      <w:tr w:rsidR="00ED5498" w:rsidRPr="00575029" w:rsidTr="00261DB6">
        <w:trPr>
          <w:tblHeader/>
        </w:trPr>
        <w:tc>
          <w:tcPr>
            <w:tcW w:w="611" w:type="pct"/>
            <w:vMerge w:val="restart"/>
            <w:shd w:val="clear" w:color="000000" w:fill="005DAA"/>
            <w:vAlign w:val="center"/>
            <w:hideMark/>
          </w:tcPr>
          <w:p w:rsidR="00ED5498" w:rsidRPr="00575029" w:rsidRDefault="00ED5498" w:rsidP="00A55F33">
            <w:pPr>
              <w:spacing w:after="0"/>
              <w:jc w:val="center"/>
              <w:rPr>
                <w:rFonts w:ascii="Calibri" w:eastAsia="Times New Roman" w:hAnsi="Calibri" w:cs="Times New Roman"/>
                <w:b/>
                <w:bCs/>
                <w:color w:val="FFFFFF"/>
              </w:rPr>
            </w:pPr>
            <w:r w:rsidRPr="00575029">
              <w:rPr>
                <w:rFonts w:ascii="Calibri" w:eastAsia="Times New Roman" w:hAnsi="Calibri" w:cs="Times New Roman"/>
                <w:b/>
                <w:bCs/>
                <w:color w:val="FFFFFF"/>
              </w:rPr>
              <w:t>Category</w:t>
            </w:r>
          </w:p>
        </w:tc>
        <w:tc>
          <w:tcPr>
            <w:tcW w:w="1137" w:type="pct"/>
            <w:vMerge w:val="restart"/>
            <w:shd w:val="clear" w:color="000000" w:fill="005DAA"/>
            <w:vAlign w:val="center"/>
            <w:hideMark/>
          </w:tcPr>
          <w:p w:rsidR="00ED5498" w:rsidRPr="00575029" w:rsidRDefault="00ED5498" w:rsidP="00A55F33">
            <w:pPr>
              <w:spacing w:after="0"/>
              <w:jc w:val="center"/>
              <w:rPr>
                <w:rFonts w:ascii="Calibri" w:eastAsia="Times New Roman" w:hAnsi="Calibri" w:cs="Times New Roman"/>
                <w:b/>
                <w:bCs/>
                <w:color w:val="FFFFFF"/>
              </w:rPr>
            </w:pPr>
            <w:r w:rsidRPr="00575029">
              <w:rPr>
                <w:rFonts w:ascii="Calibri" w:eastAsia="Times New Roman" w:hAnsi="Calibri" w:cs="Times New Roman"/>
                <w:b/>
                <w:bCs/>
                <w:color w:val="FFFFFF"/>
              </w:rPr>
              <w:t>Measure</w:t>
            </w:r>
          </w:p>
        </w:tc>
        <w:tc>
          <w:tcPr>
            <w:tcW w:w="3252" w:type="pct"/>
            <w:gridSpan w:val="3"/>
            <w:shd w:val="clear" w:color="000000" w:fill="005DAA"/>
            <w:vAlign w:val="center"/>
            <w:hideMark/>
          </w:tcPr>
          <w:p w:rsidR="00ED5498" w:rsidRPr="00575029" w:rsidRDefault="00ED5498" w:rsidP="00A55F33">
            <w:pPr>
              <w:spacing w:after="0"/>
              <w:jc w:val="center"/>
              <w:rPr>
                <w:rFonts w:ascii="Calibri" w:eastAsia="Times New Roman" w:hAnsi="Calibri" w:cs="Times New Roman"/>
                <w:b/>
                <w:bCs/>
                <w:color w:val="FFFFFF"/>
              </w:rPr>
            </w:pPr>
            <w:r w:rsidRPr="00575029">
              <w:rPr>
                <w:rFonts w:ascii="Calibri" w:eastAsia="Times New Roman" w:hAnsi="Calibri" w:cs="Times New Roman"/>
                <w:b/>
                <w:bCs/>
                <w:color w:val="FFFFFF"/>
              </w:rPr>
              <w:t>HES</w:t>
            </w:r>
          </w:p>
        </w:tc>
      </w:tr>
      <w:tr w:rsidR="00852EAD" w:rsidRPr="00575029" w:rsidTr="00261DB6">
        <w:trPr>
          <w:tblHeader/>
        </w:trPr>
        <w:tc>
          <w:tcPr>
            <w:tcW w:w="611" w:type="pct"/>
            <w:vMerge/>
            <w:vAlign w:val="center"/>
            <w:hideMark/>
          </w:tcPr>
          <w:p w:rsidR="00ED5498" w:rsidRPr="00575029" w:rsidRDefault="00ED5498" w:rsidP="00A55F33">
            <w:pPr>
              <w:spacing w:after="0"/>
              <w:jc w:val="center"/>
              <w:rPr>
                <w:rFonts w:ascii="Calibri" w:eastAsia="Times New Roman" w:hAnsi="Calibri" w:cs="Times New Roman"/>
                <w:b/>
                <w:bCs/>
                <w:color w:val="FFFFFF"/>
              </w:rPr>
            </w:pPr>
          </w:p>
        </w:tc>
        <w:tc>
          <w:tcPr>
            <w:tcW w:w="1137" w:type="pct"/>
            <w:vMerge/>
            <w:vAlign w:val="center"/>
            <w:hideMark/>
          </w:tcPr>
          <w:p w:rsidR="00ED5498" w:rsidRPr="00575029" w:rsidRDefault="00ED5498" w:rsidP="00A55F33">
            <w:pPr>
              <w:spacing w:after="0"/>
              <w:jc w:val="center"/>
              <w:rPr>
                <w:rFonts w:ascii="Calibri" w:eastAsia="Times New Roman" w:hAnsi="Calibri" w:cs="Times New Roman"/>
                <w:b/>
                <w:bCs/>
                <w:color w:val="FFFFFF"/>
              </w:rPr>
            </w:pPr>
          </w:p>
        </w:tc>
        <w:tc>
          <w:tcPr>
            <w:tcW w:w="1081" w:type="pct"/>
            <w:shd w:val="clear" w:color="000000" w:fill="005DAA"/>
            <w:vAlign w:val="center"/>
            <w:hideMark/>
          </w:tcPr>
          <w:p w:rsidR="00ED5498" w:rsidRPr="00575029" w:rsidRDefault="00ED5498" w:rsidP="00A55F33">
            <w:pPr>
              <w:spacing w:after="0"/>
              <w:jc w:val="center"/>
              <w:rPr>
                <w:rFonts w:ascii="Calibri" w:eastAsia="Times New Roman" w:hAnsi="Calibri" w:cs="Times New Roman"/>
                <w:b/>
                <w:bCs/>
                <w:color w:val="FFFFFF"/>
              </w:rPr>
            </w:pPr>
            <w:r w:rsidRPr="00575029">
              <w:rPr>
                <w:rFonts w:ascii="Calibri" w:eastAsia="Times New Roman" w:hAnsi="Calibri" w:cs="Times New Roman"/>
                <w:b/>
                <w:bCs/>
                <w:color w:val="FFFFFF"/>
              </w:rPr>
              <w:t>Electric</w:t>
            </w:r>
          </w:p>
        </w:tc>
        <w:tc>
          <w:tcPr>
            <w:tcW w:w="1081" w:type="pct"/>
            <w:shd w:val="clear" w:color="000000" w:fill="005DAA"/>
            <w:vAlign w:val="center"/>
            <w:hideMark/>
          </w:tcPr>
          <w:p w:rsidR="00ED5498" w:rsidRPr="00575029" w:rsidRDefault="00ED5498" w:rsidP="00A55F33">
            <w:pPr>
              <w:spacing w:after="0"/>
              <w:jc w:val="center"/>
              <w:rPr>
                <w:rFonts w:ascii="Calibri" w:eastAsia="Times New Roman" w:hAnsi="Calibri" w:cs="Times New Roman"/>
                <w:b/>
                <w:bCs/>
                <w:color w:val="FFFFFF"/>
              </w:rPr>
            </w:pPr>
            <w:r w:rsidRPr="00575029">
              <w:rPr>
                <w:rFonts w:ascii="Calibri" w:eastAsia="Times New Roman" w:hAnsi="Calibri" w:cs="Times New Roman"/>
                <w:b/>
                <w:bCs/>
                <w:color w:val="FFFFFF"/>
              </w:rPr>
              <w:t>Gas</w:t>
            </w:r>
          </w:p>
        </w:tc>
        <w:tc>
          <w:tcPr>
            <w:tcW w:w="1090" w:type="pct"/>
            <w:shd w:val="clear" w:color="000000" w:fill="005DAA"/>
            <w:vAlign w:val="center"/>
            <w:hideMark/>
          </w:tcPr>
          <w:p w:rsidR="00ED5498" w:rsidRPr="00575029" w:rsidRDefault="00ED5498" w:rsidP="00A55F33">
            <w:pPr>
              <w:spacing w:after="0"/>
              <w:jc w:val="center"/>
              <w:rPr>
                <w:rFonts w:ascii="Calibri" w:eastAsia="Times New Roman" w:hAnsi="Calibri" w:cs="Times New Roman"/>
                <w:b/>
                <w:bCs/>
                <w:color w:val="FFFFFF"/>
              </w:rPr>
            </w:pPr>
            <w:r w:rsidRPr="00575029">
              <w:rPr>
                <w:rFonts w:ascii="Calibri" w:eastAsia="Times New Roman" w:hAnsi="Calibri" w:cs="Times New Roman"/>
                <w:b/>
                <w:bCs/>
                <w:color w:val="FFFFFF"/>
              </w:rPr>
              <w:t>Oil/Propane</w:t>
            </w:r>
          </w:p>
        </w:tc>
      </w:tr>
      <w:tr w:rsidR="00852EAD" w:rsidRPr="00575029" w:rsidTr="00852EAD">
        <w:tc>
          <w:tcPr>
            <w:tcW w:w="611" w:type="pct"/>
            <w:vMerge w:val="restart"/>
            <w:shd w:val="clear" w:color="auto" w:fill="auto"/>
            <w:vAlign w:val="center"/>
            <w:hideMark/>
          </w:tcPr>
          <w:p w:rsidR="00C37680" w:rsidRPr="00575029" w:rsidRDefault="00C37680"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Appliance</w:t>
            </w:r>
          </w:p>
        </w:tc>
        <w:tc>
          <w:tcPr>
            <w:tcW w:w="1137" w:type="pct"/>
            <w:shd w:val="clear" w:color="auto" w:fill="auto"/>
            <w:vAlign w:val="center"/>
            <w:hideMark/>
          </w:tcPr>
          <w:p w:rsidR="00C37680" w:rsidRPr="00575029" w:rsidRDefault="00C37680"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Clothes Washer</w:t>
            </w:r>
          </w:p>
        </w:tc>
        <w:tc>
          <w:tcPr>
            <w:tcW w:w="1081"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81"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90"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sidRPr="00AC4A51">
              <w:rPr>
                <w:rFonts w:ascii="Calibri" w:eastAsia="Times New Roman" w:hAnsi="Calibri" w:cs="Times New Roman"/>
                <w:color w:val="000000"/>
                <w:sz w:val="20"/>
                <w:szCs w:val="20"/>
              </w:rPr>
              <w:t>–</w:t>
            </w:r>
          </w:p>
        </w:tc>
      </w:tr>
      <w:tr w:rsidR="00852EAD" w:rsidRPr="00575029" w:rsidTr="00852EAD">
        <w:tc>
          <w:tcPr>
            <w:tcW w:w="611" w:type="pct"/>
            <w:vMerge/>
            <w:vAlign w:val="center"/>
            <w:hideMark/>
          </w:tcPr>
          <w:p w:rsidR="00C37680" w:rsidRPr="00575029" w:rsidRDefault="00C37680" w:rsidP="00A55F33">
            <w:pPr>
              <w:spacing w:after="0"/>
              <w:rPr>
                <w:rFonts w:ascii="Calibri" w:eastAsia="Times New Roman" w:hAnsi="Calibri" w:cs="Times New Roman"/>
                <w:color w:val="000000"/>
                <w:sz w:val="20"/>
                <w:szCs w:val="20"/>
              </w:rPr>
            </w:pPr>
          </w:p>
        </w:tc>
        <w:tc>
          <w:tcPr>
            <w:tcW w:w="1137" w:type="pct"/>
            <w:shd w:val="clear" w:color="auto" w:fill="auto"/>
            <w:vAlign w:val="center"/>
            <w:hideMark/>
          </w:tcPr>
          <w:p w:rsidR="00C37680" w:rsidRPr="00575029" w:rsidRDefault="00C37680"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Dehumidifier</w:t>
            </w:r>
          </w:p>
        </w:tc>
        <w:tc>
          <w:tcPr>
            <w:tcW w:w="1081"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81"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1090"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sidRPr="00AC4A51">
              <w:rPr>
                <w:rFonts w:ascii="Calibri" w:eastAsia="Times New Roman" w:hAnsi="Calibri" w:cs="Times New Roman"/>
                <w:color w:val="000000"/>
                <w:sz w:val="20"/>
                <w:szCs w:val="20"/>
              </w:rPr>
              <w:t>–</w:t>
            </w:r>
          </w:p>
        </w:tc>
      </w:tr>
      <w:tr w:rsidR="00852EAD" w:rsidRPr="00575029" w:rsidTr="00852EAD">
        <w:tc>
          <w:tcPr>
            <w:tcW w:w="611" w:type="pct"/>
            <w:vMerge/>
            <w:vAlign w:val="center"/>
            <w:hideMark/>
          </w:tcPr>
          <w:p w:rsidR="00C37680" w:rsidRPr="00575029" w:rsidRDefault="00C37680" w:rsidP="00A55F33">
            <w:pPr>
              <w:spacing w:after="0"/>
              <w:rPr>
                <w:rFonts w:ascii="Calibri" w:eastAsia="Times New Roman" w:hAnsi="Calibri" w:cs="Times New Roman"/>
                <w:color w:val="000000"/>
                <w:sz w:val="20"/>
                <w:szCs w:val="20"/>
              </w:rPr>
            </w:pPr>
          </w:p>
        </w:tc>
        <w:tc>
          <w:tcPr>
            <w:tcW w:w="1137" w:type="pct"/>
            <w:shd w:val="clear" w:color="auto" w:fill="auto"/>
            <w:vAlign w:val="center"/>
            <w:hideMark/>
          </w:tcPr>
          <w:p w:rsidR="00C37680" w:rsidRPr="00575029" w:rsidRDefault="00C37680"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Freezer</w:t>
            </w:r>
          </w:p>
        </w:tc>
        <w:tc>
          <w:tcPr>
            <w:tcW w:w="1081"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81"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sidRPr="00A808BB">
              <w:rPr>
                <w:rFonts w:ascii="Calibri" w:eastAsia="Times New Roman" w:hAnsi="Calibri" w:cs="Times New Roman"/>
                <w:color w:val="000000"/>
                <w:sz w:val="20"/>
                <w:szCs w:val="20"/>
              </w:rPr>
              <w:t>–</w:t>
            </w:r>
          </w:p>
        </w:tc>
        <w:tc>
          <w:tcPr>
            <w:tcW w:w="1090"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sidRPr="00AC4A51">
              <w:rPr>
                <w:rFonts w:ascii="Calibri" w:eastAsia="Times New Roman" w:hAnsi="Calibri" w:cs="Times New Roman"/>
                <w:color w:val="000000"/>
                <w:sz w:val="20"/>
                <w:szCs w:val="20"/>
              </w:rPr>
              <w:t>–</w:t>
            </w:r>
          </w:p>
        </w:tc>
      </w:tr>
      <w:tr w:rsidR="00852EAD" w:rsidRPr="00575029" w:rsidTr="00852EAD">
        <w:tc>
          <w:tcPr>
            <w:tcW w:w="611" w:type="pct"/>
            <w:vMerge/>
            <w:vAlign w:val="center"/>
            <w:hideMark/>
          </w:tcPr>
          <w:p w:rsidR="00C37680" w:rsidRPr="00575029" w:rsidRDefault="00C37680" w:rsidP="00A55F33">
            <w:pPr>
              <w:spacing w:after="0"/>
              <w:rPr>
                <w:rFonts w:ascii="Calibri" w:eastAsia="Times New Roman" w:hAnsi="Calibri" w:cs="Times New Roman"/>
                <w:color w:val="000000"/>
                <w:sz w:val="20"/>
                <w:szCs w:val="20"/>
              </w:rPr>
            </w:pPr>
          </w:p>
        </w:tc>
        <w:tc>
          <w:tcPr>
            <w:tcW w:w="1137" w:type="pct"/>
            <w:shd w:val="clear" w:color="auto" w:fill="auto"/>
            <w:vAlign w:val="center"/>
            <w:hideMark/>
          </w:tcPr>
          <w:p w:rsidR="00C37680" w:rsidRPr="00575029" w:rsidRDefault="00C37680"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Refrigerator</w:t>
            </w:r>
          </w:p>
        </w:tc>
        <w:tc>
          <w:tcPr>
            <w:tcW w:w="1081"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81"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sidRPr="00A808BB">
              <w:rPr>
                <w:rFonts w:ascii="Calibri" w:eastAsia="Times New Roman" w:hAnsi="Calibri" w:cs="Times New Roman"/>
                <w:color w:val="000000"/>
                <w:sz w:val="20"/>
                <w:szCs w:val="20"/>
              </w:rPr>
              <w:t>–</w:t>
            </w:r>
          </w:p>
        </w:tc>
        <w:tc>
          <w:tcPr>
            <w:tcW w:w="1090"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sidRPr="00AC4A51">
              <w:rPr>
                <w:rFonts w:ascii="Calibri" w:eastAsia="Times New Roman" w:hAnsi="Calibri" w:cs="Times New Roman"/>
                <w:color w:val="000000"/>
                <w:sz w:val="20"/>
                <w:szCs w:val="20"/>
              </w:rPr>
              <w:t>–</w:t>
            </w:r>
          </w:p>
        </w:tc>
      </w:tr>
      <w:tr w:rsidR="00852EAD" w:rsidRPr="00575029" w:rsidTr="00852EAD">
        <w:tc>
          <w:tcPr>
            <w:tcW w:w="611" w:type="pct"/>
            <w:vMerge/>
            <w:vAlign w:val="center"/>
            <w:hideMark/>
          </w:tcPr>
          <w:p w:rsidR="00C37680" w:rsidRPr="00575029" w:rsidRDefault="00C37680" w:rsidP="00A55F33">
            <w:pPr>
              <w:spacing w:after="0"/>
              <w:rPr>
                <w:rFonts w:ascii="Calibri" w:eastAsia="Times New Roman" w:hAnsi="Calibri" w:cs="Times New Roman"/>
                <w:color w:val="000000"/>
                <w:sz w:val="20"/>
                <w:szCs w:val="20"/>
              </w:rPr>
            </w:pPr>
          </w:p>
        </w:tc>
        <w:tc>
          <w:tcPr>
            <w:tcW w:w="1137" w:type="pct"/>
            <w:shd w:val="clear" w:color="auto" w:fill="auto"/>
            <w:vAlign w:val="center"/>
            <w:hideMark/>
          </w:tcPr>
          <w:p w:rsidR="00C37680" w:rsidRPr="00575029" w:rsidRDefault="00C37680"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Appliance Other*</w:t>
            </w:r>
          </w:p>
        </w:tc>
        <w:tc>
          <w:tcPr>
            <w:tcW w:w="1081"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 xml:space="preserve">Reported </w:t>
            </w:r>
            <w:r w:rsidRPr="006E6279">
              <w:rPr>
                <w:rFonts w:ascii="Calibri" w:eastAsia="Times New Roman" w:hAnsi="Calibri" w:cs="Times New Roman"/>
                <w:i/>
                <w:color w:val="000000"/>
                <w:sz w:val="20"/>
                <w:szCs w:val="20"/>
              </w:rPr>
              <w:t>Ex Ante</w:t>
            </w:r>
          </w:p>
        </w:tc>
        <w:tc>
          <w:tcPr>
            <w:tcW w:w="1081"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sidRPr="00A808BB">
              <w:rPr>
                <w:rFonts w:ascii="Calibri" w:eastAsia="Times New Roman" w:hAnsi="Calibri" w:cs="Times New Roman"/>
                <w:color w:val="000000"/>
                <w:sz w:val="20"/>
                <w:szCs w:val="20"/>
              </w:rPr>
              <w:t>–</w:t>
            </w:r>
          </w:p>
        </w:tc>
        <w:tc>
          <w:tcPr>
            <w:tcW w:w="1090"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sidRPr="00AC4A51">
              <w:rPr>
                <w:rFonts w:ascii="Calibri" w:eastAsia="Times New Roman" w:hAnsi="Calibri" w:cs="Times New Roman"/>
                <w:color w:val="000000"/>
                <w:sz w:val="20"/>
                <w:szCs w:val="20"/>
              </w:rPr>
              <w:t>–</w:t>
            </w:r>
          </w:p>
        </w:tc>
      </w:tr>
      <w:tr w:rsidR="00852EAD" w:rsidRPr="00575029" w:rsidTr="00852EAD">
        <w:tc>
          <w:tcPr>
            <w:tcW w:w="611" w:type="pct"/>
            <w:vMerge w:val="restart"/>
            <w:shd w:val="clear" w:color="auto" w:fill="auto"/>
            <w:vAlign w:val="center"/>
            <w:hideMark/>
          </w:tcPr>
          <w:p w:rsidR="00C37680" w:rsidRPr="00575029" w:rsidRDefault="00C37680"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HVAC</w:t>
            </w:r>
          </w:p>
        </w:tc>
        <w:tc>
          <w:tcPr>
            <w:tcW w:w="1137" w:type="pct"/>
            <w:shd w:val="clear" w:color="auto" w:fill="auto"/>
            <w:vAlign w:val="center"/>
            <w:hideMark/>
          </w:tcPr>
          <w:p w:rsidR="00C37680" w:rsidRPr="00575029" w:rsidRDefault="00C37680"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Central AC</w:t>
            </w:r>
          </w:p>
        </w:tc>
        <w:tc>
          <w:tcPr>
            <w:tcW w:w="1081"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81"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sidRPr="00A808BB">
              <w:rPr>
                <w:rFonts w:ascii="Calibri" w:eastAsia="Times New Roman" w:hAnsi="Calibri" w:cs="Times New Roman"/>
                <w:color w:val="000000"/>
                <w:sz w:val="20"/>
                <w:szCs w:val="20"/>
              </w:rPr>
              <w:t>–</w:t>
            </w:r>
          </w:p>
        </w:tc>
        <w:tc>
          <w:tcPr>
            <w:tcW w:w="1090"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sidRPr="00AC4A51">
              <w:rPr>
                <w:rFonts w:ascii="Calibri" w:eastAsia="Times New Roman" w:hAnsi="Calibri" w:cs="Times New Roman"/>
                <w:color w:val="000000"/>
                <w:sz w:val="20"/>
                <w:szCs w:val="20"/>
              </w:rPr>
              <w:t>–</w:t>
            </w:r>
          </w:p>
        </w:tc>
      </w:tr>
      <w:tr w:rsidR="00852EAD" w:rsidRPr="00575029" w:rsidTr="00852EAD">
        <w:tc>
          <w:tcPr>
            <w:tcW w:w="611" w:type="pct"/>
            <w:vMerge/>
            <w:vAlign w:val="center"/>
            <w:hideMark/>
          </w:tcPr>
          <w:p w:rsidR="00ED5498" w:rsidRPr="00575029" w:rsidRDefault="00ED5498" w:rsidP="00A55F33">
            <w:pPr>
              <w:spacing w:after="0"/>
              <w:rPr>
                <w:rFonts w:ascii="Calibri" w:eastAsia="Times New Roman" w:hAnsi="Calibri" w:cs="Times New Roman"/>
                <w:color w:val="000000"/>
                <w:sz w:val="20"/>
                <w:szCs w:val="20"/>
              </w:rPr>
            </w:pPr>
          </w:p>
        </w:tc>
        <w:tc>
          <w:tcPr>
            <w:tcW w:w="1137" w:type="pct"/>
            <w:shd w:val="clear" w:color="auto" w:fill="auto"/>
            <w:vAlign w:val="center"/>
            <w:hideMark/>
          </w:tcPr>
          <w:p w:rsidR="00ED5498" w:rsidRPr="00575029" w:rsidRDefault="00ED5498"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Duct Sealing</w:t>
            </w:r>
          </w:p>
        </w:tc>
        <w:tc>
          <w:tcPr>
            <w:tcW w:w="1081" w:type="pct"/>
            <w:shd w:val="clear" w:color="auto" w:fill="auto"/>
            <w:vAlign w:val="center"/>
            <w:hideMark/>
          </w:tcPr>
          <w:p w:rsidR="00ED5498" w:rsidRPr="00575029" w:rsidRDefault="00ED5498" w:rsidP="006E6279">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 Modeling</w:t>
            </w:r>
          </w:p>
        </w:tc>
        <w:tc>
          <w:tcPr>
            <w:tcW w:w="1081" w:type="pct"/>
            <w:shd w:val="clear" w:color="auto" w:fill="auto"/>
            <w:vAlign w:val="center"/>
            <w:hideMark/>
          </w:tcPr>
          <w:p w:rsidR="00ED5498" w:rsidRPr="00575029" w:rsidRDefault="00ED5498" w:rsidP="006E6279">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 Modeling</w:t>
            </w:r>
          </w:p>
        </w:tc>
        <w:tc>
          <w:tcPr>
            <w:tcW w:w="1090" w:type="pct"/>
            <w:shd w:val="clear" w:color="auto" w:fill="auto"/>
            <w:vAlign w:val="center"/>
            <w:hideMark/>
          </w:tcPr>
          <w:p w:rsidR="00ED5498" w:rsidRPr="00575029" w:rsidRDefault="00ED5498" w:rsidP="006E6279">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 Modeling</w:t>
            </w:r>
          </w:p>
        </w:tc>
      </w:tr>
      <w:tr w:rsidR="00852EAD" w:rsidRPr="00575029" w:rsidTr="00852EAD">
        <w:tc>
          <w:tcPr>
            <w:tcW w:w="611" w:type="pct"/>
            <w:vMerge/>
            <w:vAlign w:val="center"/>
            <w:hideMark/>
          </w:tcPr>
          <w:p w:rsidR="00C37680" w:rsidRPr="00575029" w:rsidRDefault="00C37680" w:rsidP="00A55F33">
            <w:pPr>
              <w:spacing w:after="0"/>
              <w:rPr>
                <w:rFonts w:ascii="Calibri" w:eastAsia="Times New Roman" w:hAnsi="Calibri" w:cs="Times New Roman"/>
                <w:color w:val="000000"/>
                <w:sz w:val="20"/>
                <w:szCs w:val="20"/>
              </w:rPr>
            </w:pPr>
          </w:p>
        </w:tc>
        <w:tc>
          <w:tcPr>
            <w:tcW w:w="1137" w:type="pct"/>
            <w:shd w:val="clear" w:color="auto" w:fill="auto"/>
            <w:vAlign w:val="center"/>
            <w:hideMark/>
          </w:tcPr>
          <w:p w:rsidR="00C37680" w:rsidRPr="00575029" w:rsidRDefault="00C37680"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Ductless Heat Pump</w:t>
            </w:r>
          </w:p>
        </w:tc>
        <w:tc>
          <w:tcPr>
            <w:tcW w:w="1081"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(±35%)</w:t>
            </w:r>
          </w:p>
        </w:tc>
        <w:tc>
          <w:tcPr>
            <w:tcW w:w="1081"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sidRPr="00920BCB">
              <w:rPr>
                <w:rFonts w:ascii="Calibri" w:eastAsia="Times New Roman" w:hAnsi="Calibri" w:cs="Times New Roman"/>
                <w:color w:val="000000"/>
                <w:sz w:val="20"/>
                <w:szCs w:val="20"/>
              </w:rPr>
              <w:t>–</w:t>
            </w:r>
          </w:p>
        </w:tc>
        <w:tc>
          <w:tcPr>
            <w:tcW w:w="1090"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sidRPr="00160953">
              <w:rPr>
                <w:rFonts w:ascii="Calibri" w:eastAsia="Times New Roman" w:hAnsi="Calibri" w:cs="Times New Roman"/>
                <w:color w:val="000000"/>
                <w:sz w:val="20"/>
                <w:szCs w:val="20"/>
              </w:rPr>
              <w:t>–</w:t>
            </w:r>
          </w:p>
        </w:tc>
      </w:tr>
      <w:tr w:rsidR="00852EAD" w:rsidRPr="00575029" w:rsidTr="00852EAD">
        <w:tc>
          <w:tcPr>
            <w:tcW w:w="611" w:type="pct"/>
            <w:vMerge/>
            <w:vAlign w:val="center"/>
            <w:hideMark/>
          </w:tcPr>
          <w:p w:rsidR="00C37680" w:rsidRPr="00575029" w:rsidRDefault="00C37680" w:rsidP="00A55F33">
            <w:pPr>
              <w:spacing w:after="0"/>
              <w:rPr>
                <w:rFonts w:ascii="Calibri" w:eastAsia="Times New Roman" w:hAnsi="Calibri" w:cs="Times New Roman"/>
                <w:color w:val="000000"/>
                <w:sz w:val="20"/>
                <w:szCs w:val="20"/>
              </w:rPr>
            </w:pPr>
          </w:p>
        </w:tc>
        <w:tc>
          <w:tcPr>
            <w:tcW w:w="1137" w:type="pct"/>
            <w:shd w:val="clear" w:color="auto" w:fill="auto"/>
            <w:vAlign w:val="center"/>
            <w:hideMark/>
          </w:tcPr>
          <w:p w:rsidR="00C37680" w:rsidRPr="00575029" w:rsidRDefault="00C37680"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Ground-Source Heat Pump</w:t>
            </w:r>
          </w:p>
        </w:tc>
        <w:tc>
          <w:tcPr>
            <w:tcW w:w="1081"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81"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sidRPr="00920BCB">
              <w:rPr>
                <w:rFonts w:ascii="Calibri" w:eastAsia="Times New Roman" w:hAnsi="Calibri" w:cs="Times New Roman"/>
                <w:color w:val="000000"/>
                <w:sz w:val="20"/>
                <w:szCs w:val="20"/>
              </w:rPr>
              <w:t>–</w:t>
            </w:r>
          </w:p>
        </w:tc>
        <w:tc>
          <w:tcPr>
            <w:tcW w:w="1090"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sidRPr="00160953">
              <w:rPr>
                <w:rFonts w:ascii="Calibri" w:eastAsia="Times New Roman" w:hAnsi="Calibri" w:cs="Times New Roman"/>
                <w:color w:val="000000"/>
                <w:sz w:val="20"/>
                <w:szCs w:val="20"/>
              </w:rPr>
              <w:t>–</w:t>
            </w:r>
          </w:p>
        </w:tc>
      </w:tr>
      <w:tr w:rsidR="001157A7" w:rsidRPr="00575029" w:rsidTr="00852EAD">
        <w:tc>
          <w:tcPr>
            <w:tcW w:w="611" w:type="pct"/>
            <w:vMerge/>
            <w:vAlign w:val="center"/>
            <w:hideMark/>
          </w:tcPr>
          <w:p w:rsidR="001157A7" w:rsidRPr="00575029" w:rsidRDefault="001157A7" w:rsidP="00A55F33">
            <w:pPr>
              <w:spacing w:after="0"/>
              <w:rPr>
                <w:rFonts w:ascii="Calibri" w:eastAsia="Times New Roman" w:hAnsi="Calibri" w:cs="Times New Roman"/>
                <w:color w:val="000000"/>
                <w:sz w:val="20"/>
                <w:szCs w:val="20"/>
              </w:rPr>
            </w:pPr>
          </w:p>
        </w:tc>
        <w:tc>
          <w:tcPr>
            <w:tcW w:w="1137" w:type="pct"/>
            <w:shd w:val="clear" w:color="auto" w:fill="auto"/>
            <w:vAlign w:val="center"/>
            <w:hideMark/>
          </w:tcPr>
          <w:p w:rsidR="001157A7" w:rsidRPr="00575029" w:rsidRDefault="001157A7"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Heat Pump</w:t>
            </w:r>
          </w:p>
        </w:tc>
        <w:tc>
          <w:tcPr>
            <w:tcW w:w="1081" w:type="pct"/>
            <w:shd w:val="clear" w:color="auto" w:fill="auto"/>
            <w:vAlign w:val="center"/>
            <w:hideMark/>
          </w:tcPr>
          <w:p w:rsidR="001157A7" w:rsidRPr="00575029" w:rsidRDefault="001157A7" w:rsidP="001157A7">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81" w:type="pct"/>
            <w:shd w:val="clear" w:color="auto" w:fill="auto"/>
            <w:vAlign w:val="center"/>
            <w:hideMark/>
          </w:tcPr>
          <w:p w:rsidR="001157A7" w:rsidRPr="00575029" w:rsidRDefault="001157A7" w:rsidP="006E6279">
            <w:pPr>
              <w:spacing w:after="0"/>
              <w:jc w:val="center"/>
              <w:rPr>
                <w:rFonts w:ascii="Calibri" w:eastAsia="Times New Roman" w:hAnsi="Calibri" w:cs="Times New Roman"/>
                <w:color w:val="000000"/>
                <w:sz w:val="20"/>
                <w:szCs w:val="20"/>
              </w:rPr>
            </w:pPr>
            <w:r w:rsidRPr="00920BCB">
              <w:rPr>
                <w:rFonts w:ascii="Calibri" w:eastAsia="Times New Roman" w:hAnsi="Calibri" w:cs="Times New Roman"/>
                <w:color w:val="000000"/>
                <w:sz w:val="20"/>
                <w:szCs w:val="20"/>
              </w:rPr>
              <w:t>–</w:t>
            </w:r>
          </w:p>
        </w:tc>
        <w:tc>
          <w:tcPr>
            <w:tcW w:w="1090" w:type="pct"/>
            <w:shd w:val="clear" w:color="auto" w:fill="auto"/>
            <w:vAlign w:val="center"/>
            <w:hideMark/>
          </w:tcPr>
          <w:p w:rsidR="001157A7" w:rsidRPr="00575029" w:rsidRDefault="001157A7" w:rsidP="006E6279">
            <w:pPr>
              <w:spacing w:after="0"/>
              <w:jc w:val="center"/>
              <w:rPr>
                <w:rFonts w:ascii="Calibri" w:eastAsia="Times New Roman" w:hAnsi="Calibri" w:cs="Times New Roman"/>
                <w:color w:val="000000"/>
                <w:sz w:val="20"/>
                <w:szCs w:val="20"/>
              </w:rPr>
            </w:pPr>
            <w:r w:rsidRPr="00160953">
              <w:rPr>
                <w:rFonts w:ascii="Calibri" w:eastAsia="Times New Roman" w:hAnsi="Calibri" w:cs="Times New Roman"/>
                <w:color w:val="000000"/>
                <w:sz w:val="20"/>
                <w:szCs w:val="20"/>
              </w:rPr>
              <w:t>–</w:t>
            </w:r>
          </w:p>
        </w:tc>
      </w:tr>
      <w:tr w:rsidR="001157A7" w:rsidRPr="00575029" w:rsidTr="00852EAD">
        <w:tc>
          <w:tcPr>
            <w:tcW w:w="611" w:type="pct"/>
            <w:vMerge/>
            <w:vAlign w:val="center"/>
            <w:hideMark/>
          </w:tcPr>
          <w:p w:rsidR="001157A7" w:rsidRPr="00575029" w:rsidRDefault="001157A7" w:rsidP="00A55F33">
            <w:pPr>
              <w:spacing w:after="0"/>
              <w:rPr>
                <w:rFonts w:ascii="Calibri" w:eastAsia="Times New Roman" w:hAnsi="Calibri" w:cs="Times New Roman"/>
                <w:color w:val="000000"/>
                <w:sz w:val="20"/>
                <w:szCs w:val="20"/>
              </w:rPr>
            </w:pPr>
          </w:p>
        </w:tc>
        <w:tc>
          <w:tcPr>
            <w:tcW w:w="1137" w:type="pct"/>
            <w:shd w:val="clear" w:color="auto" w:fill="auto"/>
            <w:vAlign w:val="center"/>
            <w:hideMark/>
          </w:tcPr>
          <w:p w:rsidR="001157A7" w:rsidRPr="00575029" w:rsidRDefault="001157A7"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Heating System Replacement</w:t>
            </w:r>
          </w:p>
        </w:tc>
        <w:tc>
          <w:tcPr>
            <w:tcW w:w="1081" w:type="pct"/>
            <w:shd w:val="clear" w:color="auto" w:fill="auto"/>
            <w:vAlign w:val="center"/>
            <w:hideMark/>
          </w:tcPr>
          <w:p w:rsidR="001157A7" w:rsidRPr="00575029" w:rsidRDefault="001157A7" w:rsidP="006E6279">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81" w:type="pct"/>
            <w:shd w:val="clear" w:color="auto" w:fill="auto"/>
            <w:vAlign w:val="center"/>
            <w:hideMark/>
          </w:tcPr>
          <w:p w:rsidR="001157A7" w:rsidRPr="00575029" w:rsidRDefault="001157A7" w:rsidP="001157A7">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90" w:type="pct"/>
            <w:shd w:val="clear" w:color="auto" w:fill="auto"/>
            <w:vAlign w:val="center"/>
            <w:hideMark/>
          </w:tcPr>
          <w:p w:rsidR="001157A7" w:rsidRPr="00575029" w:rsidRDefault="001157A7" w:rsidP="006E6279">
            <w:pPr>
              <w:spacing w:after="0"/>
              <w:jc w:val="center"/>
              <w:rPr>
                <w:rFonts w:ascii="Calibri" w:eastAsia="Times New Roman" w:hAnsi="Calibri" w:cs="Times New Roman"/>
                <w:color w:val="000000"/>
                <w:sz w:val="20"/>
                <w:szCs w:val="20"/>
              </w:rPr>
            </w:pPr>
            <w:r w:rsidRPr="00160953">
              <w:rPr>
                <w:rFonts w:ascii="Calibri" w:eastAsia="Times New Roman" w:hAnsi="Calibri" w:cs="Times New Roman"/>
                <w:color w:val="000000"/>
                <w:sz w:val="20"/>
                <w:szCs w:val="20"/>
              </w:rPr>
              <w:t>–</w:t>
            </w:r>
          </w:p>
        </w:tc>
      </w:tr>
      <w:tr w:rsidR="00852EAD" w:rsidRPr="00575029" w:rsidTr="00852EAD">
        <w:tc>
          <w:tcPr>
            <w:tcW w:w="611" w:type="pct"/>
            <w:shd w:val="clear" w:color="auto" w:fill="auto"/>
            <w:vAlign w:val="center"/>
            <w:hideMark/>
          </w:tcPr>
          <w:p w:rsidR="00C37680" w:rsidRPr="00575029" w:rsidRDefault="00C37680"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Lighting</w:t>
            </w:r>
          </w:p>
        </w:tc>
        <w:tc>
          <w:tcPr>
            <w:tcW w:w="1137" w:type="pct"/>
            <w:shd w:val="clear" w:color="auto" w:fill="auto"/>
            <w:vAlign w:val="center"/>
            <w:hideMark/>
          </w:tcPr>
          <w:p w:rsidR="00C37680" w:rsidRPr="00575029" w:rsidRDefault="00C37680"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Lighting</w:t>
            </w:r>
          </w:p>
        </w:tc>
        <w:tc>
          <w:tcPr>
            <w:tcW w:w="1081"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(±6%)</w:t>
            </w:r>
          </w:p>
        </w:tc>
        <w:tc>
          <w:tcPr>
            <w:tcW w:w="1081"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sidRPr="009E1705">
              <w:rPr>
                <w:rFonts w:ascii="Calibri" w:eastAsia="Times New Roman" w:hAnsi="Calibri" w:cs="Times New Roman"/>
                <w:color w:val="000000"/>
                <w:sz w:val="20"/>
                <w:szCs w:val="20"/>
              </w:rPr>
              <w:t>–</w:t>
            </w:r>
          </w:p>
        </w:tc>
        <w:tc>
          <w:tcPr>
            <w:tcW w:w="1090"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sidRPr="00160953">
              <w:rPr>
                <w:rFonts w:ascii="Calibri" w:eastAsia="Times New Roman" w:hAnsi="Calibri" w:cs="Times New Roman"/>
                <w:color w:val="000000"/>
                <w:sz w:val="20"/>
                <w:szCs w:val="20"/>
              </w:rPr>
              <w:t>–</w:t>
            </w:r>
          </w:p>
        </w:tc>
      </w:tr>
      <w:tr w:rsidR="00852EAD" w:rsidRPr="00575029" w:rsidTr="00852EAD">
        <w:tc>
          <w:tcPr>
            <w:tcW w:w="611" w:type="pct"/>
            <w:shd w:val="clear" w:color="auto" w:fill="auto"/>
            <w:vAlign w:val="center"/>
            <w:hideMark/>
          </w:tcPr>
          <w:p w:rsidR="00C37680" w:rsidRPr="00575029" w:rsidRDefault="00C37680"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Other</w:t>
            </w:r>
          </w:p>
        </w:tc>
        <w:tc>
          <w:tcPr>
            <w:tcW w:w="1137" w:type="pct"/>
            <w:shd w:val="clear" w:color="auto" w:fill="auto"/>
            <w:vAlign w:val="center"/>
            <w:hideMark/>
          </w:tcPr>
          <w:p w:rsidR="00C37680" w:rsidRPr="00575029" w:rsidRDefault="00C37680"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Other</w:t>
            </w:r>
          </w:p>
        </w:tc>
        <w:tc>
          <w:tcPr>
            <w:tcW w:w="1081"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 xml:space="preserve">Reported </w:t>
            </w:r>
            <w:r w:rsidRPr="006E6279">
              <w:rPr>
                <w:rFonts w:ascii="Calibri" w:eastAsia="Times New Roman" w:hAnsi="Calibri" w:cs="Times New Roman"/>
                <w:i/>
                <w:color w:val="000000"/>
                <w:sz w:val="20"/>
                <w:szCs w:val="20"/>
              </w:rPr>
              <w:t>Ex Ante</w:t>
            </w:r>
          </w:p>
        </w:tc>
        <w:tc>
          <w:tcPr>
            <w:tcW w:w="1081"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sidRPr="009E1705">
              <w:rPr>
                <w:rFonts w:ascii="Calibri" w:eastAsia="Times New Roman" w:hAnsi="Calibri" w:cs="Times New Roman"/>
                <w:color w:val="000000"/>
                <w:sz w:val="20"/>
                <w:szCs w:val="20"/>
              </w:rPr>
              <w:t>–</w:t>
            </w:r>
          </w:p>
        </w:tc>
        <w:tc>
          <w:tcPr>
            <w:tcW w:w="1090"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sidRPr="00160953">
              <w:rPr>
                <w:rFonts w:ascii="Calibri" w:eastAsia="Times New Roman" w:hAnsi="Calibri" w:cs="Times New Roman"/>
                <w:color w:val="000000"/>
                <w:sz w:val="20"/>
                <w:szCs w:val="20"/>
              </w:rPr>
              <w:t>–</w:t>
            </w:r>
          </w:p>
        </w:tc>
      </w:tr>
      <w:tr w:rsidR="00852EAD" w:rsidRPr="00575029" w:rsidTr="00852EAD">
        <w:tc>
          <w:tcPr>
            <w:tcW w:w="611" w:type="pct"/>
            <w:vMerge w:val="restart"/>
            <w:shd w:val="clear" w:color="auto" w:fill="auto"/>
            <w:vAlign w:val="center"/>
            <w:hideMark/>
          </w:tcPr>
          <w:p w:rsidR="00ED5498" w:rsidRPr="00575029" w:rsidRDefault="00ED5498"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Shell</w:t>
            </w:r>
          </w:p>
        </w:tc>
        <w:tc>
          <w:tcPr>
            <w:tcW w:w="1137" w:type="pct"/>
            <w:shd w:val="clear" w:color="auto" w:fill="auto"/>
            <w:vAlign w:val="center"/>
            <w:hideMark/>
          </w:tcPr>
          <w:p w:rsidR="00ED5498" w:rsidRPr="00575029" w:rsidRDefault="00ED5498"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Air Sealing</w:t>
            </w:r>
          </w:p>
        </w:tc>
        <w:tc>
          <w:tcPr>
            <w:tcW w:w="1081" w:type="pct"/>
            <w:shd w:val="clear" w:color="auto" w:fill="auto"/>
            <w:vAlign w:val="center"/>
            <w:hideMark/>
          </w:tcPr>
          <w:p w:rsidR="00ED5498" w:rsidRPr="00575029" w:rsidRDefault="00ED5498" w:rsidP="006E6279">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(±21%)</w:t>
            </w:r>
          </w:p>
        </w:tc>
        <w:tc>
          <w:tcPr>
            <w:tcW w:w="1081" w:type="pct"/>
            <w:shd w:val="clear" w:color="auto" w:fill="auto"/>
            <w:vAlign w:val="center"/>
            <w:hideMark/>
          </w:tcPr>
          <w:p w:rsidR="00ED5498" w:rsidRPr="00575029" w:rsidRDefault="00ED5498" w:rsidP="006E6279">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(±14%)</w:t>
            </w:r>
          </w:p>
        </w:tc>
        <w:tc>
          <w:tcPr>
            <w:tcW w:w="1090" w:type="pct"/>
            <w:shd w:val="clear" w:color="auto" w:fill="auto"/>
            <w:vAlign w:val="center"/>
            <w:hideMark/>
          </w:tcPr>
          <w:p w:rsidR="00ED5498" w:rsidRPr="00575029" w:rsidRDefault="00ED5498" w:rsidP="006E6279">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(±14%)</w:t>
            </w:r>
          </w:p>
        </w:tc>
      </w:tr>
      <w:tr w:rsidR="00852EAD" w:rsidRPr="00575029" w:rsidTr="00852EAD">
        <w:tc>
          <w:tcPr>
            <w:tcW w:w="611" w:type="pct"/>
            <w:vMerge/>
            <w:vAlign w:val="center"/>
            <w:hideMark/>
          </w:tcPr>
          <w:p w:rsidR="00ED5498" w:rsidRPr="00575029" w:rsidRDefault="00ED5498" w:rsidP="00A55F33">
            <w:pPr>
              <w:spacing w:after="0"/>
              <w:rPr>
                <w:rFonts w:ascii="Calibri" w:eastAsia="Times New Roman" w:hAnsi="Calibri" w:cs="Times New Roman"/>
                <w:color w:val="000000"/>
                <w:sz w:val="20"/>
                <w:szCs w:val="20"/>
              </w:rPr>
            </w:pPr>
          </w:p>
        </w:tc>
        <w:tc>
          <w:tcPr>
            <w:tcW w:w="1137" w:type="pct"/>
            <w:shd w:val="clear" w:color="auto" w:fill="auto"/>
            <w:vAlign w:val="center"/>
            <w:hideMark/>
          </w:tcPr>
          <w:p w:rsidR="00ED5498" w:rsidRPr="00575029" w:rsidRDefault="00ED5498"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Attic Insulation</w:t>
            </w:r>
          </w:p>
        </w:tc>
        <w:tc>
          <w:tcPr>
            <w:tcW w:w="1081" w:type="pct"/>
            <w:shd w:val="clear" w:color="auto" w:fill="auto"/>
            <w:vAlign w:val="center"/>
            <w:hideMark/>
          </w:tcPr>
          <w:p w:rsidR="00ED5498" w:rsidRPr="00575029" w:rsidRDefault="00ED5498" w:rsidP="006E6279">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 Modeling</w:t>
            </w:r>
          </w:p>
        </w:tc>
        <w:tc>
          <w:tcPr>
            <w:tcW w:w="1081" w:type="pct"/>
            <w:shd w:val="clear" w:color="auto" w:fill="auto"/>
            <w:vAlign w:val="center"/>
            <w:hideMark/>
          </w:tcPr>
          <w:p w:rsidR="00ED5498" w:rsidRPr="00575029" w:rsidRDefault="00ED5498" w:rsidP="006E6279">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 Modeling</w:t>
            </w:r>
          </w:p>
        </w:tc>
        <w:tc>
          <w:tcPr>
            <w:tcW w:w="1090" w:type="pct"/>
            <w:shd w:val="clear" w:color="auto" w:fill="auto"/>
            <w:vAlign w:val="center"/>
            <w:hideMark/>
          </w:tcPr>
          <w:p w:rsidR="00ED5498" w:rsidRPr="00575029" w:rsidRDefault="00ED5498" w:rsidP="006E6279">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 Modeling</w:t>
            </w:r>
          </w:p>
        </w:tc>
      </w:tr>
      <w:tr w:rsidR="00852EAD" w:rsidRPr="00575029" w:rsidTr="00852EAD">
        <w:tc>
          <w:tcPr>
            <w:tcW w:w="611" w:type="pct"/>
            <w:vMerge/>
            <w:vAlign w:val="center"/>
            <w:hideMark/>
          </w:tcPr>
          <w:p w:rsidR="00ED5498" w:rsidRPr="00575029" w:rsidRDefault="00ED5498" w:rsidP="00A55F33">
            <w:pPr>
              <w:spacing w:after="0"/>
              <w:rPr>
                <w:rFonts w:ascii="Calibri" w:eastAsia="Times New Roman" w:hAnsi="Calibri" w:cs="Times New Roman"/>
                <w:color w:val="000000"/>
                <w:sz w:val="20"/>
                <w:szCs w:val="20"/>
              </w:rPr>
            </w:pPr>
          </w:p>
        </w:tc>
        <w:tc>
          <w:tcPr>
            <w:tcW w:w="1137" w:type="pct"/>
            <w:shd w:val="clear" w:color="auto" w:fill="auto"/>
            <w:vAlign w:val="center"/>
            <w:hideMark/>
          </w:tcPr>
          <w:p w:rsidR="00ED5498" w:rsidRPr="00575029" w:rsidRDefault="00ED5498"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Wall Insulation</w:t>
            </w:r>
          </w:p>
        </w:tc>
        <w:tc>
          <w:tcPr>
            <w:tcW w:w="1081" w:type="pct"/>
            <w:shd w:val="clear" w:color="auto" w:fill="auto"/>
            <w:vAlign w:val="center"/>
            <w:hideMark/>
          </w:tcPr>
          <w:p w:rsidR="00ED5498" w:rsidRPr="00575029" w:rsidRDefault="00ED5498" w:rsidP="006E6279">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 Modeling</w:t>
            </w:r>
          </w:p>
        </w:tc>
        <w:tc>
          <w:tcPr>
            <w:tcW w:w="1081" w:type="pct"/>
            <w:shd w:val="clear" w:color="auto" w:fill="auto"/>
            <w:vAlign w:val="center"/>
            <w:hideMark/>
          </w:tcPr>
          <w:p w:rsidR="00ED5498" w:rsidRPr="00575029" w:rsidRDefault="00ED5498" w:rsidP="006E6279">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 Modeling</w:t>
            </w:r>
          </w:p>
        </w:tc>
        <w:tc>
          <w:tcPr>
            <w:tcW w:w="1090" w:type="pct"/>
            <w:shd w:val="clear" w:color="auto" w:fill="auto"/>
            <w:vAlign w:val="center"/>
            <w:hideMark/>
          </w:tcPr>
          <w:p w:rsidR="00ED5498" w:rsidRPr="00575029" w:rsidRDefault="00ED5498" w:rsidP="006E6279">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 Modeling</w:t>
            </w:r>
          </w:p>
        </w:tc>
      </w:tr>
      <w:tr w:rsidR="001157A7" w:rsidRPr="00575029" w:rsidTr="00852EAD">
        <w:tc>
          <w:tcPr>
            <w:tcW w:w="611" w:type="pct"/>
            <w:vMerge/>
            <w:vAlign w:val="center"/>
            <w:hideMark/>
          </w:tcPr>
          <w:p w:rsidR="001157A7" w:rsidRPr="00575029" w:rsidRDefault="001157A7" w:rsidP="00A55F33">
            <w:pPr>
              <w:spacing w:after="0"/>
              <w:rPr>
                <w:rFonts w:ascii="Calibri" w:eastAsia="Times New Roman" w:hAnsi="Calibri" w:cs="Times New Roman"/>
                <w:color w:val="000000"/>
                <w:sz w:val="20"/>
                <w:szCs w:val="20"/>
              </w:rPr>
            </w:pPr>
          </w:p>
        </w:tc>
        <w:tc>
          <w:tcPr>
            <w:tcW w:w="1137" w:type="pct"/>
            <w:shd w:val="clear" w:color="auto" w:fill="auto"/>
            <w:vAlign w:val="center"/>
            <w:hideMark/>
          </w:tcPr>
          <w:p w:rsidR="001157A7" w:rsidRPr="00575029" w:rsidRDefault="001157A7"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Insulation Other**</w:t>
            </w:r>
          </w:p>
        </w:tc>
        <w:tc>
          <w:tcPr>
            <w:tcW w:w="1081" w:type="pct"/>
            <w:shd w:val="clear" w:color="auto" w:fill="auto"/>
            <w:vAlign w:val="center"/>
            <w:hideMark/>
          </w:tcPr>
          <w:p w:rsidR="001157A7" w:rsidRPr="00575029" w:rsidRDefault="001157A7" w:rsidP="001157A7">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 xml:space="preserve">Reported </w:t>
            </w:r>
            <w:r w:rsidRPr="006E6279">
              <w:rPr>
                <w:rFonts w:ascii="Calibri" w:eastAsia="Times New Roman" w:hAnsi="Calibri" w:cs="Times New Roman"/>
                <w:i/>
                <w:color w:val="000000"/>
                <w:sz w:val="20"/>
                <w:szCs w:val="20"/>
              </w:rPr>
              <w:t>Ex Ante</w:t>
            </w:r>
          </w:p>
        </w:tc>
        <w:tc>
          <w:tcPr>
            <w:tcW w:w="1081" w:type="pct"/>
            <w:shd w:val="clear" w:color="auto" w:fill="auto"/>
            <w:vAlign w:val="center"/>
            <w:hideMark/>
          </w:tcPr>
          <w:p w:rsidR="001157A7" w:rsidRPr="00575029" w:rsidRDefault="001157A7" w:rsidP="006E6279">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 xml:space="preserve">Reported </w:t>
            </w:r>
            <w:r w:rsidRPr="006E6279">
              <w:rPr>
                <w:rFonts w:ascii="Calibri" w:eastAsia="Times New Roman" w:hAnsi="Calibri" w:cs="Times New Roman"/>
                <w:i/>
                <w:color w:val="000000"/>
                <w:sz w:val="20"/>
                <w:szCs w:val="20"/>
              </w:rPr>
              <w:t>Ex Ante</w:t>
            </w:r>
          </w:p>
        </w:tc>
        <w:tc>
          <w:tcPr>
            <w:tcW w:w="1090" w:type="pct"/>
            <w:shd w:val="clear" w:color="auto" w:fill="auto"/>
            <w:vAlign w:val="center"/>
            <w:hideMark/>
          </w:tcPr>
          <w:p w:rsidR="001157A7" w:rsidRPr="00575029" w:rsidRDefault="001157A7" w:rsidP="006E6279">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 xml:space="preserve">Reported </w:t>
            </w:r>
            <w:r w:rsidRPr="006E6279">
              <w:rPr>
                <w:rFonts w:ascii="Calibri" w:eastAsia="Times New Roman" w:hAnsi="Calibri" w:cs="Times New Roman"/>
                <w:i/>
                <w:color w:val="000000"/>
                <w:sz w:val="20"/>
                <w:szCs w:val="20"/>
              </w:rPr>
              <w:t>Ex Ante</w:t>
            </w:r>
          </w:p>
        </w:tc>
      </w:tr>
      <w:tr w:rsidR="00852EAD" w:rsidRPr="00575029" w:rsidTr="00852EAD">
        <w:tc>
          <w:tcPr>
            <w:tcW w:w="611" w:type="pct"/>
            <w:vMerge/>
            <w:vAlign w:val="center"/>
            <w:hideMark/>
          </w:tcPr>
          <w:p w:rsidR="00BB24BD" w:rsidRPr="00575029" w:rsidRDefault="00BB24BD" w:rsidP="00A55F33">
            <w:pPr>
              <w:spacing w:after="0"/>
              <w:rPr>
                <w:rFonts w:ascii="Calibri" w:eastAsia="Times New Roman" w:hAnsi="Calibri" w:cs="Times New Roman"/>
                <w:color w:val="000000"/>
                <w:sz w:val="20"/>
                <w:szCs w:val="20"/>
              </w:rPr>
            </w:pPr>
          </w:p>
        </w:tc>
        <w:tc>
          <w:tcPr>
            <w:tcW w:w="1137" w:type="pct"/>
            <w:shd w:val="clear" w:color="auto" w:fill="auto"/>
            <w:vAlign w:val="center"/>
            <w:hideMark/>
          </w:tcPr>
          <w:p w:rsidR="00BB24BD" w:rsidRPr="00575029" w:rsidRDefault="00BB24BD"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Windows</w:t>
            </w:r>
          </w:p>
        </w:tc>
        <w:tc>
          <w:tcPr>
            <w:tcW w:w="1081" w:type="pct"/>
            <w:shd w:val="clear" w:color="auto" w:fill="auto"/>
            <w:vAlign w:val="center"/>
            <w:hideMark/>
          </w:tcPr>
          <w:p w:rsidR="00BB24BD" w:rsidRPr="00575029" w:rsidRDefault="00BB24BD" w:rsidP="006C26D2">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81" w:type="pct"/>
            <w:shd w:val="clear" w:color="auto" w:fill="auto"/>
            <w:vAlign w:val="center"/>
            <w:hideMark/>
          </w:tcPr>
          <w:p w:rsidR="00BB24BD" w:rsidRPr="00575029" w:rsidRDefault="00BB24BD" w:rsidP="006C26D2">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90" w:type="pct"/>
            <w:shd w:val="clear" w:color="auto" w:fill="auto"/>
            <w:vAlign w:val="center"/>
            <w:hideMark/>
          </w:tcPr>
          <w:p w:rsidR="00BB24BD" w:rsidRPr="00575029" w:rsidRDefault="00BB24BD" w:rsidP="006E6279">
            <w:pPr>
              <w:spacing w:after="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852EAD" w:rsidRPr="00575029" w:rsidTr="00852EAD">
        <w:tc>
          <w:tcPr>
            <w:tcW w:w="611" w:type="pct"/>
            <w:vMerge w:val="restart"/>
            <w:shd w:val="clear" w:color="auto" w:fill="auto"/>
            <w:vAlign w:val="center"/>
            <w:hideMark/>
          </w:tcPr>
          <w:p w:rsidR="00ED5498" w:rsidRPr="00575029" w:rsidRDefault="00ED5498" w:rsidP="00AA153E">
            <w:pPr>
              <w:pageBreakBefore/>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lastRenderedPageBreak/>
              <w:t>Water Heat</w:t>
            </w:r>
          </w:p>
        </w:tc>
        <w:tc>
          <w:tcPr>
            <w:tcW w:w="1137" w:type="pct"/>
            <w:shd w:val="clear" w:color="auto" w:fill="auto"/>
            <w:vAlign w:val="center"/>
            <w:hideMark/>
          </w:tcPr>
          <w:p w:rsidR="00ED5498" w:rsidRPr="00575029" w:rsidRDefault="005F5E47" w:rsidP="00A55F33">
            <w:pPr>
              <w:spacing w:after="0"/>
              <w:rPr>
                <w:rFonts w:ascii="Calibri" w:eastAsia="Times New Roman" w:hAnsi="Calibri" w:cs="Times New Roman"/>
                <w:color w:val="000000"/>
                <w:sz w:val="20"/>
                <w:szCs w:val="20"/>
              </w:rPr>
            </w:pPr>
            <w:r w:rsidRPr="005F5E47">
              <w:rPr>
                <w:rFonts w:ascii="Calibri" w:eastAsia="Times New Roman" w:hAnsi="Calibri" w:cs="Times New Roman"/>
                <w:color w:val="000000"/>
                <w:sz w:val="20"/>
                <w:szCs w:val="20"/>
              </w:rPr>
              <w:t>Domestic Hot-Water (</w:t>
            </w:r>
            <w:r w:rsidR="007405FC">
              <w:rPr>
                <w:rFonts w:ascii="Calibri" w:eastAsia="Times New Roman" w:hAnsi="Calibri" w:cs="Times New Roman"/>
                <w:color w:val="000000"/>
                <w:sz w:val="20"/>
                <w:szCs w:val="20"/>
              </w:rPr>
              <w:t>DHW</w:t>
            </w:r>
            <w:r>
              <w:rPr>
                <w:rFonts w:ascii="Calibri" w:eastAsia="Times New Roman" w:hAnsi="Calibri" w:cs="Times New Roman"/>
                <w:color w:val="000000"/>
                <w:sz w:val="20"/>
                <w:szCs w:val="20"/>
              </w:rPr>
              <w:t>)</w:t>
            </w:r>
            <w:r w:rsidR="00ED5498" w:rsidRPr="00575029">
              <w:rPr>
                <w:rFonts w:ascii="Calibri" w:eastAsia="Times New Roman" w:hAnsi="Calibri" w:cs="Times New Roman"/>
                <w:color w:val="000000"/>
                <w:sz w:val="20"/>
                <w:szCs w:val="20"/>
              </w:rPr>
              <w:t xml:space="preserve"> Bundle***</w:t>
            </w:r>
          </w:p>
        </w:tc>
        <w:tc>
          <w:tcPr>
            <w:tcW w:w="1081" w:type="pct"/>
            <w:shd w:val="clear" w:color="auto" w:fill="auto"/>
            <w:vAlign w:val="center"/>
            <w:hideMark/>
          </w:tcPr>
          <w:p w:rsidR="00ED5498" w:rsidRPr="00575029" w:rsidRDefault="00ED5498" w:rsidP="006E6279">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(±21%)</w:t>
            </w:r>
          </w:p>
        </w:tc>
        <w:tc>
          <w:tcPr>
            <w:tcW w:w="1081" w:type="pct"/>
            <w:shd w:val="clear" w:color="auto" w:fill="auto"/>
            <w:vAlign w:val="center"/>
            <w:hideMark/>
          </w:tcPr>
          <w:p w:rsidR="00ED5498" w:rsidRPr="00575029" w:rsidRDefault="00ED5498" w:rsidP="006E6279">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90" w:type="pct"/>
            <w:shd w:val="clear" w:color="auto" w:fill="auto"/>
            <w:vAlign w:val="center"/>
            <w:hideMark/>
          </w:tcPr>
          <w:p w:rsidR="00ED5498" w:rsidRPr="00575029" w:rsidRDefault="00ED5498" w:rsidP="006E6279">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r>
      <w:tr w:rsidR="00852EAD" w:rsidRPr="00575029" w:rsidTr="00852EAD">
        <w:tc>
          <w:tcPr>
            <w:tcW w:w="611" w:type="pct"/>
            <w:vMerge/>
            <w:vAlign w:val="center"/>
            <w:hideMark/>
          </w:tcPr>
          <w:p w:rsidR="00C37680" w:rsidRPr="00575029" w:rsidRDefault="00C37680" w:rsidP="00A55F33">
            <w:pPr>
              <w:spacing w:after="0"/>
              <w:rPr>
                <w:rFonts w:ascii="Calibri" w:eastAsia="Times New Roman" w:hAnsi="Calibri" w:cs="Times New Roman"/>
                <w:color w:val="000000"/>
                <w:sz w:val="20"/>
                <w:szCs w:val="20"/>
              </w:rPr>
            </w:pPr>
          </w:p>
        </w:tc>
        <w:tc>
          <w:tcPr>
            <w:tcW w:w="1137" w:type="pct"/>
            <w:shd w:val="clear" w:color="auto" w:fill="auto"/>
            <w:vAlign w:val="center"/>
            <w:hideMark/>
          </w:tcPr>
          <w:p w:rsidR="00C37680" w:rsidRPr="00575029" w:rsidRDefault="00C37680"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Water Heater Replacement</w:t>
            </w:r>
          </w:p>
        </w:tc>
        <w:tc>
          <w:tcPr>
            <w:tcW w:w="1081"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1081"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 xml:space="preserve">Reported </w:t>
            </w:r>
            <w:r w:rsidRPr="006E6279">
              <w:rPr>
                <w:rFonts w:ascii="Calibri" w:eastAsia="Times New Roman" w:hAnsi="Calibri" w:cs="Times New Roman"/>
                <w:i/>
                <w:color w:val="000000"/>
                <w:sz w:val="20"/>
                <w:szCs w:val="20"/>
              </w:rPr>
              <w:t>Ex Ante</w:t>
            </w:r>
          </w:p>
        </w:tc>
        <w:tc>
          <w:tcPr>
            <w:tcW w:w="1090"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sidRPr="00836570">
              <w:rPr>
                <w:rFonts w:ascii="Calibri" w:eastAsia="Times New Roman" w:hAnsi="Calibri" w:cs="Times New Roman"/>
                <w:color w:val="000000"/>
                <w:sz w:val="20"/>
                <w:szCs w:val="20"/>
              </w:rPr>
              <w:t>–</w:t>
            </w:r>
          </w:p>
        </w:tc>
      </w:tr>
      <w:tr w:rsidR="00852EAD" w:rsidRPr="00575029" w:rsidTr="00852EAD">
        <w:tc>
          <w:tcPr>
            <w:tcW w:w="611" w:type="pct"/>
            <w:vMerge/>
            <w:vAlign w:val="center"/>
            <w:hideMark/>
          </w:tcPr>
          <w:p w:rsidR="00C37680" w:rsidRPr="00575029" w:rsidRDefault="00C37680" w:rsidP="00A55F33">
            <w:pPr>
              <w:spacing w:after="0"/>
              <w:rPr>
                <w:rFonts w:ascii="Calibri" w:eastAsia="Times New Roman" w:hAnsi="Calibri" w:cs="Times New Roman"/>
                <w:color w:val="000000"/>
                <w:sz w:val="20"/>
                <w:szCs w:val="20"/>
              </w:rPr>
            </w:pPr>
          </w:p>
        </w:tc>
        <w:tc>
          <w:tcPr>
            <w:tcW w:w="1137" w:type="pct"/>
            <w:shd w:val="clear" w:color="auto" w:fill="auto"/>
            <w:vAlign w:val="center"/>
            <w:hideMark/>
          </w:tcPr>
          <w:p w:rsidR="00C37680" w:rsidRPr="00575029" w:rsidRDefault="00C37680"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Heat Pump Water Heater</w:t>
            </w:r>
          </w:p>
        </w:tc>
        <w:tc>
          <w:tcPr>
            <w:tcW w:w="1081"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Reported </w:t>
            </w:r>
            <w:r w:rsidRPr="006E6279">
              <w:rPr>
                <w:rFonts w:ascii="Calibri" w:eastAsia="Times New Roman" w:hAnsi="Calibri" w:cs="Times New Roman"/>
                <w:i/>
                <w:color w:val="000000"/>
                <w:sz w:val="20"/>
                <w:szCs w:val="20"/>
              </w:rPr>
              <w:t>Ex Ante</w:t>
            </w:r>
          </w:p>
        </w:tc>
        <w:tc>
          <w:tcPr>
            <w:tcW w:w="1081"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1090" w:type="pct"/>
            <w:shd w:val="clear" w:color="auto" w:fill="auto"/>
            <w:vAlign w:val="center"/>
            <w:hideMark/>
          </w:tcPr>
          <w:p w:rsidR="00C37680" w:rsidRPr="00575029" w:rsidRDefault="00C37680" w:rsidP="006E6279">
            <w:pPr>
              <w:spacing w:after="0"/>
              <w:jc w:val="center"/>
              <w:rPr>
                <w:rFonts w:ascii="Calibri" w:eastAsia="Times New Roman" w:hAnsi="Calibri" w:cs="Times New Roman"/>
                <w:color w:val="000000"/>
                <w:sz w:val="20"/>
                <w:szCs w:val="20"/>
              </w:rPr>
            </w:pPr>
            <w:r w:rsidRPr="00836570">
              <w:rPr>
                <w:rFonts w:ascii="Calibri" w:eastAsia="Times New Roman" w:hAnsi="Calibri" w:cs="Times New Roman"/>
                <w:color w:val="000000"/>
                <w:sz w:val="20"/>
                <w:szCs w:val="20"/>
              </w:rPr>
              <w:t>–</w:t>
            </w:r>
          </w:p>
        </w:tc>
      </w:tr>
    </w:tbl>
    <w:p w:rsidR="00ED5498" w:rsidRPr="00A55F33" w:rsidRDefault="00A55F33" w:rsidP="006E6279">
      <w:pPr>
        <w:spacing w:after="0" w:line="240" w:lineRule="auto"/>
        <w:ind w:left="90" w:hanging="90"/>
        <w:rPr>
          <w:rFonts w:ascii="Calibri" w:eastAsia="Times New Roman" w:hAnsi="Calibri" w:cs="Times New Roman"/>
          <w:color w:val="000000"/>
          <w:sz w:val="20"/>
          <w:szCs w:val="20"/>
        </w:rPr>
      </w:pPr>
      <w:r w:rsidRPr="00A55F33">
        <w:rPr>
          <w:rFonts w:ascii="Calibri" w:eastAsia="Times New Roman" w:hAnsi="Calibri" w:cs="Times New Roman"/>
          <w:color w:val="000000"/>
          <w:sz w:val="20"/>
          <w:szCs w:val="20"/>
        </w:rPr>
        <w:t>*</w:t>
      </w:r>
      <w:r w:rsidR="006E6279">
        <w:rPr>
          <w:rFonts w:ascii="Calibri" w:eastAsia="Times New Roman" w:hAnsi="Calibri" w:cs="Times New Roman"/>
          <w:color w:val="000000"/>
          <w:sz w:val="20"/>
          <w:szCs w:val="20"/>
        </w:rPr>
        <w:t>These</w:t>
      </w:r>
      <w:r w:rsidRPr="00A55F33">
        <w:rPr>
          <w:rFonts w:ascii="Calibri" w:eastAsia="Times New Roman" w:hAnsi="Calibri" w:cs="Times New Roman"/>
          <w:color w:val="000000"/>
          <w:sz w:val="20"/>
          <w:szCs w:val="20"/>
        </w:rPr>
        <w:t xml:space="preserve"> </w:t>
      </w:r>
      <w:r w:rsidR="006E6279">
        <w:rPr>
          <w:rFonts w:ascii="Calibri" w:eastAsia="Times New Roman" w:hAnsi="Calibri" w:cs="Times New Roman"/>
          <w:color w:val="000000"/>
          <w:sz w:val="20"/>
          <w:szCs w:val="20"/>
        </w:rPr>
        <w:t>p</w:t>
      </w:r>
      <w:r w:rsidRPr="00A55F33">
        <w:rPr>
          <w:rFonts w:ascii="Calibri" w:eastAsia="Times New Roman" w:hAnsi="Calibri" w:cs="Times New Roman"/>
          <w:color w:val="000000"/>
          <w:sz w:val="20"/>
          <w:szCs w:val="20"/>
        </w:rPr>
        <w:t xml:space="preserve">rojects consist of appliance replacements without specific detail in </w:t>
      </w:r>
      <w:r w:rsidR="006E6279">
        <w:rPr>
          <w:rFonts w:ascii="Calibri" w:eastAsia="Times New Roman" w:hAnsi="Calibri" w:cs="Times New Roman"/>
          <w:color w:val="000000"/>
          <w:sz w:val="20"/>
          <w:szCs w:val="20"/>
        </w:rPr>
        <w:t xml:space="preserve">the </w:t>
      </w:r>
      <w:r w:rsidRPr="00A55F33">
        <w:rPr>
          <w:rFonts w:ascii="Calibri" w:eastAsia="Times New Roman" w:hAnsi="Calibri" w:cs="Times New Roman"/>
          <w:color w:val="000000"/>
          <w:sz w:val="20"/>
          <w:szCs w:val="20"/>
        </w:rPr>
        <w:t>measure description</w:t>
      </w:r>
      <w:r w:rsidR="006E6279">
        <w:rPr>
          <w:rFonts w:ascii="Calibri" w:eastAsia="Times New Roman" w:hAnsi="Calibri" w:cs="Times New Roman"/>
          <w:color w:val="000000"/>
          <w:sz w:val="20"/>
          <w:szCs w:val="20"/>
        </w:rPr>
        <w:t>s</w:t>
      </w:r>
      <w:r w:rsidRPr="00A55F33">
        <w:rPr>
          <w:rFonts w:ascii="Calibri" w:eastAsia="Times New Roman" w:hAnsi="Calibri" w:cs="Times New Roman"/>
          <w:color w:val="000000"/>
          <w:sz w:val="20"/>
          <w:szCs w:val="20"/>
        </w:rPr>
        <w:t xml:space="preserve"> (including refrigerators, freezers, dehumi</w:t>
      </w:r>
      <w:r w:rsidR="003C4590">
        <w:rPr>
          <w:rFonts w:ascii="Calibri" w:eastAsia="Times New Roman" w:hAnsi="Calibri" w:cs="Times New Roman"/>
          <w:color w:val="000000"/>
          <w:sz w:val="20"/>
          <w:szCs w:val="20"/>
        </w:rPr>
        <w:t>di</w:t>
      </w:r>
      <w:r w:rsidRPr="00A55F33">
        <w:rPr>
          <w:rFonts w:ascii="Calibri" w:eastAsia="Times New Roman" w:hAnsi="Calibri" w:cs="Times New Roman"/>
          <w:color w:val="000000"/>
          <w:sz w:val="20"/>
          <w:szCs w:val="20"/>
        </w:rPr>
        <w:t>fiers, and clothes washers)</w:t>
      </w:r>
      <w:r w:rsidR="00593706">
        <w:rPr>
          <w:rFonts w:ascii="Calibri" w:eastAsia="Times New Roman" w:hAnsi="Calibri" w:cs="Times New Roman"/>
          <w:color w:val="000000"/>
          <w:sz w:val="20"/>
          <w:szCs w:val="20"/>
        </w:rPr>
        <w:t>.</w:t>
      </w:r>
    </w:p>
    <w:p w:rsidR="00A55F33" w:rsidRPr="00A55F33" w:rsidRDefault="00A55F33" w:rsidP="00A55F33">
      <w:pPr>
        <w:spacing w:after="0" w:line="240" w:lineRule="auto"/>
        <w:rPr>
          <w:rFonts w:ascii="Calibri" w:eastAsia="Times New Roman" w:hAnsi="Calibri" w:cs="Times New Roman"/>
          <w:color w:val="000000"/>
          <w:sz w:val="20"/>
          <w:szCs w:val="20"/>
        </w:rPr>
      </w:pPr>
      <w:r w:rsidRPr="00A55F33">
        <w:rPr>
          <w:rFonts w:ascii="Calibri" w:eastAsia="Times New Roman" w:hAnsi="Calibri" w:cs="Times New Roman"/>
          <w:color w:val="000000"/>
          <w:sz w:val="20"/>
          <w:szCs w:val="20"/>
        </w:rPr>
        <w:t>**</w:t>
      </w:r>
      <w:r w:rsidR="006E6279">
        <w:rPr>
          <w:rFonts w:ascii="Calibri" w:eastAsia="Times New Roman" w:hAnsi="Calibri" w:cs="Times New Roman"/>
          <w:color w:val="000000"/>
          <w:sz w:val="20"/>
          <w:szCs w:val="20"/>
        </w:rPr>
        <w:t>These</w:t>
      </w:r>
      <w:r w:rsidRPr="00A55F33">
        <w:rPr>
          <w:rFonts w:ascii="Calibri" w:eastAsia="Times New Roman" w:hAnsi="Calibri" w:cs="Times New Roman"/>
          <w:color w:val="000000"/>
          <w:sz w:val="20"/>
          <w:szCs w:val="20"/>
        </w:rPr>
        <w:t xml:space="preserve"> </w:t>
      </w:r>
      <w:r w:rsidR="006E6279">
        <w:rPr>
          <w:rFonts w:ascii="Calibri" w:eastAsia="Times New Roman" w:hAnsi="Calibri" w:cs="Times New Roman"/>
          <w:color w:val="000000"/>
          <w:sz w:val="20"/>
          <w:szCs w:val="20"/>
        </w:rPr>
        <w:t>p</w:t>
      </w:r>
      <w:r w:rsidRPr="00A55F33">
        <w:rPr>
          <w:rFonts w:ascii="Calibri" w:eastAsia="Times New Roman" w:hAnsi="Calibri" w:cs="Times New Roman"/>
          <w:color w:val="000000"/>
          <w:sz w:val="20"/>
          <w:szCs w:val="20"/>
        </w:rPr>
        <w:t>rojects consist of insulation installations without location</w:t>
      </w:r>
      <w:r w:rsidR="006E6279">
        <w:rPr>
          <w:rFonts w:ascii="Calibri" w:eastAsia="Times New Roman" w:hAnsi="Calibri" w:cs="Times New Roman"/>
          <w:color w:val="000000"/>
          <w:sz w:val="20"/>
          <w:szCs w:val="20"/>
        </w:rPr>
        <w:t>s</w:t>
      </w:r>
      <w:r w:rsidRPr="00A55F33">
        <w:rPr>
          <w:rFonts w:ascii="Calibri" w:eastAsia="Times New Roman" w:hAnsi="Calibri" w:cs="Times New Roman"/>
          <w:color w:val="000000"/>
          <w:sz w:val="20"/>
          <w:szCs w:val="20"/>
        </w:rPr>
        <w:t xml:space="preserve"> specified in </w:t>
      </w:r>
      <w:r w:rsidR="006E6279">
        <w:rPr>
          <w:rFonts w:ascii="Calibri" w:eastAsia="Times New Roman" w:hAnsi="Calibri" w:cs="Times New Roman"/>
          <w:color w:val="000000"/>
          <w:sz w:val="20"/>
          <w:szCs w:val="20"/>
        </w:rPr>
        <w:t xml:space="preserve">the </w:t>
      </w:r>
      <w:r w:rsidRPr="00A55F33">
        <w:rPr>
          <w:rFonts w:ascii="Calibri" w:eastAsia="Times New Roman" w:hAnsi="Calibri" w:cs="Times New Roman"/>
          <w:color w:val="000000"/>
          <w:sz w:val="20"/>
          <w:szCs w:val="20"/>
        </w:rPr>
        <w:t>measure description</w:t>
      </w:r>
      <w:r w:rsidR="006E6279">
        <w:rPr>
          <w:rFonts w:ascii="Calibri" w:eastAsia="Times New Roman" w:hAnsi="Calibri" w:cs="Times New Roman"/>
          <w:color w:val="000000"/>
          <w:sz w:val="20"/>
          <w:szCs w:val="20"/>
        </w:rPr>
        <w:t>s.</w:t>
      </w:r>
    </w:p>
    <w:p w:rsidR="00A55F33" w:rsidRPr="00A55F33" w:rsidRDefault="004A7E9B" w:rsidP="00A55F33">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7651D1" w:rsidRPr="007651D1">
        <w:rPr>
          <w:rFonts w:ascii="Calibri" w:eastAsia="Times New Roman" w:hAnsi="Calibri" w:cs="Times New Roman"/>
          <w:color w:val="000000"/>
          <w:sz w:val="20"/>
          <w:szCs w:val="20"/>
        </w:rPr>
        <w:t xml:space="preserve"> </w:t>
      </w:r>
      <w:r w:rsidR="007651D1">
        <w:rPr>
          <w:rFonts w:ascii="Calibri" w:eastAsia="Times New Roman" w:hAnsi="Calibri" w:cs="Times New Roman"/>
          <w:color w:val="000000"/>
          <w:sz w:val="20"/>
          <w:szCs w:val="20"/>
        </w:rPr>
        <w:t>The measure</w:t>
      </w:r>
      <w:r w:rsidR="007651D1" w:rsidRPr="00A55F33">
        <w:rPr>
          <w:rFonts w:ascii="Calibri" w:eastAsia="Times New Roman" w:hAnsi="Calibri" w:cs="Times New Roman"/>
          <w:color w:val="000000"/>
          <w:sz w:val="20"/>
          <w:szCs w:val="20"/>
        </w:rPr>
        <w:t xml:space="preserve"> </w:t>
      </w:r>
      <w:r w:rsidR="007651D1">
        <w:rPr>
          <w:rFonts w:ascii="Calibri" w:eastAsia="Times New Roman" w:hAnsi="Calibri" w:cs="Times New Roman"/>
          <w:color w:val="000000"/>
          <w:sz w:val="20"/>
          <w:szCs w:val="20"/>
        </w:rPr>
        <w:t>c</w:t>
      </w:r>
      <w:r w:rsidR="007651D1" w:rsidRPr="00A55F33">
        <w:rPr>
          <w:rFonts w:ascii="Calibri" w:eastAsia="Times New Roman" w:hAnsi="Calibri" w:cs="Times New Roman"/>
          <w:color w:val="000000"/>
          <w:sz w:val="20"/>
          <w:szCs w:val="20"/>
        </w:rPr>
        <w:t>ontains a mix of low-flow showerheads, faucet aerators, and pipe insulation</w:t>
      </w:r>
      <w:r w:rsidR="00593706">
        <w:rPr>
          <w:rFonts w:ascii="Calibri" w:eastAsia="Times New Roman" w:hAnsi="Calibri" w:cs="Times New Roman"/>
          <w:color w:val="000000"/>
          <w:sz w:val="20"/>
          <w:szCs w:val="20"/>
        </w:rPr>
        <w:t>.</w:t>
      </w:r>
    </w:p>
    <w:p w:rsidR="00A55F33" w:rsidRDefault="00A55F33" w:rsidP="00A55F33">
      <w:pPr>
        <w:pStyle w:val="NormalAfterTablesandFigures"/>
      </w:pPr>
    </w:p>
    <w:p w:rsidR="00ED5498" w:rsidRDefault="00ED5498" w:rsidP="00ED5498">
      <w:pPr>
        <w:pStyle w:val="Caption"/>
      </w:pPr>
      <w:bookmarkStart w:id="32" w:name="_Ref388531519"/>
      <w:r>
        <w:t xml:space="preserve">Table </w:t>
      </w:r>
      <w:r w:rsidR="002506E1">
        <w:fldChar w:fldCharType="begin"/>
      </w:r>
      <w:r w:rsidR="002506E1">
        <w:instrText xml:space="preserve"> SEQ Table \* ARABIC </w:instrText>
      </w:r>
      <w:r w:rsidR="002506E1">
        <w:fldChar w:fldCharType="separate"/>
      </w:r>
      <w:r w:rsidR="00CD20CF">
        <w:rPr>
          <w:noProof/>
        </w:rPr>
        <w:t>13</w:t>
      </w:r>
      <w:r w:rsidR="002506E1">
        <w:rPr>
          <w:noProof/>
        </w:rPr>
        <w:fldChar w:fldCharType="end"/>
      </w:r>
      <w:bookmarkEnd w:id="32"/>
      <w:r>
        <w:t>. Methodological Approach to Calculating Savings by Measure and Primary Fuel Type</w:t>
      </w:r>
      <w:r w:rsidR="00416405">
        <w:t>—</w:t>
      </w:r>
      <w:r>
        <w:t>HES-IE</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249"/>
        <w:gridCol w:w="2009"/>
        <w:gridCol w:w="2160"/>
        <w:gridCol w:w="2070"/>
        <w:gridCol w:w="2088"/>
      </w:tblGrid>
      <w:tr w:rsidR="00ED5498" w:rsidRPr="00575029" w:rsidTr="00852EAD">
        <w:tc>
          <w:tcPr>
            <w:tcW w:w="652" w:type="pct"/>
            <w:vMerge w:val="restart"/>
            <w:shd w:val="clear" w:color="000000" w:fill="005DAA"/>
            <w:vAlign w:val="center"/>
            <w:hideMark/>
          </w:tcPr>
          <w:p w:rsidR="00ED5498" w:rsidRPr="00575029" w:rsidRDefault="00ED5498" w:rsidP="00A55F33">
            <w:pPr>
              <w:spacing w:after="0"/>
              <w:jc w:val="center"/>
              <w:rPr>
                <w:rFonts w:ascii="Calibri" w:eastAsia="Times New Roman" w:hAnsi="Calibri" w:cs="Times New Roman"/>
                <w:b/>
                <w:bCs/>
                <w:color w:val="FFFFFF"/>
              </w:rPr>
            </w:pPr>
            <w:r w:rsidRPr="00575029">
              <w:rPr>
                <w:rFonts w:ascii="Calibri" w:eastAsia="Times New Roman" w:hAnsi="Calibri" w:cs="Times New Roman"/>
                <w:b/>
                <w:bCs/>
                <w:color w:val="FFFFFF"/>
              </w:rPr>
              <w:t>Category</w:t>
            </w:r>
          </w:p>
        </w:tc>
        <w:tc>
          <w:tcPr>
            <w:tcW w:w="1049" w:type="pct"/>
            <w:vMerge w:val="restart"/>
            <w:shd w:val="clear" w:color="000000" w:fill="005DAA"/>
            <w:vAlign w:val="center"/>
            <w:hideMark/>
          </w:tcPr>
          <w:p w:rsidR="00ED5498" w:rsidRPr="00575029" w:rsidRDefault="00ED5498" w:rsidP="00A55F33">
            <w:pPr>
              <w:spacing w:after="0"/>
              <w:jc w:val="center"/>
              <w:rPr>
                <w:rFonts w:ascii="Calibri" w:eastAsia="Times New Roman" w:hAnsi="Calibri" w:cs="Times New Roman"/>
                <w:b/>
                <w:bCs/>
                <w:color w:val="FFFFFF"/>
              </w:rPr>
            </w:pPr>
            <w:r w:rsidRPr="00575029">
              <w:rPr>
                <w:rFonts w:ascii="Calibri" w:eastAsia="Times New Roman" w:hAnsi="Calibri" w:cs="Times New Roman"/>
                <w:b/>
                <w:bCs/>
                <w:color w:val="FFFFFF"/>
              </w:rPr>
              <w:t>Measure</w:t>
            </w:r>
          </w:p>
        </w:tc>
        <w:tc>
          <w:tcPr>
            <w:tcW w:w="3299" w:type="pct"/>
            <w:gridSpan w:val="3"/>
            <w:shd w:val="clear" w:color="000000" w:fill="005DAA"/>
            <w:vAlign w:val="center"/>
            <w:hideMark/>
          </w:tcPr>
          <w:p w:rsidR="00ED5498" w:rsidRPr="00575029" w:rsidRDefault="00ED5498" w:rsidP="00A55F33">
            <w:pPr>
              <w:spacing w:after="0"/>
              <w:jc w:val="center"/>
              <w:rPr>
                <w:rFonts w:ascii="Calibri" w:eastAsia="Times New Roman" w:hAnsi="Calibri" w:cs="Times New Roman"/>
                <w:b/>
                <w:bCs/>
                <w:color w:val="FFFFFF"/>
              </w:rPr>
            </w:pPr>
            <w:r w:rsidRPr="00575029">
              <w:rPr>
                <w:rFonts w:ascii="Calibri" w:eastAsia="Times New Roman" w:hAnsi="Calibri" w:cs="Times New Roman"/>
                <w:b/>
                <w:bCs/>
                <w:color w:val="FFFFFF"/>
              </w:rPr>
              <w:t>HES-IE</w:t>
            </w:r>
          </w:p>
        </w:tc>
      </w:tr>
      <w:tr w:rsidR="00ED5498" w:rsidRPr="00575029" w:rsidTr="00852EAD">
        <w:tc>
          <w:tcPr>
            <w:tcW w:w="652" w:type="pct"/>
            <w:vMerge/>
            <w:vAlign w:val="center"/>
            <w:hideMark/>
          </w:tcPr>
          <w:p w:rsidR="00ED5498" w:rsidRPr="00575029" w:rsidRDefault="00ED5498" w:rsidP="00A55F33">
            <w:pPr>
              <w:spacing w:after="0"/>
              <w:jc w:val="center"/>
              <w:rPr>
                <w:rFonts w:ascii="Calibri" w:eastAsia="Times New Roman" w:hAnsi="Calibri" w:cs="Times New Roman"/>
                <w:b/>
                <w:bCs/>
                <w:color w:val="FFFFFF"/>
              </w:rPr>
            </w:pPr>
          </w:p>
        </w:tc>
        <w:tc>
          <w:tcPr>
            <w:tcW w:w="1049" w:type="pct"/>
            <w:vMerge/>
            <w:vAlign w:val="center"/>
            <w:hideMark/>
          </w:tcPr>
          <w:p w:rsidR="00ED5498" w:rsidRPr="00575029" w:rsidRDefault="00ED5498" w:rsidP="00A55F33">
            <w:pPr>
              <w:spacing w:after="0"/>
              <w:jc w:val="center"/>
              <w:rPr>
                <w:rFonts w:ascii="Calibri" w:eastAsia="Times New Roman" w:hAnsi="Calibri" w:cs="Times New Roman"/>
                <w:b/>
                <w:bCs/>
                <w:color w:val="FFFFFF"/>
              </w:rPr>
            </w:pPr>
          </w:p>
        </w:tc>
        <w:tc>
          <w:tcPr>
            <w:tcW w:w="1128" w:type="pct"/>
            <w:shd w:val="clear" w:color="000000" w:fill="005DAA"/>
            <w:vAlign w:val="center"/>
            <w:hideMark/>
          </w:tcPr>
          <w:p w:rsidR="00ED5498" w:rsidRPr="00575029" w:rsidRDefault="00ED5498" w:rsidP="00A55F33">
            <w:pPr>
              <w:spacing w:after="0"/>
              <w:jc w:val="center"/>
              <w:rPr>
                <w:rFonts w:ascii="Calibri" w:eastAsia="Times New Roman" w:hAnsi="Calibri" w:cs="Times New Roman"/>
                <w:b/>
                <w:bCs/>
                <w:color w:val="FFFFFF"/>
              </w:rPr>
            </w:pPr>
            <w:r w:rsidRPr="00575029">
              <w:rPr>
                <w:rFonts w:ascii="Calibri" w:eastAsia="Times New Roman" w:hAnsi="Calibri" w:cs="Times New Roman"/>
                <w:b/>
                <w:bCs/>
                <w:color w:val="FFFFFF"/>
              </w:rPr>
              <w:t>Electric</w:t>
            </w:r>
          </w:p>
        </w:tc>
        <w:tc>
          <w:tcPr>
            <w:tcW w:w="1081" w:type="pct"/>
            <w:shd w:val="clear" w:color="000000" w:fill="005DAA"/>
            <w:vAlign w:val="center"/>
            <w:hideMark/>
          </w:tcPr>
          <w:p w:rsidR="00ED5498" w:rsidRPr="00575029" w:rsidRDefault="00ED5498" w:rsidP="00A55F33">
            <w:pPr>
              <w:spacing w:after="0"/>
              <w:jc w:val="center"/>
              <w:rPr>
                <w:rFonts w:ascii="Calibri" w:eastAsia="Times New Roman" w:hAnsi="Calibri" w:cs="Times New Roman"/>
                <w:b/>
                <w:bCs/>
                <w:color w:val="FFFFFF"/>
              </w:rPr>
            </w:pPr>
            <w:r w:rsidRPr="00575029">
              <w:rPr>
                <w:rFonts w:ascii="Calibri" w:eastAsia="Times New Roman" w:hAnsi="Calibri" w:cs="Times New Roman"/>
                <w:b/>
                <w:bCs/>
                <w:color w:val="FFFFFF"/>
              </w:rPr>
              <w:t>Gas</w:t>
            </w:r>
          </w:p>
        </w:tc>
        <w:tc>
          <w:tcPr>
            <w:tcW w:w="1090" w:type="pct"/>
            <w:shd w:val="clear" w:color="000000" w:fill="005DAA"/>
            <w:vAlign w:val="center"/>
            <w:hideMark/>
          </w:tcPr>
          <w:p w:rsidR="00ED5498" w:rsidRPr="00575029" w:rsidRDefault="00ED5498" w:rsidP="00A55F33">
            <w:pPr>
              <w:spacing w:after="0"/>
              <w:jc w:val="center"/>
              <w:rPr>
                <w:rFonts w:ascii="Calibri" w:eastAsia="Times New Roman" w:hAnsi="Calibri" w:cs="Times New Roman"/>
                <w:b/>
                <w:bCs/>
                <w:color w:val="FFFFFF"/>
              </w:rPr>
            </w:pPr>
            <w:r w:rsidRPr="00575029">
              <w:rPr>
                <w:rFonts w:ascii="Calibri" w:eastAsia="Times New Roman" w:hAnsi="Calibri" w:cs="Times New Roman"/>
                <w:b/>
                <w:bCs/>
                <w:color w:val="FFFFFF"/>
              </w:rPr>
              <w:t>Oil/Propane</w:t>
            </w:r>
          </w:p>
        </w:tc>
      </w:tr>
      <w:tr w:rsidR="006E6279" w:rsidRPr="00575029" w:rsidTr="00852EAD">
        <w:tc>
          <w:tcPr>
            <w:tcW w:w="652" w:type="pct"/>
            <w:vMerge w:val="restart"/>
            <w:shd w:val="clear" w:color="auto" w:fill="auto"/>
            <w:vAlign w:val="center"/>
            <w:hideMark/>
          </w:tcPr>
          <w:p w:rsidR="006E6279" w:rsidRPr="00575029" w:rsidRDefault="006E6279"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Appliance</w:t>
            </w:r>
          </w:p>
        </w:tc>
        <w:tc>
          <w:tcPr>
            <w:tcW w:w="1049" w:type="pct"/>
            <w:shd w:val="clear" w:color="auto" w:fill="auto"/>
            <w:vAlign w:val="center"/>
            <w:hideMark/>
          </w:tcPr>
          <w:p w:rsidR="006E6279" w:rsidRPr="00575029" w:rsidRDefault="006E6279"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Freezer</w:t>
            </w:r>
          </w:p>
        </w:tc>
        <w:tc>
          <w:tcPr>
            <w:tcW w:w="1128" w:type="pct"/>
            <w:shd w:val="clear" w:color="auto" w:fill="auto"/>
            <w:vAlign w:val="center"/>
            <w:hideMark/>
          </w:tcPr>
          <w:p w:rsidR="006E6279" w:rsidRPr="00575029" w:rsidRDefault="006E6279" w:rsidP="00A55F3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(±32%)</w:t>
            </w:r>
          </w:p>
        </w:tc>
        <w:tc>
          <w:tcPr>
            <w:tcW w:w="1081" w:type="pct"/>
            <w:shd w:val="clear" w:color="auto" w:fill="auto"/>
            <w:vAlign w:val="center"/>
            <w:hideMark/>
          </w:tcPr>
          <w:p w:rsidR="006E6279" w:rsidRPr="00575029" w:rsidRDefault="006E6279" w:rsidP="006E6279">
            <w:pPr>
              <w:spacing w:after="0"/>
              <w:jc w:val="center"/>
              <w:rPr>
                <w:rFonts w:ascii="Calibri" w:eastAsia="Times New Roman" w:hAnsi="Calibri" w:cs="Times New Roman"/>
                <w:color w:val="000000"/>
                <w:sz w:val="20"/>
                <w:szCs w:val="20"/>
              </w:rPr>
            </w:pPr>
            <w:r w:rsidRPr="007C1125">
              <w:rPr>
                <w:rFonts w:ascii="Calibri" w:eastAsia="Times New Roman" w:hAnsi="Calibri" w:cs="Times New Roman"/>
                <w:color w:val="000000"/>
                <w:sz w:val="20"/>
                <w:szCs w:val="20"/>
              </w:rPr>
              <w:t>–</w:t>
            </w:r>
          </w:p>
        </w:tc>
        <w:tc>
          <w:tcPr>
            <w:tcW w:w="1090" w:type="pct"/>
            <w:shd w:val="clear" w:color="auto" w:fill="auto"/>
            <w:vAlign w:val="center"/>
            <w:hideMark/>
          </w:tcPr>
          <w:p w:rsidR="006E6279" w:rsidRPr="00575029" w:rsidRDefault="006E6279" w:rsidP="006E6279">
            <w:pPr>
              <w:spacing w:after="0"/>
              <w:jc w:val="center"/>
              <w:rPr>
                <w:rFonts w:ascii="Calibri" w:eastAsia="Times New Roman" w:hAnsi="Calibri" w:cs="Times New Roman"/>
                <w:color w:val="000000"/>
                <w:sz w:val="20"/>
                <w:szCs w:val="20"/>
              </w:rPr>
            </w:pPr>
            <w:r w:rsidRPr="007C1125">
              <w:rPr>
                <w:rFonts w:ascii="Calibri" w:eastAsia="Times New Roman" w:hAnsi="Calibri" w:cs="Times New Roman"/>
                <w:color w:val="000000"/>
                <w:sz w:val="20"/>
                <w:szCs w:val="20"/>
              </w:rPr>
              <w:t>–</w:t>
            </w:r>
          </w:p>
        </w:tc>
      </w:tr>
      <w:tr w:rsidR="006E6279" w:rsidRPr="00575029" w:rsidTr="00852EAD">
        <w:tc>
          <w:tcPr>
            <w:tcW w:w="652" w:type="pct"/>
            <w:vMerge/>
            <w:vAlign w:val="center"/>
            <w:hideMark/>
          </w:tcPr>
          <w:p w:rsidR="006E6279" w:rsidRPr="00575029" w:rsidRDefault="006E6279" w:rsidP="00A55F33">
            <w:pPr>
              <w:spacing w:after="0"/>
              <w:rPr>
                <w:rFonts w:ascii="Calibri" w:eastAsia="Times New Roman" w:hAnsi="Calibri" w:cs="Times New Roman"/>
                <w:color w:val="000000"/>
                <w:sz w:val="20"/>
                <w:szCs w:val="20"/>
              </w:rPr>
            </w:pPr>
          </w:p>
        </w:tc>
        <w:tc>
          <w:tcPr>
            <w:tcW w:w="1049" w:type="pct"/>
            <w:shd w:val="clear" w:color="auto" w:fill="auto"/>
            <w:vAlign w:val="center"/>
            <w:hideMark/>
          </w:tcPr>
          <w:p w:rsidR="006E6279" w:rsidRPr="00575029" w:rsidRDefault="006E6279"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Refrigerator</w:t>
            </w:r>
          </w:p>
        </w:tc>
        <w:tc>
          <w:tcPr>
            <w:tcW w:w="1128" w:type="pct"/>
            <w:shd w:val="clear" w:color="auto" w:fill="auto"/>
            <w:vAlign w:val="center"/>
            <w:hideMark/>
          </w:tcPr>
          <w:p w:rsidR="006E6279" w:rsidRPr="00575029" w:rsidRDefault="006E6279" w:rsidP="00A55F3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(±28%)</w:t>
            </w:r>
          </w:p>
        </w:tc>
        <w:tc>
          <w:tcPr>
            <w:tcW w:w="1081" w:type="pct"/>
            <w:shd w:val="clear" w:color="auto" w:fill="auto"/>
            <w:vAlign w:val="center"/>
            <w:hideMark/>
          </w:tcPr>
          <w:p w:rsidR="006E6279" w:rsidRPr="00575029" w:rsidRDefault="006E6279" w:rsidP="006E6279">
            <w:pPr>
              <w:spacing w:after="0"/>
              <w:jc w:val="center"/>
              <w:rPr>
                <w:rFonts w:ascii="Calibri" w:eastAsia="Times New Roman" w:hAnsi="Calibri" w:cs="Times New Roman"/>
                <w:color w:val="000000"/>
                <w:sz w:val="20"/>
                <w:szCs w:val="20"/>
              </w:rPr>
            </w:pPr>
            <w:r w:rsidRPr="007C1125">
              <w:rPr>
                <w:rFonts w:ascii="Calibri" w:eastAsia="Times New Roman" w:hAnsi="Calibri" w:cs="Times New Roman"/>
                <w:color w:val="000000"/>
                <w:sz w:val="20"/>
                <w:szCs w:val="20"/>
              </w:rPr>
              <w:t>–</w:t>
            </w:r>
          </w:p>
        </w:tc>
        <w:tc>
          <w:tcPr>
            <w:tcW w:w="1090" w:type="pct"/>
            <w:shd w:val="clear" w:color="auto" w:fill="auto"/>
            <w:vAlign w:val="center"/>
            <w:hideMark/>
          </w:tcPr>
          <w:p w:rsidR="006E6279" w:rsidRPr="00575029" w:rsidRDefault="006E6279" w:rsidP="006E6279">
            <w:pPr>
              <w:spacing w:after="0"/>
              <w:jc w:val="center"/>
              <w:rPr>
                <w:rFonts w:ascii="Calibri" w:eastAsia="Times New Roman" w:hAnsi="Calibri" w:cs="Times New Roman"/>
                <w:color w:val="000000"/>
                <w:sz w:val="20"/>
                <w:szCs w:val="20"/>
              </w:rPr>
            </w:pPr>
            <w:r w:rsidRPr="007C1125">
              <w:rPr>
                <w:rFonts w:ascii="Calibri" w:eastAsia="Times New Roman" w:hAnsi="Calibri" w:cs="Times New Roman"/>
                <w:color w:val="000000"/>
                <w:sz w:val="20"/>
                <w:szCs w:val="20"/>
              </w:rPr>
              <w:t>–</w:t>
            </w:r>
          </w:p>
        </w:tc>
      </w:tr>
      <w:tr w:rsidR="006E6279" w:rsidRPr="00575029" w:rsidTr="00852EAD">
        <w:tc>
          <w:tcPr>
            <w:tcW w:w="652" w:type="pct"/>
            <w:vMerge/>
            <w:vAlign w:val="center"/>
            <w:hideMark/>
          </w:tcPr>
          <w:p w:rsidR="006E6279" w:rsidRPr="00575029" w:rsidRDefault="006E6279" w:rsidP="00A55F33">
            <w:pPr>
              <w:spacing w:after="0"/>
              <w:rPr>
                <w:rFonts w:ascii="Calibri" w:eastAsia="Times New Roman" w:hAnsi="Calibri" w:cs="Times New Roman"/>
                <w:color w:val="000000"/>
                <w:sz w:val="20"/>
                <w:szCs w:val="20"/>
              </w:rPr>
            </w:pPr>
          </w:p>
        </w:tc>
        <w:tc>
          <w:tcPr>
            <w:tcW w:w="1049" w:type="pct"/>
            <w:shd w:val="clear" w:color="auto" w:fill="auto"/>
            <w:vAlign w:val="center"/>
            <w:hideMark/>
          </w:tcPr>
          <w:p w:rsidR="006E6279" w:rsidRPr="00575029" w:rsidRDefault="006E6279"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Appliance Other*</w:t>
            </w:r>
          </w:p>
        </w:tc>
        <w:tc>
          <w:tcPr>
            <w:tcW w:w="1128" w:type="pct"/>
            <w:shd w:val="clear" w:color="auto" w:fill="auto"/>
            <w:vAlign w:val="center"/>
            <w:hideMark/>
          </w:tcPr>
          <w:p w:rsidR="006E6279" w:rsidRPr="00575029" w:rsidRDefault="006E6279" w:rsidP="00A55F3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(±24%)</w:t>
            </w:r>
          </w:p>
        </w:tc>
        <w:tc>
          <w:tcPr>
            <w:tcW w:w="1081" w:type="pct"/>
            <w:shd w:val="clear" w:color="auto" w:fill="auto"/>
            <w:vAlign w:val="center"/>
            <w:hideMark/>
          </w:tcPr>
          <w:p w:rsidR="006E6279" w:rsidRPr="00575029" w:rsidRDefault="006E6279" w:rsidP="00A55F33">
            <w:pPr>
              <w:spacing w:after="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Reported </w:t>
            </w:r>
            <w:r w:rsidRPr="006E6279">
              <w:rPr>
                <w:rFonts w:ascii="Calibri" w:eastAsia="Times New Roman" w:hAnsi="Calibri" w:cs="Times New Roman"/>
                <w:i/>
                <w:color w:val="000000"/>
                <w:sz w:val="20"/>
                <w:szCs w:val="20"/>
              </w:rPr>
              <w:t>Ex Ante</w:t>
            </w:r>
          </w:p>
        </w:tc>
        <w:tc>
          <w:tcPr>
            <w:tcW w:w="1090" w:type="pct"/>
            <w:shd w:val="clear" w:color="auto" w:fill="auto"/>
            <w:vAlign w:val="center"/>
            <w:hideMark/>
          </w:tcPr>
          <w:p w:rsidR="006E6279" w:rsidRPr="00575029" w:rsidRDefault="006E6279" w:rsidP="006E6279">
            <w:pPr>
              <w:spacing w:after="0"/>
              <w:jc w:val="center"/>
              <w:rPr>
                <w:rFonts w:ascii="Calibri" w:eastAsia="Times New Roman" w:hAnsi="Calibri" w:cs="Times New Roman"/>
                <w:color w:val="000000"/>
                <w:sz w:val="20"/>
                <w:szCs w:val="20"/>
              </w:rPr>
            </w:pPr>
            <w:r w:rsidRPr="00186C54">
              <w:rPr>
                <w:rFonts w:ascii="Calibri" w:eastAsia="Times New Roman" w:hAnsi="Calibri" w:cs="Times New Roman"/>
                <w:color w:val="000000"/>
                <w:sz w:val="20"/>
                <w:szCs w:val="20"/>
              </w:rPr>
              <w:t>–</w:t>
            </w:r>
          </w:p>
        </w:tc>
      </w:tr>
      <w:tr w:rsidR="006E6279" w:rsidRPr="00575029" w:rsidTr="00852EAD">
        <w:tc>
          <w:tcPr>
            <w:tcW w:w="652" w:type="pct"/>
            <w:vMerge w:val="restart"/>
            <w:shd w:val="clear" w:color="auto" w:fill="auto"/>
            <w:vAlign w:val="center"/>
            <w:hideMark/>
          </w:tcPr>
          <w:p w:rsidR="006E6279" w:rsidRPr="00575029" w:rsidRDefault="006E6279"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HVAC</w:t>
            </w:r>
          </w:p>
        </w:tc>
        <w:tc>
          <w:tcPr>
            <w:tcW w:w="1049" w:type="pct"/>
            <w:shd w:val="clear" w:color="auto" w:fill="auto"/>
            <w:vAlign w:val="center"/>
            <w:hideMark/>
          </w:tcPr>
          <w:p w:rsidR="006E6279" w:rsidRPr="00575029" w:rsidRDefault="006E6279"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Central AC</w:t>
            </w:r>
          </w:p>
        </w:tc>
        <w:tc>
          <w:tcPr>
            <w:tcW w:w="1128" w:type="pct"/>
            <w:shd w:val="clear" w:color="auto" w:fill="auto"/>
            <w:vAlign w:val="center"/>
            <w:hideMark/>
          </w:tcPr>
          <w:p w:rsidR="006E6279" w:rsidRPr="00575029" w:rsidRDefault="006E6279" w:rsidP="00A55F3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81" w:type="pct"/>
            <w:shd w:val="clear" w:color="auto" w:fill="auto"/>
            <w:hideMark/>
          </w:tcPr>
          <w:p w:rsidR="006E6279" w:rsidRPr="00575029" w:rsidRDefault="006E6279" w:rsidP="00A55F33">
            <w:pPr>
              <w:spacing w:after="0"/>
              <w:jc w:val="center"/>
              <w:rPr>
                <w:rFonts w:ascii="Calibri" w:eastAsia="Times New Roman" w:hAnsi="Calibri" w:cs="Times New Roman"/>
                <w:color w:val="000000"/>
                <w:sz w:val="20"/>
                <w:szCs w:val="20"/>
              </w:rPr>
            </w:pPr>
            <w:r w:rsidRPr="00747D4C">
              <w:rPr>
                <w:rFonts w:ascii="Calibri" w:eastAsia="Times New Roman" w:hAnsi="Calibri" w:cs="Times New Roman"/>
                <w:color w:val="000000"/>
                <w:sz w:val="20"/>
                <w:szCs w:val="20"/>
              </w:rPr>
              <w:t>–</w:t>
            </w:r>
          </w:p>
        </w:tc>
        <w:tc>
          <w:tcPr>
            <w:tcW w:w="1090" w:type="pct"/>
            <w:shd w:val="clear" w:color="auto" w:fill="auto"/>
            <w:hideMark/>
          </w:tcPr>
          <w:p w:rsidR="006E6279" w:rsidRPr="00575029" w:rsidRDefault="006E6279" w:rsidP="006E6279">
            <w:pPr>
              <w:spacing w:after="0"/>
              <w:jc w:val="center"/>
              <w:rPr>
                <w:rFonts w:ascii="Calibri" w:eastAsia="Times New Roman" w:hAnsi="Calibri" w:cs="Times New Roman"/>
                <w:color w:val="000000"/>
                <w:sz w:val="20"/>
                <w:szCs w:val="20"/>
              </w:rPr>
            </w:pPr>
            <w:r w:rsidRPr="00747D4C">
              <w:rPr>
                <w:rFonts w:ascii="Calibri" w:eastAsia="Times New Roman" w:hAnsi="Calibri" w:cs="Times New Roman"/>
                <w:color w:val="000000"/>
                <w:sz w:val="20"/>
                <w:szCs w:val="20"/>
              </w:rPr>
              <w:t>–</w:t>
            </w:r>
          </w:p>
        </w:tc>
      </w:tr>
      <w:tr w:rsidR="00ED5498" w:rsidRPr="00575029" w:rsidTr="00852EAD">
        <w:tc>
          <w:tcPr>
            <w:tcW w:w="652" w:type="pct"/>
            <w:vMerge/>
            <w:vAlign w:val="center"/>
            <w:hideMark/>
          </w:tcPr>
          <w:p w:rsidR="00ED5498" w:rsidRPr="00575029" w:rsidRDefault="00ED5498" w:rsidP="00A55F33">
            <w:pPr>
              <w:spacing w:after="0"/>
              <w:rPr>
                <w:rFonts w:ascii="Calibri" w:eastAsia="Times New Roman" w:hAnsi="Calibri" w:cs="Times New Roman"/>
                <w:color w:val="000000"/>
                <w:sz w:val="20"/>
                <w:szCs w:val="20"/>
              </w:rPr>
            </w:pPr>
          </w:p>
        </w:tc>
        <w:tc>
          <w:tcPr>
            <w:tcW w:w="1049" w:type="pct"/>
            <w:shd w:val="clear" w:color="auto" w:fill="auto"/>
            <w:vAlign w:val="center"/>
            <w:hideMark/>
          </w:tcPr>
          <w:p w:rsidR="00ED5498" w:rsidRPr="00575029" w:rsidRDefault="00ED5498"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Duct Sealing</w:t>
            </w:r>
          </w:p>
        </w:tc>
        <w:tc>
          <w:tcPr>
            <w:tcW w:w="1128" w:type="pct"/>
            <w:shd w:val="clear" w:color="auto" w:fill="auto"/>
            <w:vAlign w:val="center"/>
            <w:hideMark/>
          </w:tcPr>
          <w:p w:rsidR="00ED5498" w:rsidRPr="00575029" w:rsidRDefault="003C4590" w:rsidP="00A55F3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w:t>
            </w:r>
            <w:r w:rsidR="00ED5498" w:rsidRPr="00575029">
              <w:rPr>
                <w:rFonts w:ascii="Calibri" w:eastAsia="Times New Roman" w:hAnsi="Calibri" w:cs="Times New Roman"/>
                <w:color w:val="000000"/>
                <w:sz w:val="20"/>
                <w:szCs w:val="20"/>
              </w:rPr>
              <w:t xml:space="preserve"> Modeling</w:t>
            </w:r>
          </w:p>
        </w:tc>
        <w:tc>
          <w:tcPr>
            <w:tcW w:w="1081" w:type="pct"/>
            <w:shd w:val="clear" w:color="auto" w:fill="auto"/>
            <w:vAlign w:val="center"/>
            <w:hideMark/>
          </w:tcPr>
          <w:p w:rsidR="00ED5498" w:rsidRPr="00575029" w:rsidRDefault="003C4590" w:rsidP="00A55F3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w:t>
            </w:r>
            <w:r w:rsidR="00ED5498" w:rsidRPr="00575029">
              <w:rPr>
                <w:rFonts w:ascii="Calibri" w:eastAsia="Times New Roman" w:hAnsi="Calibri" w:cs="Times New Roman"/>
                <w:color w:val="000000"/>
                <w:sz w:val="20"/>
                <w:szCs w:val="20"/>
              </w:rPr>
              <w:t xml:space="preserve"> Modeling</w:t>
            </w:r>
          </w:p>
        </w:tc>
        <w:tc>
          <w:tcPr>
            <w:tcW w:w="1090" w:type="pct"/>
            <w:shd w:val="clear" w:color="auto" w:fill="auto"/>
            <w:vAlign w:val="center"/>
            <w:hideMark/>
          </w:tcPr>
          <w:p w:rsidR="00ED5498" w:rsidRPr="00575029" w:rsidRDefault="003C4590" w:rsidP="00A55F3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w:t>
            </w:r>
            <w:r w:rsidR="00ED5498" w:rsidRPr="00575029">
              <w:rPr>
                <w:rFonts w:ascii="Calibri" w:eastAsia="Times New Roman" w:hAnsi="Calibri" w:cs="Times New Roman"/>
                <w:color w:val="000000"/>
                <w:sz w:val="20"/>
                <w:szCs w:val="20"/>
              </w:rPr>
              <w:t xml:space="preserve"> Modeling</w:t>
            </w:r>
          </w:p>
        </w:tc>
      </w:tr>
      <w:tr w:rsidR="006E6279" w:rsidRPr="00575029" w:rsidTr="00852EAD">
        <w:tc>
          <w:tcPr>
            <w:tcW w:w="652" w:type="pct"/>
            <w:vMerge/>
            <w:vAlign w:val="center"/>
            <w:hideMark/>
          </w:tcPr>
          <w:p w:rsidR="006E6279" w:rsidRPr="00575029" w:rsidRDefault="006E6279" w:rsidP="00A55F33">
            <w:pPr>
              <w:spacing w:after="0"/>
              <w:rPr>
                <w:rFonts w:ascii="Calibri" w:eastAsia="Times New Roman" w:hAnsi="Calibri" w:cs="Times New Roman"/>
                <w:color w:val="000000"/>
                <w:sz w:val="20"/>
                <w:szCs w:val="20"/>
              </w:rPr>
            </w:pPr>
          </w:p>
        </w:tc>
        <w:tc>
          <w:tcPr>
            <w:tcW w:w="1049" w:type="pct"/>
            <w:shd w:val="clear" w:color="auto" w:fill="auto"/>
            <w:vAlign w:val="center"/>
            <w:hideMark/>
          </w:tcPr>
          <w:p w:rsidR="006E6279" w:rsidRPr="00575029" w:rsidRDefault="006E6279"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Ductless Heat Pump</w:t>
            </w:r>
          </w:p>
        </w:tc>
        <w:tc>
          <w:tcPr>
            <w:tcW w:w="1128" w:type="pct"/>
            <w:shd w:val="clear" w:color="auto" w:fill="auto"/>
            <w:vAlign w:val="center"/>
            <w:hideMark/>
          </w:tcPr>
          <w:p w:rsidR="006E6279" w:rsidRPr="00575029" w:rsidRDefault="006E6279" w:rsidP="00A55F3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(±32%)</w:t>
            </w:r>
          </w:p>
        </w:tc>
        <w:tc>
          <w:tcPr>
            <w:tcW w:w="1081" w:type="pct"/>
            <w:shd w:val="clear" w:color="auto" w:fill="auto"/>
            <w:vAlign w:val="center"/>
            <w:hideMark/>
          </w:tcPr>
          <w:p w:rsidR="006E6279" w:rsidRPr="00575029" w:rsidRDefault="006E6279" w:rsidP="006E6279">
            <w:pPr>
              <w:spacing w:after="0"/>
              <w:jc w:val="center"/>
              <w:rPr>
                <w:rFonts w:ascii="Calibri" w:eastAsia="Times New Roman" w:hAnsi="Calibri" w:cs="Times New Roman"/>
                <w:color w:val="000000"/>
                <w:sz w:val="20"/>
                <w:szCs w:val="20"/>
              </w:rPr>
            </w:pPr>
            <w:r w:rsidRPr="00E757C6">
              <w:rPr>
                <w:rFonts w:ascii="Calibri" w:eastAsia="Times New Roman" w:hAnsi="Calibri" w:cs="Times New Roman"/>
                <w:color w:val="000000"/>
                <w:sz w:val="20"/>
                <w:szCs w:val="20"/>
              </w:rPr>
              <w:t>–</w:t>
            </w:r>
          </w:p>
        </w:tc>
        <w:tc>
          <w:tcPr>
            <w:tcW w:w="1090" w:type="pct"/>
            <w:shd w:val="clear" w:color="auto" w:fill="auto"/>
            <w:vAlign w:val="center"/>
            <w:hideMark/>
          </w:tcPr>
          <w:p w:rsidR="006E6279" w:rsidRPr="00575029" w:rsidRDefault="006E6279" w:rsidP="006E6279">
            <w:pPr>
              <w:spacing w:after="0"/>
              <w:jc w:val="center"/>
              <w:rPr>
                <w:rFonts w:ascii="Calibri" w:eastAsia="Times New Roman" w:hAnsi="Calibri" w:cs="Times New Roman"/>
                <w:color w:val="000000"/>
                <w:sz w:val="20"/>
                <w:szCs w:val="20"/>
              </w:rPr>
            </w:pPr>
            <w:r w:rsidRPr="00E757C6">
              <w:rPr>
                <w:rFonts w:ascii="Calibri" w:eastAsia="Times New Roman" w:hAnsi="Calibri" w:cs="Times New Roman"/>
                <w:color w:val="000000"/>
                <w:sz w:val="20"/>
                <w:szCs w:val="20"/>
              </w:rPr>
              <w:t>–</w:t>
            </w:r>
          </w:p>
        </w:tc>
      </w:tr>
      <w:tr w:rsidR="00ED5498" w:rsidRPr="00575029" w:rsidTr="00852EAD">
        <w:tc>
          <w:tcPr>
            <w:tcW w:w="652" w:type="pct"/>
            <w:vMerge/>
            <w:vAlign w:val="center"/>
            <w:hideMark/>
          </w:tcPr>
          <w:p w:rsidR="00ED5498" w:rsidRPr="00575029" w:rsidRDefault="00ED5498" w:rsidP="00A55F33">
            <w:pPr>
              <w:spacing w:after="0"/>
              <w:rPr>
                <w:rFonts w:ascii="Calibri" w:eastAsia="Times New Roman" w:hAnsi="Calibri" w:cs="Times New Roman"/>
                <w:color w:val="000000"/>
                <w:sz w:val="20"/>
                <w:szCs w:val="20"/>
              </w:rPr>
            </w:pPr>
          </w:p>
        </w:tc>
        <w:tc>
          <w:tcPr>
            <w:tcW w:w="1049" w:type="pct"/>
            <w:shd w:val="clear" w:color="auto" w:fill="auto"/>
            <w:vAlign w:val="center"/>
            <w:hideMark/>
          </w:tcPr>
          <w:p w:rsidR="00ED5498" w:rsidRPr="00575029" w:rsidRDefault="00ED5498"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Heating System Replacement</w:t>
            </w:r>
          </w:p>
        </w:tc>
        <w:tc>
          <w:tcPr>
            <w:tcW w:w="1128" w:type="pct"/>
            <w:shd w:val="clear" w:color="auto" w:fill="auto"/>
            <w:vAlign w:val="center"/>
            <w:hideMark/>
          </w:tcPr>
          <w:p w:rsidR="00ED5498" w:rsidRPr="00575029" w:rsidRDefault="006E6279" w:rsidP="00A55F33">
            <w:pPr>
              <w:spacing w:after="0"/>
              <w:jc w:val="center"/>
              <w:rPr>
                <w:rFonts w:ascii="Calibri" w:eastAsia="Times New Roman" w:hAnsi="Calibri" w:cs="Times New Roman"/>
                <w:color w:val="000000"/>
                <w:sz w:val="20"/>
                <w:szCs w:val="20"/>
              </w:rPr>
            </w:pPr>
            <w:r w:rsidRPr="007C1125">
              <w:rPr>
                <w:rFonts w:ascii="Calibri" w:eastAsia="Times New Roman" w:hAnsi="Calibri" w:cs="Times New Roman"/>
                <w:color w:val="000000"/>
                <w:sz w:val="20"/>
                <w:szCs w:val="20"/>
              </w:rPr>
              <w:t>–</w:t>
            </w:r>
          </w:p>
        </w:tc>
        <w:tc>
          <w:tcPr>
            <w:tcW w:w="1081" w:type="pct"/>
            <w:shd w:val="clear" w:color="auto" w:fill="auto"/>
            <w:vAlign w:val="center"/>
            <w:hideMark/>
          </w:tcPr>
          <w:p w:rsidR="00ED5498" w:rsidRPr="00575029" w:rsidRDefault="00ED5498" w:rsidP="00A55F3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(±14%)</w:t>
            </w:r>
          </w:p>
        </w:tc>
        <w:tc>
          <w:tcPr>
            <w:tcW w:w="1090" w:type="pct"/>
            <w:shd w:val="clear" w:color="auto" w:fill="auto"/>
            <w:vAlign w:val="center"/>
            <w:hideMark/>
          </w:tcPr>
          <w:p w:rsidR="00ED5498" w:rsidRPr="00575029" w:rsidRDefault="00ED5498" w:rsidP="00A55F3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(±14%)</w:t>
            </w:r>
          </w:p>
        </w:tc>
      </w:tr>
      <w:tr w:rsidR="006E6279" w:rsidRPr="00575029" w:rsidTr="00852EAD">
        <w:tc>
          <w:tcPr>
            <w:tcW w:w="652" w:type="pct"/>
            <w:vMerge/>
            <w:vAlign w:val="center"/>
            <w:hideMark/>
          </w:tcPr>
          <w:p w:rsidR="006E6279" w:rsidRPr="00575029" w:rsidRDefault="006E6279" w:rsidP="00A55F33">
            <w:pPr>
              <w:spacing w:after="0"/>
              <w:rPr>
                <w:rFonts w:ascii="Calibri" w:eastAsia="Times New Roman" w:hAnsi="Calibri" w:cs="Times New Roman"/>
                <w:color w:val="000000"/>
                <w:sz w:val="20"/>
                <w:szCs w:val="20"/>
              </w:rPr>
            </w:pPr>
          </w:p>
        </w:tc>
        <w:tc>
          <w:tcPr>
            <w:tcW w:w="1049" w:type="pct"/>
            <w:shd w:val="clear" w:color="auto" w:fill="auto"/>
            <w:vAlign w:val="center"/>
            <w:hideMark/>
          </w:tcPr>
          <w:p w:rsidR="006E6279" w:rsidRPr="00575029" w:rsidRDefault="006E6279"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Window AC</w:t>
            </w:r>
          </w:p>
        </w:tc>
        <w:tc>
          <w:tcPr>
            <w:tcW w:w="1128" w:type="pct"/>
            <w:shd w:val="clear" w:color="auto" w:fill="auto"/>
            <w:vAlign w:val="center"/>
            <w:hideMark/>
          </w:tcPr>
          <w:p w:rsidR="006E6279" w:rsidRPr="00575029" w:rsidRDefault="006E6279" w:rsidP="00A55F3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81" w:type="pct"/>
            <w:shd w:val="clear" w:color="auto" w:fill="auto"/>
            <w:vAlign w:val="center"/>
            <w:hideMark/>
          </w:tcPr>
          <w:p w:rsidR="006E6279" w:rsidRPr="00575029" w:rsidRDefault="006E6279" w:rsidP="006E6279">
            <w:pPr>
              <w:spacing w:after="0"/>
              <w:jc w:val="center"/>
              <w:rPr>
                <w:rFonts w:ascii="Calibri" w:eastAsia="Times New Roman" w:hAnsi="Calibri" w:cs="Times New Roman"/>
                <w:color w:val="000000"/>
                <w:sz w:val="20"/>
                <w:szCs w:val="20"/>
              </w:rPr>
            </w:pPr>
            <w:r w:rsidRPr="00FA6C85">
              <w:rPr>
                <w:rFonts w:ascii="Calibri" w:eastAsia="Times New Roman" w:hAnsi="Calibri" w:cs="Times New Roman"/>
                <w:color w:val="000000"/>
                <w:sz w:val="20"/>
                <w:szCs w:val="20"/>
              </w:rPr>
              <w:t>–</w:t>
            </w:r>
          </w:p>
        </w:tc>
        <w:tc>
          <w:tcPr>
            <w:tcW w:w="1090" w:type="pct"/>
            <w:shd w:val="clear" w:color="auto" w:fill="auto"/>
            <w:vAlign w:val="center"/>
            <w:hideMark/>
          </w:tcPr>
          <w:p w:rsidR="006E6279" w:rsidRPr="00575029" w:rsidRDefault="006E6279" w:rsidP="006E6279">
            <w:pPr>
              <w:spacing w:after="0"/>
              <w:jc w:val="center"/>
              <w:rPr>
                <w:rFonts w:ascii="Calibri" w:eastAsia="Times New Roman" w:hAnsi="Calibri" w:cs="Times New Roman"/>
                <w:color w:val="000000"/>
                <w:sz w:val="20"/>
                <w:szCs w:val="20"/>
              </w:rPr>
            </w:pPr>
            <w:r w:rsidRPr="00FA6C85">
              <w:rPr>
                <w:rFonts w:ascii="Calibri" w:eastAsia="Times New Roman" w:hAnsi="Calibri" w:cs="Times New Roman"/>
                <w:color w:val="000000"/>
                <w:sz w:val="20"/>
                <w:szCs w:val="20"/>
              </w:rPr>
              <w:t>–</w:t>
            </w:r>
          </w:p>
        </w:tc>
      </w:tr>
      <w:tr w:rsidR="006E6279" w:rsidRPr="00575029" w:rsidTr="00852EAD">
        <w:tc>
          <w:tcPr>
            <w:tcW w:w="652" w:type="pct"/>
            <w:shd w:val="clear" w:color="auto" w:fill="auto"/>
            <w:vAlign w:val="center"/>
            <w:hideMark/>
          </w:tcPr>
          <w:p w:rsidR="006E6279" w:rsidRPr="00575029" w:rsidRDefault="006E6279"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Lighting</w:t>
            </w:r>
          </w:p>
        </w:tc>
        <w:tc>
          <w:tcPr>
            <w:tcW w:w="1049" w:type="pct"/>
            <w:shd w:val="clear" w:color="auto" w:fill="auto"/>
            <w:vAlign w:val="center"/>
            <w:hideMark/>
          </w:tcPr>
          <w:p w:rsidR="006E6279" w:rsidRPr="00575029" w:rsidRDefault="006E6279"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Lighting</w:t>
            </w:r>
          </w:p>
        </w:tc>
        <w:tc>
          <w:tcPr>
            <w:tcW w:w="1128" w:type="pct"/>
            <w:shd w:val="clear" w:color="auto" w:fill="auto"/>
            <w:vAlign w:val="center"/>
            <w:hideMark/>
          </w:tcPr>
          <w:p w:rsidR="006E6279" w:rsidRPr="00575029" w:rsidRDefault="006E6279" w:rsidP="00A55F3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(±6%)</w:t>
            </w:r>
          </w:p>
        </w:tc>
        <w:tc>
          <w:tcPr>
            <w:tcW w:w="1081" w:type="pct"/>
            <w:shd w:val="clear" w:color="auto" w:fill="auto"/>
            <w:vAlign w:val="center"/>
            <w:hideMark/>
          </w:tcPr>
          <w:p w:rsidR="006E6279" w:rsidRPr="00575029" w:rsidRDefault="006E6279" w:rsidP="006E6279">
            <w:pPr>
              <w:spacing w:after="0"/>
              <w:jc w:val="center"/>
              <w:rPr>
                <w:rFonts w:ascii="Calibri" w:eastAsia="Times New Roman" w:hAnsi="Calibri" w:cs="Times New Roman"/>
                <w:color w:val="000000"/>
                <w:sz w:val="20"/>
                <w:szCs w:val="20"/>
              </w:rPr>
            </w:pPr>
            <w:r w:rsidRPr="00FA6C85">
              <w:rPr>
                <w:rFonts w:ascii="Calibri" w:eastAsia="Times New Roman" w:hAnsi="Calibri" w:cs="Times New Roman"/>
                <w:color w:val="000000"/>
                <w:sz w:val="20"/>
                <w:szCs w:val="20"/>
              </w:rPr>
              <w:t>–</w:t>
            </w:r>
          </w:p>
        </w:tc>
        <w:tc>
          <w:tcPr>
            <w:tcW w:w="1090" w:type="pct"/>
            <w:shd w:val="clear" w:color="auto" w:fill="auto"/>
            <w:vAlign w:val="center"/>
            <w:hideMark/>
          </w:tcPr>
          <w:p w:rsidR="006E6279" w:rsidRPr="00575029" w:rsidRDefault="006E6279" w:rsidP="006E6279">
            <w:pPr>
              <w:spacing w:after="0"/>
              <w:jc w:val="center"/>
              <w:rPr>
                <w:rFonts w:ascii="Calibri" w:eastAsia="Times New Roman" w:hAnsi="Calibri" w:cs="Times New Roman"/>
                <w:color w:val="000000"/>
                <w:sz w:val="20"/>
                <w:szCs w:val="20"/>
              </w:rPr>
            </w:pPr>
            <w:r w:rsidRPr="00FA6C85">
              <w:rPr>
                <w:rFonts w:ascii="Calibri" w:eastAsia="Times New Roman" w:hAnsi="Calibri" w:cs="Times New Roman"/>
                <w:color w:val="000000"/>
                <w:sz w:val="20"/>
                <w:szCs w:val="20"/>
              </w:rPr>
              <w:t>–</w:t>
            </w:r>
          </w:p>
        </w:tc>
      </w:tr>
      <w:tr w:rsidR="00ED5498" w:rsidRPr="00575029" w:rsidTr="00852EAD">
        <w:tc>
          <w:tcPr>
            <w:tcW w:w="652" w:type="pct"/>
            <w:shd w:val="clear" w:color="auto" w:fill="auto"/>
            <w:vAlign w:val="center"/>
            <w:hideMark/>
          </w:tcPr>
          <w:p w:rsidR="00ED5498" w:rsidRPr="00575029" w:rsidRDefault="00ED5498"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Other</w:t>
            </w:r>
          </w:p>
        </w:tc>
        <w:tc>
          <w:tcPr>
            <w:tcW w:w="1049" w:type="pct"/>
            <w:shd w:val="clear" w:color="auto" w:fill="auto"/>
            <w:vAlign w:val="center"/>
            <w:hideMark/>
          </w:tcPr>
          <w:p w:rsidR="00ED5498" w:rsidRPr="00575029" w:rsidRDefault="00ED5498"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Other</w:t>
            </w:r>
          </w:p>
        </w:tc>
        <w:tc>
          <w:tcPr>
            <w:tcW w:w="1128" w:type="pct"/>
            <w:shd w:val="clear" w:color="auto" w:fill="auto"/>
            <w:vAlign w:val="center"/>
            <w:hideMark/>
          </w:tcPr>
          <w:p w:rsidR="00ED5498" w:rsidRPr="00575029" w:rsidRDefault="00ED5498" w:rsidP="00A55F33">
            <w:pPr>
              <w:spacing w:after="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Reported </w:t>
            </w:r>
            <w:r w:rsidRPr="006E6279">
              <w:rPr>
                <w:rFonts w:ascii="Calibri" w:eastAsia="Times New Roman" w:hAnsi="Calibri" w:cs="Times New Roman"/>
                <w:i/>
                <w:color w:val="000000"/>
                <w:sz w:val="20"/>
                <w:szCs w:val="20"/>
              </w:rPr>
              <w:t>Ex Ante</w:t>
            </w:r>
          </w:p>
        </w:tc>
        <w:tc>
          <w:tcPr>
            <w:tcW w:w="1081" w:type="pct"/>
            <w:shd w:val="clear" w:color="auto" w:fill="auto"/>
            <w:vAlign w:val="center"/>
            <w:hideMark/>
          </w:tcPr>
          <w:p w:rsidR="00ED5498" w:rsidRPr="00575029" w:rsidRDefault="00ED5498" w:rsidP="00A55F33">
            <w:pPr>
              <w:spacing w:after="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Reported </w:t>
            </w:r>
            <w:r w:rsidR="007C64E6" w:rsidRPr="007C64E6">
              <w:rPr>
                <w:rFonts w:ascii="Calibri" w:eastAsia="Times New Roman" w:hAnsi="Calibri" w:cs="Times New Roman"/>
                <w:i/>
                <w:color w:val="000000"/>
                <w:sz w:val="20"/>
                <w:szCs w:val="20"/>
              </w:rPr>
              <w:t>Ex Ante</w:t>
            </w:r>
          </w:p>
        </w:tc>
        <w:tc>
          <w:tcPr>
            <w:tcW w:w="1090" w:type="pct"/>
            <w:shd w:val="clear" w:color="auto" w:fill="auto"/>
            <w:vAlign w:val="center"/>
            <w:hideMark/>
          </w:tcPr>
          <w:p w:rsidR="00ED5498" w:rsidRPr="00575029" w:rsidRDefault="00BB24BD" w:rsidP="00A55F33">
            <w:pPr>
              <w:spacing w:after="0"/>
              <w:jc w:val="center"/>
              <w:rPr>
                <w:rFonts w:ascii="Calibri" w:eastAsia="Times New Roman" w:hAnsi="Calibri" w:cs="Times New Roman"/>
                <w:color w:val="000000"/>
                <w:sz w:val="20"/>
                <w:szCs w:val="20"/>
              </w:rPr>
            </w:pPr>
            <w:r w:rsidRPr="00FA6C85">
              <w:rPr>
                <w:rFonts w:ascii="Calibri" w:eastAsia="Times New Roman" w:hAnsi="Calibri" w:cs="Times New Roman"/>
                <w:color w:val="000000"/>
                <w:sz w:val="20"/>
                <w:szCs w:val="20"/>
              </w:rPr>
              <w:t>–</w:t>
            </w:r>
          </w:p>
        </w:tc>
      </w:tr>
      <w:tr w:rsidR="00ED5498" w:rsidRPr="00575029" w:rsidTr="00852EAD">
        <w:tc>
          <w:tcPr>
            <w:tcW w:w="652" w:type="pct"/>
            <w:vMerge w:val="restart"/>
            <w:shd w:val="clear" w:color="auto" w:fill="auto"/>
            <w:vAlign w:val="center"/>
            <w:hideMark/>
          </w:tcPr>
          <w:p w:rsidR="00ED5498" w:rsidRPr="00575029" w:rsidRDefault="00ED5498"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Shell</w:t>
            </w:r>
          </w:p>
        </w:tc>
        <w:tc>
          <w:tcPr>
            <w:tcW w:w="1049" w:type="pct"/>
            <w:shd w:val="clear" w:color="auto" w:fill="auto"/>
            <w:vAlign w:val="center"/>
            <w:hideMark/>
          </w:tcPr>
          <w:p w:rsidR="00ED5498" w:rsidRPr="00575029" w:rsidRDefault="00ED5498"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Air Sealing</w:t>
            </w:r>
          </w:p>
        </w:tc>
        <w:tc>
          <w:tcPr>
            <w:tcW w:w="1128" w:type="pct"/>
            <w:shd w:val="clear" w:color="auto" w:fill="auto"/>
            <w:vAlign w:val="center"/>
            <w:hideMark/>
          </w:tcPr>
          <w:p w:rsidR="00ED5498" w:rsidRPr="00575029" w:rsidRDefault="003C4590" w:rsidP="00A55F3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w:t>
            </w:r>
            <w:r w:rsidR="00ED5498" w:rsidRPr="00575029">
              <w:rPr>
                <w:rFonts w:ascii="Calibri" w:eastAsia="Times New Roman" w:hAnsi="Calibri" w:cs="Times New Roman"/>
                <w:color w:val="000000"/>
                <w:sz w:val="20"/>
                <w:szCs w:val="20"/>
              </w:rPr>
              <w:t xml:space="preserve"> Modeling</w:t>
            </w:r>
          </w:p>
        </w:tc>
        <w:tc>
          <w:tcPr>
            <w:tcW w:w="1081" w:type="pct"/>
            <w:shd w:val="clear" w:color="auto" w:fill="auto"/>
            <w:vAlign w:val="center"/>
            <w:hideMark/>
          </w:tcPr>
          <w:p w:rsidR="00ED5498" w:rsidRPr="00575029" w:rsidRDefault="00ED5498" w:rsidP="00A55F3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(±31%)</w:t>
            </w:r>
          </w:p>
        </w:tc>
        <w:tc>
          <w:tcPr>
            <w:tcW w:w="1090" w:type="pct"/>
            <w:shd w:val="clear" w:color="auto" w:fill="auto"/>
            <w:vAlign w:val="center"/>
            <w:hideMark/>
          </w:tcPr>
          <w:p w:rsidR="00ED5498" w:rsidRPr="00575029" w:rsidRDefault="00ED5498" w:rsidP="00A55F3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(±31%)</w:t>
            </w:r>
          </w:p>
        </w:tc>
      </w:tr>
      <w:tr w:rsidR="00ED5498" w:rsidRPr="00575029" w:rsidTr="00852EAD">
        <w:tc>
          <w:tcPr>
            <w:tcW w:w="652" w:type="pct"/>
            <w:vMerge/>
            <w:vAlign w:val="center"/>
            <w:hideMark/>
          </w:tcPr>
          <w:p w:rsidR="00ED5498" w:rsidRPr="00575029" w:rsidRDefault="00ED5498" w:rsidP="00A55F33">
            <w:pPr>
              <w:spacing w:after="0"/>
              <w:rPr>
                <w:rFonts w:ascii="Calibri" w:eastAsia="Times New Roman" w:hAnsi="Calibri" w:cs="Times New Roman"/>
                <w:color w:val="000000"/>
                <w:sz w:val="20"/>
                <w:szCs w:val="20"/>
              </w:rPr>
            </w:pPr>
          </w:p>
        </w:tc>
        <w:tc>
          <w:tcPr>
            <w:tcW w:w="1049" w:type="pct"/>
            <w:shd w:val="clear" w:color="auto" w:fill="auto"/>
            <w:vAlign w:val="center"/>
            <w:hideMark/>
          </w:tcPr>
          <w:p w:rsidR="00ED5498" w:rsidRPr="00575029" w:rsidRDefault="00ED5498"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Attic Insulation</w:t>
            </w:r>
          </w:p>
        </w:tc>
        <w:tc>
          <w:tcPr>
            <w:tcW w:w="1128" w:type="pct"/>
            <w:shd w:val="clear" w:color="auto" w:fill="auto"/>
            <w:vAlign w:val="center"/>
            <w:hideMark/>
          </w:tcPr>
          <w:p w:rsidR="00ED5498" w:rsidRPr="00575029" w:rsidRDefault="003C4590" w:rsidP="00A55F3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w:t>
            </w:r>
            <w:r w:rsidR="00ED5498" w:rsidRPr="00575029">
              <w:rPr>
                <w:rFonts w:ascii="Calibri" w:eastAsia="Times New Roman" w:hAnsi="Calibri" w:cs="Times New Roman"/>
                <w:color w:val="000000"/>
                <w:sz w:val="20"/>
                <w:szCs w:val="20"/>
              </w:rPr>
              <w:t xml:space="preserve"> Modeling</w:t>
            </w:r>
          </w:p>
        </w:tc>
        <w:tc>
          <w:tcPr>
            <w:tcW w:w="1081" w:type="pct"/>
            <w:shd w:val="clear" w:color="auto" w:fill="auto"/>
            <w:vAlign w:val="center"/>
            <w:hideMark/>
          </w:tcPr>
          <w:p w:rsidR="00ED5498" w:rsidRPr="00575029" w:rsidRDefault="003C4590" w:rsidP="00A55F3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w:t>
            </w:r>
            <w:r w:rsidR="00ED5498" w:rsidRPr="00575029">
              <w:rPr>
                <w:rFonts w:ascii="Calibri" w:eastAsia="Times New Roman" w:hAnsi="Calibri" w:cs="Times New Roman"/>
                <w:color w:val="000000"/>
                <w:sz w:val="20"/>
                <w:szCs w:val="20"/>
              </w:rPr>
              <w:t xml:space="preserve"> Modeling</w:t>
            </w:r>
          </w:p>
        </w:tc>
        <w:tc>
          <w:tcPr>
            <w:tcW w:w="1090" w:type="pct"/>
            <w:shd w:val="clear" w:color="auto" w:fill="auto"/>
            <w:vAlign w:val="center"/>
            <w:hideMark/>
          </w:tcPr>
          <w:p w:rsidR="00ED5498" w:rsidRPr="00575029" w:rsidRDefault="003C4590" w:rsidP="00A55F3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w:t>
            </w:r>
            <w:r w:rsidR="00ED5498" w:rsidRPr="00575029">
              <w:rPr>
                <w:rFonts w:ascii="Calibri" w:eastAsia="Times New Roman" w:hAnsi="Calibri" w:cs="Times New Roman"/>
                <w:color w:val="000000"/>
                <w:sz w:val="20"/>
                <w:szCs w:val="20"/>
              </w:rPr>
              <w:t xml:space="preserve"> Modeling</w:t>
            </w:r>
          </w:p>
        </w:tc>
      </w:tr>
      <w:tr w:rsidR="00ED5498" w:rsidRPr="00575029" w:rsidTr="00852EAD">
        <w:tc>
          <w:tcPr>
            <w:tcW w:w="652" w:type="pct"/>
            <w:vMerge/>
            <w:vAlign w:val="center"/>
            <w:hideMark/>
          </w:tcPr>
          <w:p w:rsidR="00ED5498" w:rsidRPr="00575029" w:rsidRDefault="00ED5498" w:rsidP="00A55F33">
            <w:pPr>
              <w:spacing w:after="0"/>
              <w:rPr>
                <w:rFonts w:ascii="Calibri" w:eastAsia="Times New Roman" w:hAnsi="Calibri" w:cs="Times New Roman"/>
                <w:color w:val="000000"/>
                <w:sz w:val="20"/>
                <w:szCs w:val="20"/>
              </w:rPr>
            </w:pPr>
          </w:p>
        </w:tc>
        <w:tc>
          <w:tcPr>
            <w:tcW w:w="1049" w:type="pct"/>
            <w:shd w:val="clear" w:color="auto" w:fill="auto"/>
            <w:vAlign w:val="center"/>
            <w:hideMark/>
          </w:tcPr>
          <w:p w:rsidR="00ED5498" w:rsidRPr="00575029" w:rsidRDefault="00ED5498"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Wall Insulation</w:t>
            </w:r>
          </w:p>
        </w:tc>
        <w:tc>
          <w:tcPr>
            <w:tcW w:w="1128" w:type="pct"/>
            <w:shd w:val="clear" w:color="auto" w:fill="auto"/>
            <w:vAlign w:val="center"/>
            <w:hideMark/>
          </w:tcPr>
          <w:p w:rsidR="00ED5498" w:rsidRPr="00575029" w:rsidRDefault="003C4590" w:rsidP="00A55F3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Simulation</w:t>
            </w:r>
            <w:r w:rsidR="00ED5498" w:rsidRPr="00575029">
              <w:rPr>
                <w:rFonts w:ascii="Calibri" w:eastAsia="Times New Roman" w:hAnsi="Calibri" w:cs="Times New Roman"/>
                <w:color w:val="000000"/>
                <w:sz w:val="20"/>
                <w:szCs w:val="20"/>
              </w:rPr>
              <w:t xml:space="preserve"> Modeling</w:t>
            </w:r>
          </w:p>
        </w:tc>
        <w:tc>
          <w:tcPr>
            <w:tcW w:w="1081" w:type="pct"/>
            <w:shd w:val="clear" w:color="auto" w:fill="auto"/>
            <w:vAlign w:val="center"/>
            <w:hideMark/>
          </w:tcPr>
          <w:p w:rsidR="00ED5498" w:rsidRPr="00575029" w:rsidRDefault="00ED5498" w:rsidP="00A55F3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(±30%)</w:t>
            </w:r>
          </w:p>
        </w:tc>
        <w:tc>
          <w:tcPr>
            <w:tcW w:w="1090" w:type="pct"/>
            <w:shd w:val="clear" w:color="auto" w:fill="auto"/>
            <w:vAlign w:val="center"/>
            <w:hideMark/>
          </w:tcPr>
          <w:p w:rsidR="00ED5498" w:rsidRPr="00575029" w:rsidRDefault="00ED5498" w:rsidP="00A55F3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(±30%)</w:t>
            </w:r>
          </w:p>
        </w:tc>
      </w:tr>
      <w:tr w:rsidR="006E6279" w:rsidRPr="00575029" w:rsidTr="00852EAD">
        <w:tc>
          <w:tcPr>
            <w:tcW w:w="652" w:type="pct"/>
            <w:vMerge/>
            <w:vAlign w:val="center"/>
            <w:hideMark/>
          </w:tcPr>
          <w:p w:rsidR="006E6279" w:rsidRPr="00575029" w:rsidRDefault="006E6279" w:rsidP="00A55F33">
            <w:pPr>
              <w:spacing w:after="0"/>
              <w:rPr>
                <w:rFonts w:ascii="Calibri" w:eastAsia="Times New Roman" w:hAnsi="Calibri" w:cs="Times New Roman"/>
                <w:color w:val="000000"/>
                <w:sz w:val="20"/>
                <w:szCs w:val="20"/>
              </w:rPr>
            </w:pPr>
          </w:p>
        </w:tc>
        <w:tc>
          <w:tcPr>
            <w:tcW w:w="1049" w:type="pct"/>
            <w:shd w:val="clear" w:color="auto" w:fill="auto"/>
            <w:vAlign w:val="center"/>
            <w:hideMark/>
          </w:tcPr>
          <w:p w:rsidR="006E6279" w:rsidRPr="00575029" w:rsidRDefault="006E6279"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Insulation Other**</w:t>
            </w:r>
          </w:p>
        </w:tc>
        <w:tc>
          <w:tcPr>
            <w:tcW w:w="1128" w:type="pct"/>
            <w:shd w:val="clear" w:color="auto" w:fill="auto"/>
            <w:vAlign w:val="center"/>
            <w:hideMark/>
          </w:tcPr>
          <w:p w:rsidR="006E6279" w:rsidRPr="00575029" w:rsidRDefault="006E6279" w:rsidP="00A55F33">
            <w:pPr>
              <w:spacing w:after="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Reported </w:t>
            </w:r>
            <w:r w:rsidRPr="006E6279">
              <w:rPr>
                <w:rFonts w:ascii="Calibri" w:eastAsia="Times New Roman" w:hAnsi="Calibri" w:cs="Times New Roman"/>
                <w:i/>
                <w:color w:val="000000"/>
                <w:sz w:val="20"/>
                <w:szCs w:val="20"/>
              </w:rPr>
              <w:t>Ex Ante</w:t>
            </w:r>
          </w:p>
        </w:tc>
        <w:tc>
          <w:tcPr>
            <w:tcW w:w="1081" w:type="pct"/>
            <w:shd w:val="clear" w:color="auto" w:fill="auto"/>
            <w:vAlign w:val="center"/>
            <w:hideMark/>
          </w:tcPr>
          <w:p w:rsidR="006E6279" w:rsidRPr="00575029" w:rsidRDefault="006E6279" w:rsidP="006E6279">
            <w:pPr>
              <w:spacing w:after="0"/>
              <w:jc w:val="center"/>
              <w:rPr>
                <w:rFonts w:ascii="Calibri" w:eastAsia="Times New Roman" w:hAnsi="Calibri" w:cs="Times New Roman"/>
                <w:color w:val="000000"/>
                <w:sz w:val="20"/>
                <w:szCs w:val="20"/>
              </w:rPr>
            </w:pPr>
            <w:r w:rsidRPr="00AA4942">
              <w:rPr>
                <w:rFonts w:ascii="Calibri" w:eastAsia="Times New Roman" w:hAnsi="Calibri" w:cs="Times New Roman"/>
                <w:color w:val="000000"/>
                <w:sz w:val="20"/>
                <w:szCs w:val="20"/>
              </w:rPr>
              <w:t>–</w:t>
            </w:r>
          </w:p>
        </w:tc>
        <w:tc>
          <w:tcPr>
            <w:tcW w:w="1090" w:type="pct"/>
            <w:shd w:val="clear" w:color="auto" w:fill="auto"/>
            <w:vAlign w:val="center"/>
            <w:hideMark/>
          </w:tcPr>
          <w:p w:rsidR="006E6279" w:rsidRPr="00575029" w:rsidRDefault="006E6279" w:rsidP="006E6279">
            <w:pPr>
              <w:spacing w:after="0"/>
              <w:jc w:val="center"/>
              <w:rPr>
                <w:rFonts w:ascii="Calibri" w:eastAsia="Times New Roman" w:hAnsi="Calibri" w:cs="Times New Roman"/>
                <w:color w:val="000000"/>
                <w:sz w:val="20"/>
                <w:szCs w:val="20"/>
              </w:rPr>
            </w:pPr>
            <w:r w:rsidRPr="00AA4942">
              <w:rPr>
                <w:rFonts w:ascii="Calibri" w:eastAsia="Times New Roman" w:hAnsi="Calibri" w:cs="Times New Roman"/>
                <w:color w:val="000000"/>
                <w:sz w:val="20"/>
                <w:szCs w:val="20"/>
              </w:rPr>
              <w:t>–</w:t>
            </w:r>
          </w:p>
        </w:tc>
      </w:tr>
      <w:tr w:rsidR="00BB24BD" w:rsidRPr="00575029" w:rsidTr="00852EAD">
        <w:tc>
          <w:tcPr>
            <w:tcW w:w="652" w:type="pct"/>
            <w:vMerge/>
            <w:vAlign w:val="center"/>
            <w:hideMark/>
          </w:tcPr>
          <w:p w:rsidR="00BB24BD" w:rsidRPr="00575029" w:rsidRDefault="00BB24BD" w:rsidP="00A55F33">
            <w:pPr>
              <w:spacing w:after="0"/>
              <w:rPr>
                <w:rFonts w:ascii="Calibri" w:eastAsia="Times New Roman" w:hAnsi="Calibri" w:cs="Times New Roman"/>
                <w:color w:val="000000"/>
                <w:sz w:val="20"/>
                <w:szCs w:val="20"/>
              </w:rPr>
            </w:pPr>
          </w:p>
        </w:tc>
        <w:tc>
          <w:tcPr>
            <w:tcW w:w="1049" w:type="pct"/>
            <w:shd w:val="clear" w:color="auto" w:fill="auto"/>
            <w:vAlign w:val="center"/>
            <w:hideMark/>
          </w:tcPr>
          <w:p w:rsidR="00BB24BD" w:rsidRPr="00575029" w:rsidRDefault="00BB24BD"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Windows</w:t>
            </w:r>
          </w:p>
        </w:tc>
        <w:tc>
          <w:tcPr>
            <w:tcW w:w="1128" w:type="pct"/>
            <w:shd w:val="clear" w:color="auto" w:fill="auto"/>
            <w:vAlign w:val="center"/>
            <w:hideMark/>
          </w:tcPr>
          <w:p w:rsidR="00BB24BD" w:rsidRPr="00575029" w:rsidRDefault="00BB24BD" w:rsidP="006C26D2">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81" w:type="pct"/>
            <w:shd w:val="clear" w:color="auto" w:fill="auto"/>
            <w:vAlign w:val="center"/>
            <w:hideMark/>
          </w:tcPr>
          <w:p w:rsidR="00BB24BD" w:rsidRPr="00575029" w:rsidRDefault="00BB24BD" w:rsidP="006C26D2">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90" w:type="pct"/>
            <w:shd w:val="clear" w:color="auto" w:fill="auto"/>
            <w:vAlign w:val="center"/>
            <w:hideMark/>
          </w:tcPr>
          <w:p w:rsidR="00BB24BD" w:rsidRPr="00575029" w:rsidRDefault="00BB24BD" w:rsidP="006C26D2">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r>
      <w:tr w:rsidR="00ED5498" w:rsidRPr="00575029" w:rsidTr="00852EAD">
        <w:tc>
          <w:tcPr>
            <w:tcW w:w="652" w:type="pct"/>
            <w:vMerge w:val="restart"/>
            <w:shd w:val="clear" w:color="auto" w:fill="auto"/>
            <w:vAlign w:val="center"/>
            <w:hideMark/>
          </w:tcPr>
          <w:p w:rsidR="00ED5498" w:rsidRPr="00575029" w:rsidRDefault="00ED5498"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Water Heat</w:t>
            </w:r>
          </w:p>
        </w:tc>
        <w:tc>
          <w:tcPr>
            <w:tcW w:w="1049" w:type="pct"/>
            <w:shd w:val="clear" w:color="auto" w:fill="auto"/>
            <w:vAlign w:val="center"/>
            <w:hideMark/>
          </w:tcPr>
          <w:p w:rsidR="00ED5498" w:rsidRPr="00575029" w:rsidRDefault="007405FC" w:rsidP="00A55F33">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DHW</w:t>
            </w:r>
            <w:r w:rsidR="00ED5498" w:rsidRPr="00575029">
              <w:rPr>
                <w:rFonts w:ascii="Calibri" w:eastAsia="Times New Roman" w:hAnsi="Calibri" w:cs="Times New Roman"/>
                <w:color w:val="000000"/>
                <w:sz w:val="20"/>
                <w:szCs w:val="20"/>
              </w:rPr>
              <w:t xml:space="preserve"> Bundle***</w:t>
            </w:r>
          </w:p>
        </w:tc>
        <w:tc>
          <w:tcPr>
            <w:tcW w:w="1128" w:type="pct"/>
            <w:shd w:val="clear" w:color="auto" w:fill="auto"/>
            <w:vAlign w:val="center"/>
            <w:hideMark/>
          </w:tcPr>
          <w:p w:rsidR="00ED5498" w:rsidRPr="00575029" w:rsidRDefault="00ED5498" w:rsidP="00A55F3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81" w:type="pct"/>
            <w:shd w:val="clear" w:color="auto" w:fill="auto"/>
            <w:vAlign w:val="center"/>
            <w:hideMark/>
          </w:tcPr>
          <w:p w:rsidR="00ED5498" w:rsidRPr="00575029" w:rsidRDefault="00ED5498" w:rsidP="00A55F3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(±26%)</w:t>
            </w:r>
          </w:p>
        </w:tc>
        <w:tc>
          <w:tcPr>
            <w:tcW w:w="1090" w:type="pct"/>
            <w:shd w:val="clear" w:color="auto" w:fill="auto"/>
            <w:vAlign w:val="center"/>
            <w:hideMark/>
          </w:tcPr>
          <w:p w:rsidR="00ED5498" w:rsidRPr="00575029" w:rsidRDefault="00ED5498" w:rsidP="00A55F3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Billing Analysis (±26%)</w:t>
            </w:r>
          </w:p>
        </w:tc>
      </w:tr>
      <w:tr w:rsidR="00ED5498" w:rsidRPr="00575029" w:rsidTr="00852EAD">
        <w:tc>
          <w:tcPr>
            <w:tcW w:w="652" w:type="pct"/>
            <w:vMerge/>
            <w:vAlign w:val="center"/>
            <w:hideMark/>
          </w:tcPr>
          <w:p w:rsidR="00ED5498" w:rsidRPr="00575029" w:rsidRDefault="00ED5498" w:rsidP="00A55F33">
            <w:pPr>
              <w:spacing w:after="0"/>
              <w:rPr>
                <w:rFonts w:ascii="Calibri" w:eastAsia="Times New Roman" w:hAnsi="Calibri" w:cs="Times New Roman"/>
                <w:color w:val="000000"/>
                <w:sz w:val="20"/>
                <w:szCs w:val="20"/>
              </w:rPr>
            </w:pPr>
          </w:p>
        </w:tc>
        <w:tc>
          <w:tcPr>
            <w:tcW w:w="1049" w:type="pct"/>
            <w:shd w:val="clear" w:color="auto" w:fill="auto"/>
            <w:vAlign w:val="center"/>
            <w:hideMark/>
          </w:tcPr>
          <w:p w:rsidR="00ED5498" w:rsidRPr="00575029" w:rsidRDefault="00ED5498"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Water Heater Temp Setback</w:t>
            </w:r>
          </w:p>
        </w:tc>
        <w:tc>
          <w:tcPr>
            <w:tcW w:w="1128" w:type="pct"/>
            <w:shd w:val="clear" w:color="auto" w:fill="auto"/>
            <w:vAlign w:val="center"/>
            <w:hideMark/>
          </w:tcPr>
          <w:p w:rsidR="00ED5498" w:rsidRPr="00575029" w:rsidRDefault="00ED5498" w:rsidP="00A55F3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81" w:type="pct"/>
            <w:shd w:val="clear" w:color="auto" w:fill="auto"/>
            <w:vAlign w:val="center"/>
            <w:hideMark/>
          </w:tcPr>
          <w:p w:rsidR="00ED5498" w:rsidRPr="00575029" w:rsidRDefault="00ED5498" w:rsidP="00A55F3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c>
          <w:tcPr>
            <w:tcW w:w="1090" w:type="pct"/>
            <w:shd w:val="clear" w:color="auto" w:fill="auto"/>
            <w:vAlign w:val="center"/>
            <w:hideMark/>
          </w:tcPr>
          <w:p w:rsidR="00ED5498" w:rsidRPr="00575029" w:rsidRDefault="00ED5498" w:rsidP="00A55F33">
            <w:pPr>
              <w:spacing w:after="0"/>
              <w:jc w:val="center"/>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Engineering Algorithm</w:t>
            </w:r>
          </w:p>
        </w:tc>
      </w:tr>
      <w:tr w:rsidR="00ED5498" w:rsidRPr="00575029" w:rsidTr="00852EAD">
        <w:tc>
          <w:tcPr>
            <w:tcW w:w="652" w:type="pct"/>
            <w:vMerge/>
            <w:vAlign w:val="center"/>
            <w:hideMark/>
          </w:tcPr>
          <w:p w:rsidR="00ED5498" w:rsidRPr="00575029" w:rsidRDefault="00ED5498" w:rsidP="00A55F33">
            <w:pPr>
              <w:spacing w:after="0"/>
              <w:rPr>
                <w:rFonts w:ascii="Calibri" w:eastAsia="Times New Roman" w:hAnsi="Calibri" w:cs="Times New Roman"/>
                <w:color w:val="000000"/>
                <w:sz w:val="20"/>
                <w:szCs w:val="20"/>
              </w:rPr>
            </w:pPr>
          </w:p>
        </w:tc>
        <w:tc>
          <w:tcPr>
            <w:tcW w:w="1049" w:type="pct"/>
            <w:shd w:val="clear" w:color="auto" w:fill="auto"/>
            <w:vAlign w:val="center"/>
            <w:hideMark/>
          </w:tcPr>
          <w:p w:rsidR="00ED5498" w:rsidRPr="00575029" w:rsidRDefault="00ED5498" w:rsidP="00A55F33">
            <w:pPr>
              <w:spacing w:after="0"/>
              <w:rPr>
                <w:rFonts w:ascii="Calibri" w:eastAsia="Times New Roman" w:hAnsi="Calibri" w:cs="Times New Roman"/>
                <w:color w:val="000000"/>
                <w:sz w:val="20"/>
                <w:szCs w:val="20"/>
              </w:rPr>
            </w:pPr>
            <w:r w:rsidRPr="00575029">
              <w:rPr>
                <w:rFonts w:ascii="Calibri" w:eastAsia="Times New Roman" w:hAnsi="Calibri" w:cs="Times New Roman"/>
                <w:color w:val="000000"/>
                <w:sz w:val="20"/>
                <w:szCs w:val="20"/>
              </w:rPr>
              <w:t>Water Heater Replacement</w:t>
            </w:r>
          </w:p>
        </w:tc>
        <w:tc>
          <w:tcPr>
            <w:tcW w:w="1128" w:type="pct"/>
            <w:shd w:val="clear" w:color="auto" w:fill="auto"/>
            <w:vAlign w:val="center"/>
            <w:hideMark/>
          </w:tcPr>
          <w:p w:rsidR="00ED5498" w:rsidRPr="00575029" w:rsidRDefault="00ED5498" w:rsidP="00A55F33">
            <w:pPr>
              <w:spacing w:after="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Reported </w:t>
            </w:r>
            <w:r w:rsidRPr="006E6279">
              <w:rPr>
                <w:rFonts w:ascii="Calibri" w:eastAsia="Times New Roman" w:hAnsi="Calibri" w:cs="Times New Roman"/>
                <w:i/>
                <w:color w:val="000000"/>
                <w:sz w:val="20"/>
                <w:szCs w:val="20"/>
              </w:rPr>
              <w:t>Ex Ante</w:t>
            </w:r>
          </w:p>
        </w:tc>
        <w:tc>
          <w:tcPr>
            <w:tcW w:w="1081" w:type="pct"/>
            <w:shd w:val="clear" w:color="auto" w:fill="auto"/>
            <w:vAlign w:val="center"/>
            <w:hideMark/>
          </w:tcPr>
          <w:p w:rsidR="00ED5498" w:rsidRPr="00575029" w:rsidRDefault="00ED5498" w:rsidP="00A55F33">
            <w:pPr>
              <w:spacing w:after="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Reported </w:t>
            </w:r>
            <w:r w:rsidRPr="006E6279">
              <w:rPr>
                <w:rFonts w:ascii="Calibri" w:eastAsia="Times New Roman" w:hAnsi="Calibri" w:cs="Times New Roman"/>
                <w:i/>
                <w:color w:val="000000"/>
                <w:sz w:val="20"/>
                <w:szCs w:val="20"/>
              </w:rPr>
              <w:t>Ex Ante</w:t>
            </w:r>
          </w:p>
        </w:tc>
        <w:tc>
          <w:tcPr>
            <w:tcW w:w="1090" w:type="pct"/>
            <w:shd w:val="clear" w:color="auto" w:fill="auto"/>
            <w:vAlign w:val="center"/>
            <w:hideMark/>
          </w:tcPr>
          <w:p w:rsidR="00ED5498" w:rsidRPr="00575029" w:rsidRDefault="006E6279" w:rsidP="00A55F33">
            <w:pPr>
              <w:spacing w:after="0"/>
              <w:jc w:val="center"/>
              <w:rPr>
                <w:rFonts w:ascii="Calibri" w:eastAsia="Times New Roman" w:hAnsi="Calibri" w:cs="Times New Roman"/>
                <w:color w:val="000000"/>
                <w:sz w:val="20"/>
                <w:szCs w:val="20"/>
              </w:rPr>
            </w:pPr>
            <w:r w:rsidRPr="007C1125">
              <w:rPr>
                <w:rFonts w:ascii="Calibri" w:eastAsia="Times New Roman" w:hAnsi="Calibri" w:cs="Times New Roman"/>
                <w:color w:val="000000"/>
                <w:sz w:val="20"/>
                <w:szCs w:val="20"/>
              </w:rPr>
              <w:t>–</w:t>
            </w:r>
          </w:p>
        </w:tc>
      </w:tr>
    </w:tbl>
    <w:p w:rsidR="00ED5498" w:rsidRPr="00A55F33" w:rsidRDefault="00A55F33" w:rsidP="006E6279">
      <w:pPr>
        <w:spacing w:after="0" w:line="240" w:lineRule="auto"/>
        <w:ind w:left="90" w:hanging="90"/>
        <w:rPr>
          <w:sz w:val="20"/>
          <w:szCs w:val="20"/>
        </w:rPr>
      </w:pPr>
      <w:r w:rsidRPr="00A55F33">
        <w:rPr>
          <w:rFonts w:ascii="Calibri" w:eastAsia="Times New Roman" w:hAnsi="Calibri" w:cs="Times New Roman"/>
          <w:color w:val="000000"/>
          <w:sz w:val="20"/>
          <w:szCs w:val="20"/>
        </w:rPr>
        <w:t>*</w:t>
      </w:r>
      <w:r w:rsidR="006E6279">
        <w:rPr>
          <w:rFonts w:ascii="Calibri" w:eastAsia="Times New Roman" w:hAnsi="Calibri" w:cs="Times New Roman"/>
          <w:color w:val="000000"/>
          <w:sz w:val="20"/>
          <w:szCs w:val="20"/>
        </w:rPr>
        <w:t>These</w:t>
      </w:r>
      <w:r w:rsidRPr="00A55F33">
        <w:rPr>
          <w:rFonts w:ascii="Calibri" w:eastAsia="Times New Roman" w:hAnsi="Calibri" w:cs="Times New Roman"/>
          <w:color w:val="000000"/>
          <w:sz w:val="20"/>
          <w:szCs w:val="20"/>
        </w:rPr>
        <w:t xml:space="preserve"> </w:t>
      </w:r>
      <w:r w:rsidR="006E6279">
        <w:rPr>
          <w:rFonts w:ascii="Calibri" w:eastAsia="Times New Roman" w:hAnsi="Calibri" w:cs="Times New Roman"/>
          <w:color w:val="000000"/>
          <w:sz w:val="20"/>
          <w:szCs w:val="20"/>
        </w:rPr>
        <w:t>p</w:t>
      </w:r>
      <w:r w:rsidRPr="00A55F33">
        <w:rPr>
          <w:rFonts w:ascii="Calibri" w:eastAsia="Times New Roman" w:hAnsi="Calibri" w:cs="Times New Roman"/>
          <w:color w:val="000000"/>
          <w:sz w:val="20"/>
          <w:szCs w:val="20"/>
        </w:rPr>
        <w:t>rojects consist of appliance replacements without specific detail in measure description</w:t>
      </w:r>
      <w:r w:rsidR="006E6279">
        <w:rPr>
          <w:rFonts w:ascii="Calibri" w:eastAsia="Times New Roman" w:hAnsi="Calibri" w:cs="Times New Roman"/>
          <w:color w:val="000000"/>
          <w:sz w:val="20"/>
          <w:szCs w:val="20"/>
        </w:rPr>
        <w:t>s</w:t>
      </w:r>
      <w:r w:rsidRPr="00A55F33">
        <w:rPr>
          <w:rFonts w:ascii="Calibri" w:eastAsia="Times New Roman" w:hAnsi="Calibri" w:cs="Times New Roman"/>
          <w:color w:val="000000"/>
          <w:sz w:val="20"/>
          <w:szCs w:val="20"/>
        </w:rPr>
        <w:t xml:space="preserve"> (including refrigerators and freezers)</w:t>
      </w:r>
      <w:r w:rsidR="006E6279">
        <w:rPr>
          <w:rFonts w:ascii="Calibri" w:eastAsia="Times New Roman" w:hAnsi="Calibri" w:cs="Times New Roman"/>
          <w:color w:val="000000"/>
          <w:sz w:val="20"/>
          <w:szCs w:val="20"/>
        </w:rPr>
        <w:t>.</w:t>
      </w:r>
    </w:p>
    <w:p w:rsidR="00A55F33" w:rsidRPr="00A55F33" w:rsidRDefault="00A55F33" w:rsidP="00A55F33">
      <w:pPr>
        <w:spacing w:after="0" w:line="240" w:lineRule="auto"/>
        <w:rPr>
          <w:rFonts w:ascii="Calibri" w:eastAsia="Times New Roman" w:hAnsi="Calibri" w:cs="Times New Roman"/>
          <w:color w:val="000000"/>
          <w:sz w:val="20"/>
          <w:szCs w:val="20"/>
        </w:rPr>
      </w:pPr>
      <w:r w:rsidRPr="00A55F33">
        <w:rPr>
          <w:rFonts w:ascii="Calibri" w:eastAsia="Times New Roman" w:hAnsi="Calibri" w:cs="Times New Roman"/>
          <w:color w:val="000000"/>
          <w:sz w:val="20"/>
          <w:szCs w:val="20"/>
        </w:rPr>
        <w:t>**</w:t>
      </w:r>
      <w:r w:rsidR="006E6279">
        <w:rPr>
          <w:rFonts w:ascii="Calibri" w:eastAsia="Times New Roman" w:hAnsi="Calibri" w:cs="Times New Roman"/>
          <w:color w:val="000000"/>
          <w:sz w:val="20"/>
          <w:szCs w:val="20"/>
        </w:rPr>
        <w:t>These</w:t>
      </w:r>
      <w:r w:rsidRPr="00A55F33">
        <w:rPr>
          <w:rFonts w:ascii="Calibri" w:eastAsia="Times New Roman" w:hAnsi="Calibri" w:cs="Times New Roman"/>
          <w:color w:val="000000"/>
          <w:sz w:val="20"/>
          <w:szCs w:val="20"/>
        </w:rPr>
        <w:t xml:space="preserve"> </w:t>
      </w:r>
      <w:r w:rsidR="006E6279">
        <w:rPr>
          <w:rFonts w:ascii="Calibri" w:eastAsia="Times New Roman" w:hAnsi="Calibri" w:cs="Times New Roman"/>
          <w:color w:val="000000"/>
          <w:sz w:val="20"/>
          <w:szCs w:val="20"/>
        </w:rPr>
        <w:t>p</w:t>
      </w:r>
      <w:r w:rsidRPr="00A55F33">
        <w:rPr>
          <w:rFonts w:ascii="Calibri" w:eastAsia="Times New Roman" w:hAnsi="Calibri" w:cs="Times New Roman"/>
          <w:color w:val="000000"/>
          <w:sz w:val="20"/>
          <w:szCs w:val="20"/>
        </w:rPr>
        <w:t>rojects consist of insulation installations without location</w:t>
      </w:r>
      <w:r w:rsidR="006E6279">
        <w:rPr>
          <w:rFonts w:ascii="Calibri" w:eastAsia="Times New Roman" w:hAnsi="Calibri" w:cs="Times New Roman"/>
          <w:color w:val="000000"/>
          <w:sz w:val="20"/>
          <w:szCs w:val="20"/>
        </w:rPr>
        <w:t>s</w:t>
      </w:r>
      <w:r w:rsidRPr="00A55F33">
        <w:rPr>
          <w:rFonts w:ascii="Calibri" w:eastAsia="Times New Roman" w:hAnsi="Calibri" w:cs="Times New Roman"/>
          <w:color w:val="000000"/>
          <w:sz w:val="20"/>
          <w:szCs w:val="20"/>
        </w:rPr>
        <w:t xml:space="preserve"> specified in measure description</w:t>
      </w:r>
      <w:r w:rsidR="006E6279">
        <w:rPr>
          <w:rFonts w:ascii="Calibri" w:eastAsia="Times New Roman" w:hAnsi="Calibri" w:cs="Times New Roman"/>
          <w:color w:val="000000"/>
          <w:sz w:val="20"/>
          <w:szCs w:val="20"/>
        </w:rPr>
        <w:t>s.</w:t>
      </w:r>
    </w:p>
    <w:p w:rsidR="00A55F33" w:rsidRPr="00A55F33" w:rsidRDefault="00A55F33" w:rsidP="00A55F33">
      <w:pPr>
        <w:spacing w:after="0" w:line="240" w:lineRule="auto"/>
        <w:rPr>
          <w:rFonts w:ascii="Calibri" w:eastAsia="Times New Roman" w:hAnsi="Calibri" w:cs="Times New Roman"/>
          <w:color w:val="000000"/>
          <w:sz w:val="20"/>
          <w:szCs w:val="20"/>
        </w:rPr>
      </w:pPr>
      <w:r w:rsidRPr="00A55F33">
        <w:rPr>
          <w:rFonts w:ascii="Calibri" w:eastAsia="Times New Roman" w:hAnsi="Calibri" w:cs="Times New Roman"/>
          <w:color w:val="000000"/>
          <w:sz w:val="20"/>
          <w:szCs w:val="20"/>
        </w:rPr>
        <w:t>***</w:t>
      </w:r>
      <w:r w:rsidR="006E6279">
        <w:rPr>
          <w:rFonts w:ascii="Calibri" w:eastAsia="Times New Roman" w:hAnsi="Calibri" w:cs="Times New Roman"/>
          <w:color w:val="000000"/>
          <w:sz w:val="20"/>
          <w:szCs w:val="20"/>
        </w:rPr>
        <w:t>The measure</w:t>
      </w:r>
      <w:r w:rsidRPr="00A55F33">
        <w:rPr>
          <w:rFonts w:ascii="Calibri" w:eastAsia="Times New Roman" w:hAnsi="Calibri" w:cs="Times New Roman"/>
          <w:color w:val="000000"/>
          <w:sz w:val="20"/>
          <w:szCs w:val="20"/>
        </w:rPr>
        <w:t xml:space="preserve"> </w:t>
      </w:r>
      <w:r w:rsidR="006E6279">
        <w:rPr>
          <w:rFonts w:ascii="Calibri" w:eastAsia="Times New Roman" w:hAnsi="Calibri" w:cs="Times New Roman"/>
          <w:color w:val="000000"/>
          <w:sz w:val="20"/>
          <w:szCs w:val="20"/>
        </w:rPr>
        <w:t>c</w:t>
      </w:r>
      <w:r w:rsidRPr="00A55F33">
        <w:rPr>
          <w:rFonts w:ascii="Calibri" w:eastAsia="Times New Roman" w:hAnsi="Calibri" w:cs="Times New Roman"/>
          <w:color w:val="000000"/>
          <w:sz w:val="20"/>
          <w:szCs w:val="20"/>
        </w:rPr>
        <w:t>ontains a mix of low-flow showerheads, faucet aerators, and pipe insulation</w:t>
      </w:r>
      <w:r w:rsidR="006E6279">
        <w:rPr>
          <w:rFonts w:ascii="Calibri" w:eastAsia="Times New Roman" w:hAnsi="Calibri" w:cs="Times New Roman"/>
          <w:color w:val="000000"/>
          <w:sz w:val="20"/>
          <w:szCs w:val="20"/>
        </w:rPr>
        <w:t>.</w:t>
      </w:r>
    </w:p>
    <w:p w:rsidR="00A55F33" w:rsidRPr="006F2757" w:rsidRDefault="00A55F33" w:rsidP="00A55F33">
      <w:pPr>
        <w:pStyle w:val="NormalAfterTablesandFigures"/>
      </w:pPr>
    </w:p>
    <w:p w:rsidR="00ED5498" w:rsidRDefault="00ED5498" w:rsidP="00ED5498">
      <w:pPr>
        <w:pStyle w:val="Heading2"/>
      </w:pPr>
      <w:bookmarkStart w:id="33" w:name="_Toc388515958"/>
      <w:bookmarkStart w:id="34" w:name="_Toc389663837"/>
      <w:r>
        <w:lastRenderedPageBreak/>
        <w:t>Data Sources</w:t>
      </w:r>
      <w:bookmarkEnd w:id="33"/>
      <w:bookmarkEnd w:id="34"/>
    </w:p>
    <w:p w:rsidR="00ED5498" w:rsidRPr="00BB1268" w:rsidRDefault="00ED5498" w:rsidP="00ED5498">
      <w:pPr>
        <w:pStyle w:val="NormalBeforeList"/>
      </w:pPr>
      <w:r w:rsidRPr="00BB1268">
        <w:t xml:space="preserve">The </w:t>
      </w:r>
      <w:r w:rsidR="006E6279">
        <w:t xml:space="preserve">billing </w:t>
      </w:r>
      <w:r w:rsidR="0024674C">
        <w:t xml:space="preserve">and engineering analyses </w:t>
      </w:r>
      <w:r w:rsidR="006E6279">
        <w:t xml:space="preserve">utilized the </w:t>
      </w:r>
      <w:r w:rsidRPr="00BB1268">
        <w:t>following data sources:</w:t>
      </w:r>
      <w:r w:rsidR="00593706">
        <w:rPr>
          <w:rStyle w:val="FootnoteReference"/>
        </w:rPr>
        <w:footnoteReference w:id="10"/>
      </w:r>
    </w:p>
    <w:p w:rsidR="00ED5498" w:rsidRDefault="00ED5498" w:rsidP="00ED5498">
      <w:pPr>
        <w:pStyle w:val="Bulletlevel1"/>
      </w:pPr>
      <w:r w:rsidRPr="00BB1268">
        <w:rPr>
          <w:b/>
          <w:i/>
        </w:rPr>
        <w:t>Program Tracking Data</w:t>
      </w:r>
      <w:r w:rsidRPr="00BB1268">
        <w:t xml:space="preserve"> for HES and HES-IE programs, provided by CL&amp;P and UI, </w:t>
      </w:r>
      <w:r w:rsidR="006E6279">
        <w:t xml:space="preserve">and including </w:t>
      </w:r>
      <w:r w:rsidRPr="00BB1268">
        <w:t>all electric and gas participants from January 2011 to October 2013.</w:t>
      </w:r>
    </w:p>
    <w:p w:rsidR="00ED5498" w:rsidRPr="00BB1268" w:rsidRDefault="00ED5498" w:rsidP="00ED5498">
      <w:pPr>
        <w:pStyle w:val="Bulletlevel1"/>
        <w:numPr>
          <w:ilvl w:val="0"/>
          <w:numId w:val="0"/>
        </w:numPr>
        <w:ind w:left="720"/>
      </w:pPr>
      <w:r w:rsidRPr="00BB1268">
        <w:t>These data included</w:t>
      </w:r>
      <w:r w:rsidR="006E6279">
        <w:t>:</w:t>
      </w:r>
      <w:r w:rsidRPr="00BB1268">
        <w:t xml:space="preserve"> participant names</w:t>
      </w:r>
      <w:r w:rsidR="006E6279">
        <w:t>;</w:t>
      </w:r>
      <w:r w:rsidRPr="00BB1268">
        <w:t xml:space="preserve"> contact information (e.g., address</w:t>
      </w:r>
      <w:r w:rsidR="006E6279">
        <w:t>es</w:t>
      </w:r>
      <w:r w:rsidRPr="00BB1268">
        <w:t>)</w:t>
      </w:r>
      <w:r w:rsidR="006E6279">
        <w:t>;</w:t>
      </w:r>
      <w:r w:rsidRPr="00BB1268">
        <w:t xml:space="preserve"> unique customer identifiers (e.g., utility account numbers)</w:t>
      </w:r>
      <w:r w:rsidR="006E6279">
        <w:t>;</w:t>
      </w:r>
      <w:r w:rsidRPr="00BB1268">
        <w:t xml:space="preserve"> participation dates</w:t>
      </w:r>
      <w:r w:rsidR="006E6279">
        <w:t>;</w:t>
      </w:r>
      <w:r w:rsidRPr="00BB1268">
        <w:t xml:space="preserve"> building and fuel usage characteristics (e.g., conditioned square feet, heating and water heating fuel types)</w:t>
      </w:r>
      <w:r w:rsidR="006E6279">
        <w:t>;</w:t>
      </w:r>
      <w:r w:rsidRPr="00BB1268">
        <w:t xml:space="preserve"> and total participant </w:t>
      </w:r>
      <w:r w:rsidRPr="00BB1268">
        <w:rPr>
          <w:i/>
        </w:rPr>
        <w:t>ex ante</w:t>
      </w:r>
      <w:r w:rsidRPr="00BB1268">
        <w:t xml:space="preserve"> savings estimates. The utilities also provided detailed measure data, which included</w:t>
      </w:r>
      <w:r w:rsidR="006E6279">
        <w:t>:</w:t>
      </w:r>
      <w:r w:rsidRPr="00BB1268">
        <w:t xml:space="preserve"> measure name</w:t>
      </w:r>
      <w:r w:rsidR="006E6279">
        <w:t>s</w:t>
      </w:r>
      <w:r w:rsidRPr="00BB1268">
        <w:t xml:space="preserve"> or description</w:t>
      </w:r>
      <w:r w:rsidR="006E6279">
        <w:t>s;</w:t>
      </w:r>
      <w:r w:rsidRPr="00BB1268">
        <w:t xml:space="preserve"> </w:t>
      </w:r>
      <w:r w:rsidRPr="00BB1268">
        <w:rPr>
          <w:i/>
        </w:rPr>
        <w:t>ex ante</w:t>
      </w:r>
      <w:r w:rsidRPr="00BB1268">
        <w:t xml:space="preserve"> per-unit measure savings</w:t>
      </w:r>
      <w:r w:rsidR="006E6279">
        <w:t>;</w:t>
      </w:r>
      <w:r w:rsidRPr="00BB1268">
        <w:t xml:space="preserve"> and measure-specific details used as inputs to the Connecticut Program Savings Documentation (PSD) savings algorithms, such as quantities and efficiency levels.</w:t>
      </w:r>
    </w:p>
    <w:p w:rsidR="00ED5498" w:rsidRDefault="00ED5498" w:rsidP="00ED5498">
      <w:pPr>
        <w:pStyle w:val="Bulletlevel1"/>
      </w:pPr>
      <w:r w:rsidRPr="00BB1268">
        <w:rPr>
          <w:b/>
          <w:i/>
        </w:rPr>
        <w:t xml:space="preserve">Billing Data </w:t>
      </w:r>
      <w:r w:rsidRPr="00BB1268">
        <w:t xml:space="preserve">for HES and HES-IE participants, provided by CL&amp;P and UI, </w:t>
      </w:r>
      <w:r w:rsidR="006E6279">
        <w:t xml:space="preserve">and including </w:t>
      </w:r>
      <w:r w:rsidRPr="00BB1268">
        <w:t>all electric and gas participant monthly usage histor</w:t>
      </w:r>
      <w:r w:rsidR="006E6279">
        <w:t>ies</w:t>
      </w:r>
      <w:r w:rsidRPr="00BB1268">
        <w:t xml:space="preserve">. </w:t>
      </w:r>
    </w:p>
    <w:p w:rsidR="00ED5498" w:rsidRPr="00BB1268" w:rsidRDefault="00ED5498" w:rsidP="00ED5498">
      <w:pPr>
        <w:pStyle w:val="Bulletlevel1"/>
        <w:numPr>
          <w:ilvl w:val="0"/>
          <w:numId w:val="0"/>
        </w:numPr>
        <w:ind w:left="720"/>
      </w:pPr>
      <w:r w:rsidRPr="00BB1268">
        <w:t>These data included</w:t>
      </w:r>
      <w:r w:rsidR="006E6279">
        <w:t>:</w:t>
      </w:r>
      <w:r w:rsidRPr="00BB1268">
        <w:t xml:space="preserve"> meter-read dates and all kWh and CCF consumption, by participant account, between January 2010 and October 2013. </w:t>
      </w:r>
    </w:p>
    <w:p w:rsidR="00ED5498" w:rsidRDefault="00ED5498" w:rsidP="00ED5498">
      <w:pPr>
        <w:pStyle w:val="Bulletlevel1"/>
      </w:pPr>
      <w:r w:rsidRPr="00BB1268">
        <w:rPr>
          <w:b/>
          <w:i/>
        </w:rPr>
        <w:t>Connecticut Weather Data</w:t>
      </w:r>
      <w:r w:rsidRPr="00BB1268">
        <w:t>, including daily average temperatures</w:t>
      </w:r>
      <w:r w:rsidR="0006524F">
        <w:t>,</w:t>
      </w:r>
      <w:r w:rsidRPr="00BB1268">
        <w:t xml:space="preserve"> from January 2010 through October 2013</w:t>
      </w:r>
      <w:r w:rsidR="0006524F">
        <w:t>,</w:t>
      </w:r>
      <w:r w:rsidRPr="00BB1268">
        <w:t xml:space="preserve"> for 12 weather stations, corresponding to the nearest monitoring station locations associated with HES and HES-IE participants. </w:t>
      </w:r>
    </w:p>
    <w:p w:rsidR="00ED5498" w:rsidRPr="00BB1268" w:rsidRDefault="0006524F" w:rsidP="00ED5498">
      <w:pPr>
        <w:pStyle w:val="Bulletlevel1"/>
        <w:numPr>
          <w:ilvl w:val="0"/>
          <w:numId w:val="0"/>
        </w:numPr>
        <w:ind w:left="720"/>
      </w:pPr>
      <w:r>
        <w:rPr>
          <w:lang w:eastAsia="ar-SA"/>
        </w:rPr>
        <w:t xml:space="preserve">The study used </w:t>
      </w:r>
      <w:r w:rsidR="00ED5498" w:rsidRPr="00BB1268">
        <w:rPr>
          <w:lang w:eastAsia="ar-SA"/>
        </w:rPr>
        <w:t>ZIP codes to match daily heating degree</w:t>
      </w:r>
      <w:r>
        <w:rPr>
          <w:lang w:eastAsia="ar-SA"/>
        </w:rPr>
        <w:t xml:space="preserve"> </w:t>
      </w:r>
      <w:r w:rsidR="00ED5498" w:rsidRPr="00BB1268">
        <w:rPr>
          <w:lang w:eastAsia="ar-SA"/>
        </w:rPr>
        <w:t>days (HDDs) and cooling degree</w:t>
      </w:r>
      <w:r>
        <w:rPr>
          <w:lang w:eastAsia="ar-SA"/>
        </w:rPr>
        <w:t xml:space="preserve"> </w:t>
      </w:r>
      <w:r w:rsidR="00ED5498" w:rsidRPr="00BB1268">
        <w:rPr>
          <w:lang w:eastAsia="ar-SA"/>
        </w:rPr>
        <w:t>days</w:t>
      </w:r>
      <w:r w:rsidR="00ED5498" w:rsidRPr="00BB1268">
        <w:t xml:space="preserve"> (CDDs) to respective monthly billing data read dates.</w:t>
      </w:r>
      <w:r w:rsidR="00ED5498" w:rsidRPr="00BB1268" w:rsidDel="008B6EEE">
        <w:t xml:space="preserve"> </w:t>
      </w:r>
      <w:r w:rsidR="00ED5498" w:rsidRPr="00BB1268">
        <w:rPr>
          <w:color w:val="000000"/>
        </w:rPr>
        <w:t>TMY3 (typical meteorological year)</w:t>
      </w:r>
      <w:r>
        <w:rPr>
          <w:color w:val="000000"/>
        </w:rPr>
        <w:t>,</w:t>
      </w:r>
      <w:r w:rsidR="00ED5498" w:rsidRPr="00BB1268">
        <w:rPr>
          <w:color w:val="000000"/>
        </w:rPr>
        <w:t xml:space="preserve"> </w:t>
      </w:r>
      <w:r>
        <w:rPr>
          <w:color w:val="000000"/>
        </w:rPr>
        <w:br/>
      </w:r>
      <w:r w:rsidR="00ED5498" w:rsidRPr="00BB1268">
        <w:rPr>
          <w:color w:val="000000"/>
        </w:rPr>
        <w:t xml:space="preserve">15-year normal weather averages from 1991–2005 were obtained from the National Oceanic and Atmospheric Administration </w:t>
      </w:r>
      <w:r w:rsidR="00ED5498" w:rsidRPr="00BB1268">
        <w:t>to assess energy usage under normal weather conditions.</w:t>
      </w:r>
    </w:p>
    <w:p w:rsidR="00ED5498" w:rsidRDefault="00ED5498" w:rsidP="00ED5498">
      <w:pPr>
        <w:pStyle w:val="Bulletlevel1"/>
      </w:pPr>
      <w:r w:rsidRPr="00BB1268">
        <w:rPr>
          <w:b/>
          <w:i/>
        </w:rPr>
        <w:t>Indicators of “Other” Energy-</w:t>
      </w:r>
      <w:r w:rsidRPr="000106EC">
        <w:rPr>
          <w:b/>
        </w:rPr>
        <w:t>Efficiency</w:t>
      </w:r>
      <w:r w:rsidRPr="00BB1268">
        <w:rPr>
          <w:b/>
          <w:i/>
        </w:rPr>
        <w:t xml:space="preserve"> Program Participation Data,</w:t>
      </w:r>
      <w:r w:rsidRPr="00BB1268">
        <w:t xml:space="preserve"> composed of program tracking data for non-HES/HES-IE program participation. These data contained</w:t>
      </w:r>
      <w:r w:rsidR="0006524F">
        <w:t>:</w:t>
      </w:r>
      <w:r w:rsidRPr="00BB1268">
        <w:t xml:space="preserve"> program name</w:t>
      </w:r>
      <w:r w:rsidR="0006524F">
        <w:t>s;</w:t>
      </w:r>
      <w:r w:rsidRPr="00BB1268">
        <w:t xml:space="preserve"> </w:t>
      </w:r>
      <w:r w:rsidR="0006524F">
        <w:t xml:space="preserve">participation </w:t>
      </w:r>
      <w:r w:rsidRPr="00BB1268">
        <w:t>dates</w:t>
      </w:r>
      <w:r w:rsidR="0006524F">
        <w:t>;</w:t>
      </w:r>
      <w:r w:rsidRPr="00BB1268">
        <w:t xml:space="preserve"> and measure installation information. These non-HES/HES-IE programs included other energy-efficiency rebate programs and the Home Energy Reports (HER) behavioral program. </w:t>
      </w:r>
    </w:p>
    <w:p w:rsidR="007A1CBE" w:rsidRDefault="0006524F" w:rsidP="00ED5498">
      <w:pPr>
        <w:pStyle w:val="Bulletlevel1"/>
        <w:numPr>
          <w:ilvl w:val="0"/>
          <w:numId w:val="0"/>
        </w:numPr>
        <w:ind w:left="720"/>
        <w:rPr>
          <w:lang w:eastAsia="ar-SA"/>
        </w:rPr>
      </w:pPr>
      <w:r>
        <w:rPr>
          <w:lang w:eastAsia="ar-SA"/>
        </w:rPr>
        <w:t>The Evaluation Team used t</w:t>
      </w:r>
      <w:r w:rsidR="00ED5498" w:rsidRPr="00BB1268">
        <w:rPr>
          <w:lang w:eastAsia="ar-SA"/>
        </w:rPr>
        <w:t xml:space="preserve">hese data to identify HES participants who may have received recommendations </w:t>
      </w:r>
      <w:r>
        <w:rPr>
          <w:lang w:eastAsia="ar-SA"/>
        </w:rPr>
        <w:t xml:space="preserve">for measures through </w:t>
      </w:r>
      <w:r w:rsidR="00ED5498" w:rsidRPr="00BB1268">
        <w:rPr>
          <w:lang w:eastAsia="ar-SA"/>
        </w:rPr>
        <w:t xml:space="preserve">during their audits but installed the measures through another program. Understanding whether these energy-efficiency improvements happened outside of HES or HES-IE </w:t>
      </w:r>
      <w:r>
        <w:rPr>
          <w:lang w:eastAsia="ar-SA"/>
        </w:rPr>
        <w:t xml:space="preserve">proved </w:t>
      </w:r>
      <w:r w:rsidR="00ED5498" w:rsidRPr="00BB1268">
        <w:rPr>
          <w:lang w:eastAsia="ar-SA"/>
        </w:rPr>
        <w:t>important for the model to estimate savings accurately for these programs and to avoid attributing savings from other programs to HES or HES-IE.</w:t>
      </w:r>
    </w:p>
    <w:p w:rsidR="00ED5498" w:rsidRPr="00BB1268" w:rsidRDefault="00ED5498" w:rsidP="00ED5498">
      <w:pPr>
        <w:pStyle w:val="Bulletlevel1"/>
        <w:numPr>
          <w:ilvl w:val="0"/>
          <w:numId w:val="0"/>
        </w:numPr>
        <w:ind w:left="720"/>
      </w:pPr>
      <w:r w:rsidRPr="00BB1268">
        <w:t xml:space="preserve">Rather than excluding HER participants from the HES/HES-IE analysis, the </w:t>
      </w:r>
      <w:r w:rsidR="0006524F">
        <w:t xml:space="preserve">Evaluation Team used </w:t>
      </w:r>
      <w:r w:rsidR="00593706">
        <w:t xml:space="preserve">account numbers to identify HER participants and created a dummy variable for these </w:t>
      </w:r>
      <w:r w:rsidR="00593706">
        <w:lastRenderedPageBreak/>
        <w:t>households</w:t>
      </w:r>
      <w:r w:rsidRPr="00BB1268">
        <w:t xml:space="preserve"> when specifying both natural gas and electric billing analysis models.</w:t>
      </w:r>
      <w:r w:rsidR="00593706">
        <w:rPr>
          <w:rStyle w:val="FootnoteReference"/>
        </w:rPr>
        <w:footnoteReference w:id="11"/>
      </w:r>
      <w:r w:rsidRPr="00BB1268">
        <w:t xml:space="preserve"> This controlled for impact</w:t>
      </w:r>
      <w:r w:rsidR="0006524F">
        <w:t>s</w:t>
      </w:r>
      <w:r w:rsidRPr="00BB1268">
        <w:t xml:space="preserve"> of customers’ behavior</w:t>
      </w:r>
      <w:r w:rsidR="0006524F">
        <w:t>s</w:t>
      </w:r>
      <w:r w:rsidRPr="00BB1268">
        <w:t xml:space="preserve"> </w:t>
      </w:r>
      <w:r w:rsidR="0006524F">
        <w:t xml:space="preserve">due to </w:t>
      </w:r>
      <w:r w:rsidRPr="00BB1268">
        <w:t xml:space="preserve">HER and ensured HER participation did not bias energy consumption </w:t>
      </w:r>
      <w:r w:rsidR="0006524F">
        <w:t xml:space="preserve">changes </w:t>
      </w:r>
      <w:r w:rsidRPr="00BB1268">
        <w:t>determined for HES and HES-IE.</w:t>
      </w:r>
    </w:p>
    <w:p w:rsidR="00ED5498" w:rsidRPr="00BB1268" w:rsidRDefault="00ED5498" w:rsidP="00ED5498">
      <w:pPr>
        <w:pStyle w:val="Bulletlevel1"/>
      </w:pPr>
      <w:r w:rsidRPr="00BB1268">
        <w:rPr>
          <w:b/>
          <w:i/>
        </w:rPr>
        <w:t>Connecticut PSD</w:t>
      </w:r>
      <w:r w:rsidRPr="00BB1268">
        <w:t xml:space="preserve">, a technical reference manual providing detailed documentation of energy and demand savings calculations associated with Energy Efficiency Fund programs for specific energy-savings measures. Connecticut utilities offering the HES and HES-IE programs estimate </w:t>
      </w:r>
      <w:r w:rsidRPr="00BB1268">
        <w:rPr>
          <w:i/>
        </w:rPr>
        <w:t>ex ante</w:t>
      </w:r>
      <w:r w:rsidRPr="00BB1268">
        <w:t xml:space="preserve"> measure savings for these programs</w:t>
      </w:r>
      <w:r w:rsidR="0006524F">
        <w:t>,</w:t>
      </w:r>
      <w:r w:rsidRPr="00BB1268">
        <w:t xml:space="preserve"> based on savings calculations </w:t>
      </w:r>
      <w:r w:rsidR="0006524F">
        <w:t>the manual contains</w:t>
      </w:r>
      <w:r w:rsidRPr="00BB1268">
        <w:t>.</w:t>
      </w:r>
      <w:r w:rsidRPr="00BB1268">
        <w:rPr>
          <w:rStyle w:val="FootnoteReference"/>
        </w:rPr>
        <w:footnoteReference w:id="12"/>
      </w:r>
    </w:p>
    <w:p w:rsidR="00ED5498" w:rsidRPr="00BB1268" w:rsidRDefault="00ED5498" w:rsidP="00ED5498">
      <w:pPr>
        <w:pStyle w:val="Bulletlevel1"/>
      </w:pPr>
      <w:r w:rsidRPr="00BB1268">
        <w:rPr>
          <w:b/>
          <w:i/>
        </w:rPr>
        <w:t>Connecticut 2013–2015 Electric and Natural Gas Conservation and Load Management Plan</w:t>
      </w:r>
      <w:r w:rsidRPr="00BB1268">
        <w:t xml:space="preserve"> (the Plan), providing reported 2011 electric and gas savings by utility</w:t>
      </w:r>
      <w:r w:rsidR="0006524F">
        <w:t xml:space="preserve">; these savings served as </w:t>
      </w:r>
      <w:r w:rsidRPr="00BB1268">
        <w:t>the basis for calculating total evaluated savings.</w:t>
      </w:r>
    </w:p>
    <w:p w:rsidR="00ED5498" w:rsidRDefault="00ED5498" w:rsidP="00ED5498">
      <w:pPr>
        <w:pStyle w:val="Bulletlevel1"/>
      </w:pPr>
      <w:r w:rsidRPr="00BB1268">
        <w:rPr>
          <w:b/>
          <w:i/>
        </w:rPr>
        <w:t>Indicators of non-utility funded HES-IE projects,</w:t>
      </w:r>
      <w:r w:rsidRPr="00BB1268">
        <w:t xml:space="preserve"> flagging projects </w:t>
      </w:r>
      <w:r w:rsidR="0006524F">
        <w:t xml:space="preserve">that </w:t>
      </w:r>
      <w:r w:rsidRPr="00BB1268">
        <w:t xml:space="preserve">leveraged state or federal funding and </w:t>
      </w:r>
      <w:r w:rsidR="000E2125">
        <w:t xml:space="preserve">might </w:t>
      </w:r>
      <w:r w:rsidRPr="00BB1268">
        <w:t xml:space="preserve">not comprehensively track household-specific installations and associated energy savings. </w:t>
      </w:r>
    </w:p>
    <w:p w:rsidR="00ED5498" w:rsidRDefault="00ED5498" w:rsidP="007A1CBE">
      <w:pPr>
        <w:pStyle w:val="Bulletlevel1-last"/>
        <w:numPr>
          <w:ilvl w:val="0"/>
          <w:numId w:val="0"/>
        </w:numPr>
        <w:ind w:left="720"/>
      </w:pPr>
      <w:r w:rsidRPr="00BB1268">
        <w:t>A CL&amp;P HES-IE subprogram, SP1, identifies all potential program participants leverag</w:t>
      </w:r>
      <w:r w:rsidR="000E2125">
        <w:t>ing</w:t>
      </w:r>
      <w:r w:rsidRPr="00BB1268">
        <w:t xml:space="preserve"> </w:t>
      </w:r>
      <w:r w:rsidR="000E2125">
        <w:br/>
      </w:r>
      <w:r w:rsidRPr="00BB1268">
        <w:t>non-utility funding. SP2, SP3, and SP4 receive complete funding through the utility. UI provided separate data files</w:t>
      </w:r>
      <w:r w:rsidR="000E2125">
        <w:t>,</w:t>
      </w:r>
      <w:r w:rsidRPr="00BB1268">
        <w:t xml:space="preserve"> merged them to participant data, </w:t>
      </w:r>
      <w:r w:rsidR="000E2125">
        <w:t xml:space="preserve">and </w:t>
      </w:r>
      <w:r w:rsidRPr="00BB1268">
        <w:t>flagg</w:t>
      </w:r>
      <w:r w:rsidR="000E2125">
        <w:t>ed</w:t>
      </w:r>
      <w:r w:rsidRPr="00BB1268">
        <w:t xml:space="preserve"> projects that leveraged DOE or ARRA funding for HES-IE installations.</w:t>
      </w:r>
    </w:p>
    <w:p w:rsidR="00ED5498" w:rsidRDefault="00ED5498" w:rsidP="00ED5498">
      <w:pPr>
        <w:pStyle w:val="Heading2"/>
      </w:pPr>
      <w:bookmarkStart w:id="35" w:name="_Ref383620081"/>
      <w:bookmarkStart w:id="36" w:name="_Ref383694322"/>
      <w:bookmarkStart w:id="37" w:name="_Toc388515959"/>
      <w:bookmarkStart w:id="38" w:name="_Toc389663838"/>
      <w:r>
        <w:t>Participant Group</w:t>
      </w:r>
      <w:bookmarkEnd w:id="35"/>
      <w:bookmarkEnd w:id="36"/>
      <w:bookmarkEnd w:id="37"/>
      <w:bookmarkEnd w:id="38"/>
    </w:p>
    <w:p w:rsidR="00ED5498" w:rsidRDefault="00ED5498" w:rsidP="007A1CBE">
      <w:r w:rsidRPr="00A91195">
        <w:t xml:space="preserve">For the impact analysis, </w:t>
      </w:r>
      <w:r w:rsidR="000E2125">
        <w:t xml:space="preserve">the Evaluation Team gathered </w:t>
      </w:r>
      <w:r w:rsidRPr="00A91195">
        <w:t>data from a participant (treatment) group</w:t>
      </w:r>
      <w:r w:rsidR="000E2125">
        <w:t>,</w:t>
      </w:r>
      <w:r w:rsidRPr="00A91195">
        <w:t xml:space="preserve"> composed of HES and HES-IE participants from the 2011 calendar year. Measure installations for these program participants occurred between January 1, 2011, and December 31, 2011. This study focused on the 2011 program year </w:t>
      </w:r>
      <w:r w:rsidR="006F5901">
        <w:t>as:</w:t>
      </w:r>
      <w:r w:rsidR="00346074">
        <w:t xml:space="preserve"> </w:t>
      </w:r>
      <w:r w:rsidRPr="00A91195">
        <w:t xml:space="preserve">the analysis </w:t>
      </w:r>
      <w:r w:rsidR="00D1609B">
        <w:t>sought</w:t>
      </w:r>
      <w:r w:rsidRPr="00A91195">
        <w:t xml:space="preserve"> a complete</w:t>
      </w:r>
      <w:r w:rsidR="006F5901">
        <w:t>,</w:t>
      </w:r>
      <w:r w:rsidRPr="00A91195">
        <w:t xml:space="preserve"> 12-month period of post-participation billing data</w:t>
      </w:r>
      <w:r w:rsidR="006F5901">
        <w:t>;</w:t>
      </w:r>
      <w:r w:rsidR="00346074">
        <w:t xml:space="preserve"> and,</w:t>
      </w:r>
      <w:r w:rsidRPr="00A91195">
        <w:t xml:space="preserve"> at the time of </w:t>
      </w:r>
      <w:r w:rsidR="00CF4F75">
        <w:t>evaluation</w:t>
      </w:r>
      <w:r w:rsidRPr="00A91195">
        <w:t xml:space="preserve"> planning, billing data for a complete 2013 period </w:t>
      </w:r>
      <w:r w:rsidR="006F5901">
        <w:t>were</w:t>
      </w:r>
      <w:r w:rsidRPr="00A91195">
        <w:t xml:space="preserve"> not available. </w:t>
      </w:r>
      <w:r w:rsidR="006F5901">
        <w:t xml:space="preserve">Given </w:t>
      </w:r>
      <w:r w:rsidRPr="00A91195">
        <w:t xml:space="preserve">this timeline, billing data from a complete year before and after program participation </w:t>
      </w:r>
      <w:r w:rsidR="006F5901">
        <w:t>were</w:t>
      </w:r>
      <w:r w:rsidRPr="00A91195">
        <w:t xml:space="preserve"> available for 2011. </w:t>
      </w:r>
    </w:p>
    <w:p w:rsidR="00ED5498" w:rsidRPr="008155D1" w:rsidRDefault="00ED5498" w:rsidP="007A1CBE">
      <w:r>
        <w:t xml:space="preserve">Regarding CL&amp;P HES-IE participation, the Evaluation Team performed measure-based analyses only for participants in SP2 and SP3, given </w:t>
      </w:r>
      <w:r w:rsidR="006F5901">
        <w:t xml:space="preserve">the </w:t>
      </w:r>
      <w:r>
        <w:t xml:space="preserve">challenges </w:t>
      </w:r>
      <w:r w:rsidR="006F5901">
        <w:t xml:space="preserve">presented </w:t>
      </w:r>
      <w:r>
        <w:t>with other subprograms (SP1, SP4)</w:t>
      </w:r>
      <w:r w:rsidR="006F5901">
        <w:t>,</w:t>
      </w:r>
      <w:r>
        <w:t xml:space="preserve"> </w:t>
      </w:r>
      <w:r w:rsidR="006F5901">
        <w:t xml:space="preserve">as </w:t>
      </w:r>
      <w:r>
        <w:t xml:space="preserve">discussed in </w:t>
      </w:r>
      <w:r w:rsidR="006F5901">
        <w:t xml:space="preserve">this report’s </w:t>
      </w:r>
      <w:r>
        <w:t>Vol</w:t>
      </w:r>
      <w:r w:rsidR="006F5901">
        <w:t xml:space="preserve">ume </w:t>
      </w:r>
      <w:r>
        <w:t>1 (and consistent with the project</w:t>
      </w:r>
      <w:r w:rsidR="00392A89">
        <w:t>’s approved</w:t>
      </w:r>
      <w:r>
        <w:t xml:space="preserve"> scope).</w:t>
      </w:r>
      <w:r w:rsidR="00F062D0">
        <w:t xml:space="preserve"> The Evaluation Team </w:t>
      </w:r>
      <w:r w:rsidR="00071E3D">
        <w:t xml:space="preserve">evaluated impacts for these </w:t>
      </w:r>
      <w:r w:rsidR="001478F7">
        <w:t>subprograms</w:t>
      </w:r>
      <w:r w:rsidR="00071E3D">
        <w:t xml:space="preserve"> separately using a </w:t>
      </w:r>
      <w:r w:rsidR="00F062D0">
        <w:t>whole-house billing analys</w:t>
      </w:r>
      <w:r w:rsidR="00071E3D">
        <w:t>i</w:t>
      </w:r>
      <w:r w:rsidR="00F062D0">
        <w:t>s</w:t>
      </w:r>
      <w:r w:rsidR="00071E3D">
        <w:t xml:space="preserve"> approach</w:t>
      </w:r>
      <w:r w:rsidR="00F062D0">
        <w:t>.</w:t>
      </w:r>
    </w:p>
    <w:p w:rsidR="00ED5498" w:rsidRDefault="00ED5498" w:rsidP="00ED5498">
      <w:pPr>
        <w:pStyle w:val="Heading2"/>
      </w:pPr>
      <w:bookmarkStart w:id="39" w:name="_Toc388515960"/>
      <w:bookmarkStart w:id="40" w:name="_Toc389663839"/>
      <w:r>
        <w:lastRenderedPageBreak/>
        <w:t>Comparison Group</w:t>
      </w:r>
      <w:bookmarkEnd w:id="39"/>
      <w:bookmarkEnd w:id="40"/>
    </w:p>
    <w:p w:rsidR="00ED5498" w:rsidRPr="002F2635" w:rsidRDefault="00ED5498" w:rsidP="007A1CBE">
      <w:r w:rsidRPr="002F2635">
        <w:t xml:space="preserve">The Evaluation Team used a comparison group in conducting </w:t>
      </w:r>
      <w:r w:rsidR="0011323A">
        <w:t>a</w:t>
      </w:r>
      <w:r w:rsidRPr="002F2635">
        <w:t xml:space="preserve"> billing analysis consistent with the discussion from Vol</w:t>
      </w:r>
      <w:r w:rsidR="0011323A">
        <w:t xml:space="preserve">ume </w:t>
      </w:r>
      <w:r w:rsidRPr="002F2635">
        <w:t xml:space="preserve">1. Specific to the measure-level billing analyses, the Evaluation Team </w:t>
      </w:r>
      <w:r w:rsidR="0011323A">
        <w:t xml:space="preserve">used </w:t>
      </w:r>
      <w:r w:rsidRPr="002F2635">
        <w:t xml:space="preserve">the nonparticipation adjustment factor from the whole-house models (the percentage difference between gross model savings and adjusted gross model savings) to scale total evaluated savings consistently to account for exogenous effects. </w:t>
      </w:r>
    </w:p>
    <w:p w:rsidR="00ED5498" w:rsidRDefault="00ED5498" w:rsidP="00ED5498">
      <w:pPr>
        <w:pStyle w:val="Heading2"/>
      </w:pPr>
      <w:bookmarkStart w:id="41" w:name="_Toc388515961"/>
      <w:bookmarkStart w:id="42" w:name="_Toc389663840"/>
      <w:r>
        <w:t>Savings Calculation</w:t>
      </w:r>
      <w:bookmarkEnd w:id="41"/>
      <w:bookmarkEnd w:id="42"/>
    </w:p>
    <w:p w:rsidR="001F30C0" w:rsidRDefault="001F30C0" w:rsidP="001F30C0">
      <w:r>
        <w:t>The Evaluation Team first developed the best estimate of annual energy savings for each measure installed through the program, based either on billing analysis, building simulation modeling, or engineering analysis. Billing analysis results applied for measures that produced results meeting a specified precision level. Building simulation modeling results applied for measures exhibiting significant interactive effects with other measures, but not meeting the minimum precision level established for billing analysis results. Engineering analysis results applied for measures not addressed through the billing analysis or the building simulation. The Findings sections present these best estimates as evaluated gross savings.</w:t>
      </w:r>
    </w:p>
    <w:p w:rsidR="001F30C0" w:rsidRDefault="001F30C0" w:rsidP="001F30C0">
      <w:r>
        <w:t xml:space="preserve">The Findings sections also compare evaluated gross savings to average </w:t>
      </w:r>
      <w:r>
        <w:rPr>
          <w:i/>
          <w:iCs/>
        </w:rPr>
        <w:t>ex ante</w:t>
      </w:r>
      <w:r>
        <w:t xml:space="preserve"> savings for each measure captured in the utility tracking data to derive a measure-level realization rate (i.e., the percentage of difference between “expected” and evaluated savings).</w:t>
      </w:r>
    </w:p>
    <w:p w:rsidR="001F30C0" w:rsidRDefault="001F30C0" w:rsidP="001F30C0">
      <w:r>
        <w:t>To develop program-level realization rates, the Evaluation Team applied measure-level realization rates to total savings for a measure, as captured in the utility program tracking data. Nonparticipation adjustment factors were applied to the program-level gross realization rate to derive the final program-level realization rates and adjusted gross savings, as reported in</w:t>
      </w:r>
      <w:r w:rsidR="00072E59">
        <w:t xml:space="preserve"> </w:t>
      </w:r>
      <w:r w:rsidR="005C2163">
        <w:fldChar w:fldCharType="begin"/>
      </w:r>
      <w:r w:rsidR="00072E59">
        <w:instrText xml:space="preserve"> REF _Ref388602755 \h </w:instrText>
      </w:r>
      <w:r w:rsidR="005C2163">
        <w:fldChar w:fldCharType="separate"/>
      </w:r>
      <w:r w:rsidR="00CD20CF">
        <w:t xml:space="preserve">Table </w:t>
      </w:r>
      <w:r w:rsidR="00CD20CF">
        <w:rPr>
          <w:noProof/>
        </w:rPr>
        <w:t>14</w:t>
      </w:r>
      <w:r w:rsidR="005C2163">
        <w:fldChar w:fldCharType="end"/>
      </w:r>
      <w:r w:rsidR="00072E59">
        <w:t xml:space="preserve"> and </w:t>
      </w:r>
      <w:r w:rsidR="005C2163">
        <w:fldChar w:fldCharType="begin"/>
      </w:r>
      <w:r w:rsidR="00072E59">
        <w:instrText xml:space="preserve"> REF _Ref389219844 \h </w:instrText>
      </w:r>
      <w:r w:rsidR="005C2163">
        <w:fldChar w:fldCharType="separate"/>
      </w:r>
      <w:r w:rsidR="00CD20CF">
        <w:t xml:space="preserve">Table </w:t>
      </w:r>
      <w:r w:rsidR="00CD20CF">
        <w:rPr>
          <w:noProof/>
        </w:rPr>
        <w:t>44</w:t>
      </w:r>
      <w:r w:rsidR="005C2163">
        <w:fldChar w:fldCharType="end"/>
      </w:r>
      <w:r>
        <w:t xml:space="preserve">, below. </w:t>
      </w:r>
    </w:p>
    <w:p w:rsidR="00920BB2" w:rsidRDefault="001F30C0" w:rsidP="007A1CBE">
      <w:r>
        <w:t>As savings have been adjusted based on a comparison group and not on a true control group (i.e., a randomized, controlled trial experimental design), adjusted gross savings accounted for some NTG elements (e.g., take-back effects), but likely did not fully account for them</w:t>
      </w:r>
      <w:r w:rsidR="00ED5498" w:rsidRPr="00C63A80">
        <w:t>.</w:t>
      </w:r>
      <w:r w:rsidR="00ED5498" w:rsidRPr="00C63A80">
        <w:rPr>
          <w:rStyle w:val="FootnoteReference"/>
        </w:rPr>
        <w:footnoteReference w:id="13"/>
      </w:r>
      <w:r w:rsidR="00ED5498" w:rsidRPr="00C63A80">
        <w:t xml:space="preserve"> </w:t>
      </w:r>
    </w:p>
    <w:p w:rsidR="00AE2F5F" w:rsidRPr="00C63A80" w:rsidRDefault="00AE2F5F" w:rsidP="007A1CBE">
      <w:r>
        <w:t xml:space="preserve">Given the method used, analysis defined the resulting savings as </w:t>
      </w:r>
      <w:r w:rsidRPr="00984A87">
        <w:t>adjusted gross savings</w:t>
      </w:r>
      <w:r>
        <w:t>.</w:t>
      </w:r>
    </w:p>
    <w:p w:rsidR="00ED5498" w:rsidRDefault="00ED5498" w:rsidP="00ED5498">
      <w:pPr>
        <w:pStyle w:val="Heading3"/>
      </w:pPr>
      <w:r>
        <w:t>Demand Impacts</w:t>
      </w:r>
    </w:p>
    <w:p w:rsidR="00ED5498" w:rsidRPr="005B60F7" w:rsidRDefault="00BD4406" w:rsidP="00ED5498">
      <w:r>
        <w:t>The study</w:t>
      </w:r>
      <w:r w:rsidR="00CA21C5">
        <w:t xml:space="preserve"> </w:t>
      </w:r>
      <w:r>
        <w:t>primar</w:t>
      </w:r>
      <w:r w:rsidR="00CA21C5">
        <w:t>il</w:t>
      </w:r>
      <w:r>
        <w:t>y focus</w:t>
      </w:r>
      <w:r w:rsidR="00CA21C5">
        <w:t>ed on</w:t>
      </w:r>
      <w:r>
        <w:t xml:space="preserve"> evaluating energy savings through billing analysis</w:t>
      </w:r>
      <w:r w:rsidR="00CF4F75">
        <w:t xml:space="preserve">. </w:t>
      </w:r>
      <w:r w:rsidR="00CA21C5">
        <w:t>In addition, it determined p</w:t>
      </w:r>
      <w:r w:rsidR="00CF4F75">
        <w:t>rogram</w:t>
      </w:r>
      <w:r>
        <w:t>-level demand impacts by applying the realization rates</w:t>
      </w:r>
      <w:r w:rsidR="00CA21C5">
        <w:t>,</w:t>
      </w:r>
      <w:r>
        <w:t xml:space="preserve"> based on the energy impact analysis to the 2011 demand savings reported in the Plan.</w:t>
      </w:r>
      <w:r>
        <w:rPr>
          <w:rStyle w:val="FootnoteReference"/>
        </w:rPr>
        <w:footnoteReference w:id="14"/>
      </w:r>
      <w:r w:rsidR="00A41FEC">
        <w:t xml:space="preserve"> </w:t>
      </w:r>
    </w:p>
    <w:p w:rsidR="00ED5498" w:rsidRPr="005B60F7" w:rsidRDefault="00ED5498" w:rsidP="00ED5498">
      <w:pPr>
        <w:pStyle w:val="Heading3"/>
      </w:pPr>
      <w:r w:rsidRPr="005B60F7">
        <w:lastRenderedPageBreak/>
        <w:t>Overall Program-Year Evaluated Savings</w:t>
      </w:r>
    </w:p>
    <w:p w:rsidR="00ED5498" w:rsidRPr="000E6CD0" w:rsidRDefault="00ED5498" w:rsidP="007A1CBE">
      <w:r w:rsidRPr="000E6CD0">
        <w:t xml:space="preserve">Given discrepancies between total savings </w:t>
      </w:r>
      <w:r w:rsidR="00920BB2">
        <w:t xml:space="preserve">reported </w:t>
      </w:r>
      <w:r w:rsidRPr="000E6CD0">
        <w:t xml:space="preserve">in the program-tracking data received </w:t>
      </w:r>
      <w:r w:rsidR="00920BB2">
        <w:t xml:space="preserve">and </w:t>
      </w:r>
      <w:r w:rsidR="00CA21C5">
        <w:t xml:space="preserve">the </w:t>
      </w:r>
      <w:r w:rsidRPr="000E6CD0">
        <w:t>savings reported in the Plan, the Evaluation Team relied on adjust</w:t>
      </w:r>
      <w:r w:rsidR="00920BB2">
        <w:t>ed</w:t>
      </w:r>
      <w:r w:rsidRPr="000E6CD0">
        <w:t xml:space="preserve"> gross realization rates</w:t>
      </w:r>
      <w:r w:rsidR="00920BB2">
        <w:t>,</w:t>
      </w:r>
      <w:r w:rsidRPr="000E6CD0">
        <w:t xml:space="preserve"> calculated </w:t>
      </w:r>
      <w:r w:rsidR="00920BB2">
        <w:t xml:space="preserve">using </w:t>
      </w:r>
      <w:r w:rsidRPr="000E6CD0">
        <w:t>different analytical methods</w:t>
      </w:r>
      <w:r w:rsidR="00920BB2">
        <w:t>,</w:t>
      </w:r>
      <w:r w:rsidRPr="000E6CD0">
        <w:t xml:space="preserve"> and adjusted for exogenous/nonparticipant effects. Adjusted gross savings realization rates, by utility program and fuel, were applied to </w:t>
      </w:r>
      <w:r w:rsidR="00920BB2">
        <w:t xml:space="preserve">savings </w:t>
      </w:r>
      <w:r w:rsidR="00392A89">
        <w:t xml:space="preserve">reported in </w:t>
      </w:r>
      <w:r w:rsidR="00920BB2">
        <w:t xml:space="preserve">the Plan for </w:t>
      </w:r>
      <w:r w:rsidRPr="000E6CD0">
        <w:t>the overall 2011 program</w:t>
      </w:r>
      <w:r w:rsidR="00920BB2">
        <w:t xml:space="preserve"> </w:t>
      </w:r>
      <w:r w:rsidRPr="000E6CD0">
        <w:t>year to derive evaluated adjusted gross savings for the 2011 program year.</w:t>
      </w:r>
      <w:r w:rsidRPr="000E6CD0">
        <w:rPr>
          <w:rStyle w:val="FootnoteReference"/>
        </w:rPr>
        <w:footnoteReference w:id="15"/>
      </w:r>
      <w:r w:rsidRPr="000E6CD0">
        <w:t xml:space="preserve"> </w:t>
      </w:r>
    </w:p>
    <w:p w:rsidR="00ED5498" w:rsidRDefault="00ED5498" w:rsidP="007A1CBE">
      <w:r w:rsidRPr="0060694F">
        <w:t xml:space="preserve">As noted in the </w:t>
      </w:r>
      <w:r w:rsidR="002506E1">
        <w:fldChar w:fldCharType="begin"/>
      </w:r>
      <w:r w:rsidR="002506E1">
        <w:instrText xml:space="preserve"> REF _Ref383620081 \h  \* MERGEFORMAT </w:instrText>
      </w:r>
      <w:r w:rsidR="002506E1">
        <w:fldChar w:fldCharType="separate"/>
      </w:r>
      <w:r w:rsidR="00CD20CF">
        <w:t>Participant Group</w:t>
      </w:r>
      <w:r w:rsidR="002506E1">
        <w:fldChar w:fldCharType="end"/>
      </w:r>
      <w:r w:rsidRPr="0060694F">
        <w:t xml:space="preserve"> section, neither CL&amp;P’s HES-IE SP1 nor SP4 were included in the analysis sample used in the </w:t>
      </w:r>
      <w:r w:rsidR="00324F18">
        <w:t xml:space="preserve">measure-specific </w:t>
      </w:r>
      <w:r w:rsidRPr="0060694F">
        <w:t xml:space="preserve">billing analysis. </w:t>
      </w:r>
      <w:r w:rsidR="00324F18">
        <w:t>T</w:t>
      </w:r>
      <w:r w:rsidR="00920BB2">
        <w:t xml:space="preserve">he Evaluation Team </w:t>
      </w:r>
      <w:r w:rsidR="00324F18">
        <w:t>did perform</w:t>
      </w:r>
      <w:r w:rsidR="00920BB2">
        <w:t xml:space="preserve"> </w:t>
      </w:r>
      <w:r w:rsidRPr="0060694F">
        <w:t xml:space="preserve">a separate billing analysis to calculate whole-house adjusted gross savings estimates for these </w:t>
      </w:r>
      <w:r w:rsidR="00CA21C5">
        <w:br/>
      </w:r>
      <w:r w:rsidRPr="0060694F">
        <w:t xml:space="preserve">discrete </w:t>
      </w:r>
      <w:r w:rsidR="004362A1">
        <w:t>SPs</w:t>
      </w:r>
      <w:r w:rsidRPr="0060694F">
        <w:t xml:space="preserve">. </w:t>
      </w:r>
      <w:r w:rsidR="00D67F1F">
        <w:t>T</w:t>
      </w:r>
      <w:r w:rsidR="00A741B0">
        <w:t xml:space="preserve">hese </w:t>
      </w:r>
      <w:r w:rsidR="001478F7">
        <w:t>subprograms</w:t>
      </w:r>
      <w:r w:rsidR="00A741B0">
        <w:t xml:space="preserve"> have been included in the estimation of total program savings, through applying </w:t>
      </w:r>
      <w:r w:rsidR="00D67F1F">
        <w:t xml:space="preserve">adjusted gross realization rates </w:t>
      </w:r>
      <w:r w:rsidR="00A741B0">
        <w:t xml:space="preserve">from this whole-house analysis to the percentage of reported HES-IE savings attributed to each SP, for gas and electric savings, respectively. </w:t>
      </w:r>
    </w:p>
    <w:p w:rsidR="00ED5498" w:rsidRDefault="00ED5498" w:rsidP="00ED5498">
      <w:pPr>
        <w:pStyle w:val="Heading2"/>
      </w:pPr>
      <w:bookmarkStart w:id="43" w:name="_Toc388515962"/>
      <w:bookmarkStart w:id="44" w:name="_Toc389663841"/>
      <w:r>
        <w:t>Engineering Analysis</w:t>
      </w:r>
      <w:bookmarkEnd w:id="43"/>
      <w:bookmarkEnd w:id="44"/>
    </w:p>
    <w:p w:rsidR="00ED5498" w:rsidRDefault="00ED5498" w:rsidP="00ED5498">
      <w:pPr>
        <w:pStyle w:val="Heading3"/>
      </w:pPr>
      <w:r>
        <w:t>Simulation Modeling</w:t>
      </w:r>
    </w:p>
    <w:p w:rsidR="00ED5498" w:rsidRPr="008D7940" w:rsidRDefault="00ED5498" w:rsidP="00ED5498">
      <w:pPr>
        <w:pStyle w:val="NormalBeforeList"/>
      </w:pPr>
      <w:r w:rsidRPr="008D7940">
        <w:t xml:space="preserve">Program measures </w:t>
      </w:r>
      <w:r>
        <w:t>that</w:t>
      </w:r>
      <w:r w:rsidRPr="008D7940">
        <w:t xml:space="preserve"> generate interactive effects, such as insulation and air sealing, required use of simulation models to determine energy savings values.</w:t>
      </w:r>
      <w:r>
        <w:t xml:space="preserve"> </w:t>
      </w:r>
      <w:r w:rsidRPr="008D7940">
        <w:t xml:space="preserve">For </w:t>
      </w:r>
      <w:r w:rsidR="00BB4987">
        <w:t xml:space="preserve">such </w:t>
      </w:r>
      <w:r w:rsidRPr="008D7940">
        <w:t xml:space="preserve">measures, </w:t>
      </w:r>
      <w:r>
        <w:t>the Evaluation Team</w:t>
      </w:r>
      <w:r w:rsidRPr="008D7940">
        <w:t xml:space="preserve"> estimated savings using a DOE-2 based simulation model</w:t>
      </w:r>
      <w:r w:rsidR="00BB4987">
        <w:t>,</w:t>
      </w:r>
      <w:r w:rsidRPr="008D7940">
        <w:t xml:space="preserve"> calibrated to pre-measure installation </w:t>
      </w:r>
      <w:r>
        <w:t xml:space="preserve">energy </w:t>
      </w:r>
      <w:r w:rsidRPr="008D7940">
        <w:t>consumption.</w:t>
      </w:r>
      <w:r>
        <w:t xml:space="preserve"> </w:t>
      </w:r>
      <w:r w:rsidRPr="008D7940">
        <w:t>This approach improve</w:t>
      </w:r>
      <w:r w:rsidR="00BB4987">
        <w:t>d</w:t>
      </w:r>
      <w:r w:rsidRPr="008D7940">
        <w:t xml:space="preserve"> </w:t>
      </w:r>
      <w:r w:rsidR="00BB4987">
        <w:t xml:space="preserve">the </w:t>
      </w:r>
      <w:r w:rsidRPr="008D7940">
        <w:t xml:space="preserve">accuracy of modeled consumption for pre-measure installation cases, </w:t>
      </w:r>
      <w:r w:rsidR="00BB4987">
        <w:t xml:space="preserve">thus increasing the </w:t>
      </w:r>
      <w:r w:rsidRPr="008D7940">
        <w:t>accuracy of calculated savings.</w:t>
      </w:r>
      <w:r>
        <w:t xml:space="preserve"> </w:t>
      </w:r>
      <w:r w:rsidRPr="008D7940">
        <w:t>Compared to separate engineering calculations, the calibrated modeling approach improve</w:t>
      </w:r>
      <w:r w:rsidR="00BB4987">
        <w:t>d</w:t>
      </w:r>
      <w:r w:rsidRPr="008D7940">
        <w:t xml:space="preserve"> accuracy by accounting for</w:t>
      </w:r>
      <w:r w:rsidR="00BB4987">
        <w:t xml:space="preserve"> the following</w:t>
      </w:r>
      <w:r w:rsidRPr="008D7940">
        <w:t>:</w:t>
      </w:r>
    </w:p>
    <w:p w:rsidR="00ED5498" w:rsidRPr="008D7940" w:rsidRDefault="00ED5498" w:rsidP="00ED5498">
      <w:pPr>
        <w:pStyle w:val="Bulletlevel1"/>
      </w:pPr>
      <w:r w:rsidRPr="008D7940">
        <w:t>Internal and solar gain</w:t>
      </w:r>
      <w:r>
        <w:t>s</w:t>
      </w:r>
      <w:r w:rsidR="00BB4987">
        <w:t>;</w:t>
      </w:r>
    </w:p>
    <w:p w:rsidR="00ED5498" w:rsidRPr="008D7940" w:rsidRDefault="00ED5498" w:rsidP="00ED5498">
      <w:pPr>
        <w:pStyle w:val="Bulletlevel1"/>
      </w:pPr>
      <w:r w:rsidRPr="008D7940">
        <w:t>Monthly variations in energy use due to occupant behavior</w:t>
      </w:r>
      <w:r w:rsidR="00BB4987">
        <w:t>s;</w:t>
      </w:r>
    </w:p>
    <w:p w:rsidR="00ED5498" w:rsidRPr="008D7940" w:rsidRDefault="00BB4987" w:rsidP="00ED5498">
      <w:pPr>
        <w:pStyle w:val="Bulletlevel1"/>
      </w:pPr>
      <w:r>
        <w:t>The t</w:t>
      </w:r>
      <w:r w:rsidR="00ED5498" w:rsidRPr="008D7940">
        <w:t>hermal mass of building assembl</w:t>
      </w:r>
      <w:r>
        <w:t>ies</w:t>
      </w:r>
      <w:r w:rsidR="00ED5498" w:rsidRPr="008D7940">
        <w:t xml:space="preserve"> and other internal components</w:t>
      </w:r>
      <w:r>
        <w:t>;</w:t>
      </w:r>
      <w:r w:rsidR="00ED5498">
        <w:t xml:space="preserve"> and</w:t>
      </w:r>
    </w:p>
    <w:p w:rsidR="00ED5498" w:rsidRPr="008D7940" w:rsidRDefault="00ED5498" w:rsidP="00ED5498">
      <w:pPr>
        <w:pStyle w:val="Bulletlevel1-last"/>
      </w:pPr>
      <w:r w:rsidRPr="008D7940">
        <w:t>Location</w:t>
      </w:r>
      <w:r w:rsidR="00BB4987">
        <w:t>s</w:t>
      </w:r>
      <w:r w:rsidRPr="008D7940">
        <w:t xml:space="preserve"> of infiltration (</w:t>
      </w:r>
      <w:r w:rsidR="00BB4987">
        <w:t xml:space="preserve">rather than </w:t>
      </w:r>
      <w:r w:rsidRPr="008D7940">
        <w:t xml:space="preserve">assuming all infiltration </w:t>
      </w:r>
      <w:r w:rsidR="00BB4987">
        <w:t xml:space="preserve">occurs </w:t>
      </w:r>
      <w:r w:rsidRPr="008D7940">
        <w:t xml:space="preserve">directly to or from </w:t>
      </w:r>
      <w:r w:rsidR="00BB4987">
        <w:br/>
        <w:t xml:space="preserve">the </w:t>
      </w:r>
      <w:r w:rsidRPr="008D7940">
        <w:t>outside)</w:t>
      </w:r>
      <w:r>
        <w:t>.</w:t>
      </w:r>
    </w:p>
    <w:p w:rsidR="00B14B80" w:rsidRPr="008D7940" w:rsidRDefault="00CF4F75" w:rsidP="00B14B80">
      <w:r>
        <w:t>T</w:t>
      </w:r>
      <w:r w:rsidR="00BB4987">
        <w:t>he Evaluation Team developed i</w:t>
      </w:r>
      <w:r w:rsidR="00B14B80" w:rsidRPr="008D7940">
        <w:t>ndividual simulation models for each building, heating fuel (natural gas and electric), and program type.</w:t>
      </w:r>
      <w:r w:rsidR="00B14B80">
        <w:t xml:space="preserve"> </w:t>
      </w:r>
      <w:r w:rsidR="00BB4987">
        <w:t xml:space="preserve">This process </w:t>
      </w:r>
      <w:r w:rsidR="00B14B80">
        <w:t>relied on program and participant information from the utility tracking system, such as heated floor area</w:t>
      </w:r>
      <w:r w:rsidR="00BB4987">
        <w:t>s</w:t>
      </w:r>
      <w:r w:rsidR="00B14B80">
        <w:t>, to determine conditioned floor area</w:t>
      </w:r>
      <w:r w:rsidR="00BB4987">
        <w:t>s</w:t>
      </w:r>
      <w:r w:rsidR="00B14B80">
        <w:t xml:space="preserve"> of each building type (</w:t>
      </w:r>
      <w:r w:rsidR="00DA3EB4">
        <w:t>i</w:t>
      </w:r>
      <w:r w:rsidR="00BB4987">
        <w:t>.</w:t>
      </w:r>
      <w:r w:rsidR="00DA3EB4">
        <w:t>e</w:t>
      </w:r>
      <w:r w:rsidR="00BB4987">
        <w:t xml:space="preserve">., </w:t>
      </w:r>
      <w:r w:rsidR="00B14B80">
        <w:t>single</w:t>
      </w:r>
      <w:r w:rsidR="00BB4987">
        <w:t>-</w:t>
      </w:r>
      <w:r w:rsidR="00B14B80">
        <w:t>family, multifamily), heating fuel (</w:t>
      </w:r>
      <w:r w:rsidR="00DA3EB4">
        <w:t>i</w:t>
      </w:r>
      <w:r w:rsidR="00BB4987">
        <w:t>.</w:t>
      </w:r>
      <w:r w:rsidR="00DA3EB4">
        <w:t>e</w:t>
      </w:r>
      <w:r w:rsidR="00BB4987">
        <w:t xml:space="preserve">., </w:t>
      </w:r>
      <w:r w:rsidR="00B14B80">
        <w:t>electric, gas), and program type (</w:t>
      </w:r>
      <w:r w:rsidR="00DA3EB4">
        <w:t>i</w:t>
      </w:r>
      <w:r w:rsidR="00BB4987">
        <w:t>.</w:t>
      </w:r>
      <w:r w:rsidR="00DA3EB4">
        <w:t>e</w:t>
      </w:r>
      <w:r w:rsidR="00BB4987">
        <w:t xml:space="preserve">., </w:t>
      </w:r>
      <w:r w:rsidR="00B14B80">
        <w:t>HES, HES-IE)</w:t>
      </w:r>
      <w:r w:rsidR="00B14B80" w:rsidRPr="008D7940">
        <w:t>.</w:t>
      </w:r>
      <w:r w:rsidR="00B14B80">
        <w:t xml:space="preserve"> </w:t>
      </w:r>
      <w:r w:rsidR="00B14B80" w:rsidRPr="008D7940">
        <w:lastRenderedPageBreak/>
        <w:t xml:space="preserve">Following development of the model for each building, </w:t>
      </w:r>
      <w:r w:rsidR="00B14B80">
        <w:t xml:space="preserve">heating </w:t>
      </w:r>
      <w:r w:rsidR="00B14B80" w:rsidRPr="008D7940">
        <w:t xml:space="preserve">fuel, and program type, each baseline model </w:t>
      </w:r>
      <w:r w:rsidR="00BB4987">
        <w:t xml:space="preserve">could be </w:t>
      </w:r>
      <w:r w:rsidR="00B14B80" w:rsidRPr="008D7940">
        <w:t xml:space="preserve">calibrated to the end uses described in </w:t>
      </w:r>
      <w:r w:rsidR="005C2163">
        <w:rPr>
          <w:b/>
          <w:highlight w:val="yellow"/>
        </w:rPr>
        <w:fldChar w:fldCharType="begin"/>
      </w:r>
      <w:r w:rsidR="00DA3EB4">
        <w:instrText xml:space="preserve"> REF _Ref388699828 \h </w:instrText>
      </w:r>
      <w:r w:rsidR="005C2163">
        <w:rPr>
          <w:b/>
          <w:highlight w:val="yellow"/>
        </w:rPr>
      </w:r>
      <w:r w:rsidR="005C2163">
        <w:rPr>
          <w:b/>
          <w:highlight w:val="yellow"/>
        </w:rPr>
        <w:fldChar w:fldCharType="separate"/>
      </w:r>
      <w:r w:rsidR="00CD20CF">
        <w:t>Appendix C. Simulation Modeling Details</w:t>
      </w:r>
      <w:r w:rsidR="005C2163">
        <w:rPr>
          <w:b/>
          <w:highlight w:val="yellow"/>
        </w:rPr>
        <w:fldChar w:fldCharType="end"/>
      </w:r>
    </w:p>
    <w:p w:rsidR="00B14B80" w:rsidRDefault="00B14B80" w:rsidP="00B14B80">
      <w:r>
        <w:t>Following development of the calibrated baseline models (e.g., building prototypes), the Evaluation Team incorporated inputs to simulate changes to baseline conditions</w:t>
      </w:r>
      <w:r w:rsidR="00BB4987">
        <w:t xml:space="preserve">, allowing </w:t>
      </w:r>
      <w:r>
        <w:t>calculat</w:t>
      </w:r>
      <w:r w:rsidR="00BB4987">
        <w:t xml:space="preserve">ion of </w:t>
      </w:r>
      <w:r>
        <w:t>energy savings for weatherization and duct</w:t>
      </w:r>
      <w:r w:rsidR="00BB4987">
        <w:t>-</w:t>
      </w:r>
      <w:r>
        <w:t>sealing measures. For insulation measures, post-measure installation R-values</w:t>
      </w:r>
      <w:r w:rsidR="00BB4987">
        <w:t>―</w:t>
      </w:r>
      <w:r>
        <w:t>derived from utility tracking data</w:t>
      </w:r>
      <w:r w:rsidR="00BB4987">
        <w:t xml:space="preserve">―were </w:t>
      </w:r>
      <w:r>
        <w:t>input into the models. For air and duct</w:t>
      </w:r>
      <w:r w:rsidR="00BB4987">
        <w:t>-</w:t>
      </w:r>
      <w:r>
        <w:t xml:space="preserve">sealing measures, the Evaluation Team similarly relied on program tracking data for average </w:t>
      </w:r>
      <w:r w:rsidR="00BB4987">
        <w:br/>
        <w:t xml:space="preserve">leakage </w:t>
      </w:r>
      <w:r>
        <w:t xml:space="preserve">estimates. </w:t>
      </w:r>
    </w:p>
    <w:p w:rsidR="00A310D9" w:rsidRDefault="00B14B80" w:rsidP="00B14B80">
      <w:r>
        <w:t>An initial attempt to incorporate installed surface area</w:t>
      </w:r>
      <w:r w:rsidR="00A310D9">
        <w:t>s</w:t>
      </w:r>
      <w:r>
        <w:t xml:space="preserve"> of insulation measures produced outputs that could not be confirmed </w:t>
      </w:r>
      <w:r w:rsidR="00A310D9">
        <w:t xml:space="preserve">as </w:t>
      </w:r>
      <w:r>
        <w:t>total surface area</w:t>
      </w:r>
      <w:r w:rsidR="00A310D9">
        <w:t>s</w:t>
      </w:r>
      <w:r>
        <w:t xml:space="preserve"> of that building component. The Evaluation Team identified </w:t>
      </w:r>
      <w:r w:rsidR="00FB22CE">
        <w:t>anomalies</w:t>
      </w:r>
      <w:r>
        <w:t xml:space="preserve"> in the process, such as a project where the square footage of installed wall insulation exceeded realistic conditions</w:t>
      </w:r>
      <w:r w:rsidR="00A310D9">
        <w:t>,</w:t>
      </w:r>
      <w:r>
        <w:t xml:space="preserve"> given the conditioned floor area from the tracking data. </w:t>
      </w:r>
    </w:p>
    <w:p w:rsidR="00B14B80" w:rsidRPr="00625DB3" w:rsidRDefault="00CA21C5" w:rsidP="00B14B80">
      <w:r>
        <w:t xml:space="preserve">Due to </w:t>
      </w:r>
      <w:r w:rsidR="00B14B80">
        <w:t xml:space="preserve">this limitation, </w:t>
      </w:r>
      <w:r w:rsidR="00A310D9">
        <w:t xml:space="preserve">the Evaluation Team used </w:t>
      </w:r>
      <w:r w:rsidR="00B14B80">
        <w:t>models to determine percentages of savings for each measure</w:t>
      </w:r>
      <w:r w:rsidR="00A310D9">
        <w:t>,</w:t>
      </w:r>
      <w:r w:rsidR="00B14B80">
        <w:t xml:space="preserve"> relative to the weather-sensitive heating and cooling loads for each prototype. Savings percentages by measure from simulation models were applied to weather-normalized energy consumption available from </w:t>
      </w:r>
      <w:r w:rsidR="00A310D9">
        <w:t xml:space="preserve">the </w:t>
      </w:r>
      <w:r w:rsidR="00B14B80">
        <w:t xml:space="preserve">participant sample used in the billing analysis. The Evaluation </w:t>
      </w:r>
      <w:r w:rsidR="00A310D9">
        <w:t>T</w:t>
      </w:r>
      <w:r w:rsidR="00B14B80">
        <w:t xml:space="preserve">eam used this approach to calculate average measure savings for each building type, heating fuel, and program type. Savings percentages of weather-sensitive loads (and underlying equipment efficiencies) </w:t>
      </w:r>
      <w:r w:rsidR="00A310D9">
        <w:t xml:space="preserve">were </w:t>
      </w:r>
      <w:r w:rsidR="00B14B80">
        <w:t>assumed to be the same for oil and propane-heat homes as for gas-heated homes</w:t>
      </w:r>
      <w:r w:rsidR="00A310D9">
        <w:t xml:space="preserve">—a technique </w:t>
      </w:r>
      <w:r w:rsidR="00B14B80">
        <w:t xml:space="preserve">consistent with </w:t>
      </w:r>
      <w:r w:rsidR="00A310D9">
        <w:t xml:space="preserve">the </w:t>
      </w:r>
      <w:r w:rsidR="00B14B80">
        <w:t>PSD</w:t>
      </w:r>
      <w:r w:rsidR="00A310D9">
        <w:t>’s</w:t>
      </w:r>
      <w:r w:rsidR="00B14B80">
        <w:t xml:space="preserve"> methodology for estimating oil and propane savings.</w:t>
      </w:r>
    </w:p>
    <w:p w:rsidR="00ED5498" w:rsidRDefault="00ED5498" w:rsidP="00ED5498">
      <w:pPr>
        <w:pStyle w:val="Heading3"/>
      </w:pPr>
      <w:r>
        <w:t>Engineering Algorithms</w:t>
      </w:r>
    </w:p>
    <w:p w:rsidR="00ED5498" w:rsidRDefault="00ED5498" w:rsidP="007A1CBE">
      <w:r>
        <w:t xml:space="preserve">The Evaluation Team used engineering algorithms to supplement the billing analysis and simulation modeling for measures not typically subject to interactive effects. The engineering algorithms primarily </w:t>
      </w:r>
      <w:r w:rsidR="00E85683">
        <w:t xml:space="preserve">derived </w:t>
      </w:r>
      <w:r>
        <w:t xml:space="preserve">from the most recent PSD (2013). In some </w:t>
      </w:r>
      <w:r w:rsidR="00E85683">
        <w:t>cases</w:t>
      </w:r>
      <w:r>
        <w:t xml:space="preserve">, the utility tracking data </w:t>
      </w:r>
      <w:r w:rsidR="00E85683">
        <w:t>prov</w:t>
      </w:r>
      <w:r w:rsidR="00CA21C5">
        <w:t xml:space="preserve">ed </w:t>
      </w:r>
      <w:r w:rsidR="00E85683">
        <w:t xml:space="preserve">insufficient </w:t>
      </w:r>
      <w:r>
        <w:t xml:space="preserve">to evaluate measures </w:t>
      </w:r>
      <w:r w:rsidR="00F33007">
        <w:t xml:space="preserve">adequately </w:t>
      </w:r>
      <w:r>
        <w:t>using only the 2013 PSD</w:t>
      </w:r>
      <w:r w:rsidR="00F33007">
        <w:t>,</w:t>
      </w:r>
      <w:r>
        <w:t xml:space="preserve"> so </w:t>
      </w:r>
      <w:r w:rsidR="00E85683">
        <w:t xml:space="preserve">the Evaluation Team </w:t>
      </w:r>
      <w:r w:rsidR="00CA21C5">
        <w:t xml:space="preserve">incorporated </w:t>
      </w:r>
      <w:r>
        <w:t>supplemental sources</w:t>
      </w:r>
      <w:r w:rsidR="00E85683">
        <w:t>,</w:t>
      </w:r>
      <w:r>
        <w:t xml:space="preserve"> such as regional </w:t>
      </w:r>
      <w:r w:rsidR="003C4590">
        <w:t>technical resource manuals (</w:t>
      </w:r>
      <w:r>
        <w:t>TRMs</w:t>
      </w:r>
      <w:r w:rsidR="003C4590">
        <w:t>)</w:t>
      </w:r>
      <w:r>
        <w:t xml:space="preserve"> and current </w:t>
      </w:r>
      <w:r w:rsidR="00CA21C5">
        <w:br/>
      </w:r>
      <w:r>
        <w:t>evaluation research.</w:t>
      </w:r>
    </w:p>
    <w:p w:rsidR="00E85683" w:rsidRDefault="00E85683" w:rsidP="007A1CBE">
      <w:r>
        <w:t>S</w:t>
      </w:r>
      <w:r w:rsidR="00ED5498">
        <w:t xml:space="preserve">avings within the PSD </w:t>
      </w:r>
      <w:r>
        <w:t>were</w:t>
      </w:r>
      <w:r w:rsidR="00ED5498">
        <w:t xml:space="preserve"> broken into two main components</w:t>
      </w:r>
      <w:r>
        <w:t>:</w:t>
      </w:r>
      <w:r w:rsidR="00ED5498">
        <w:t xml:space="preserve"> lost opportunity savings and retirement savings. Lost opportunity savings </w:t>
      </w:r>
      <w:r>
        <w:t>were</w:t>
      </w:r>
      <w:r w:rsidR="00ED5498">
        <w:t xml:space="preserve"> awarded where an installed unit </w:t>
      </w:r>
      <w:r>
        <w:t xml:space="preserve">proved </w:t>
      </w:r>
      <w:r w:rsidR="00ED5498">
        <w:t>more efficient than a defined baseline or standard</w:t>
      </w:r>
      <w:r>
        <w:t>;</w:t>
      </w:r>
      <w:r w:rsidR="00ED5498">
        <w:t xml:space="preserve"> retirement savings </w:t>
      </w:r>
      <w:r>
        <w:t>were</w:t>
      </w:r>
      <w:r w:rsidR="00ED5498">
        <w:t xml:space="preserve"> awarded for installed units meet</w:t>
      </w:r>
      <w:r>
        <w:t>ing</w:t>
      </w:r>
      <w:r w:rsidR="00ED5498">
        <w:t xml:space="preserve"> a defined baseline or standard and result</w:t>
      </w:r>
      <w:r>
        <w:t>ing</w:t>
      </w:r>
      <w:r w:rsidR="00ED5498">
        <w:t xml:space="preserve"> in the replacement or retirement of a less efficient unit. </w:t>
      </w:r>
    </w:p>
    <w:p w:rsidR="00ED5498" w:rsidRDefault="00ED5498" w:rsidP="007A1CBE">
      <w:r>
        <w:t xml:space="preserve">When both savings </w:t>
      </w:r>
      <w:r w:rsidR="00E85683">
        <w:t xml:space="preserve">could be </w:t>
      </w:r>
      <w:r>
        <w:t xml:space="preserve">claimed for a given installation, savings </w:t>
      </w:r>
      <w:r w:rsidR="00E85683">
        <w:t xml:space="preserve">could be deemed </w:t>
      </w:r>
      <w:r w:rsidR="001D311B">
        <w:t>“</w:t>
      </w:r>
      <w:r>
        <w:t>retrofit</w:t>
      </w:r>
      <w:r w:rsidR="001D311B">
        <w:t>”</w:t>
      </w:r>
      <w:r>
        <w:t xml:space="preserve"> savings; this approximate</w:t>
      </w:r>
      <w:r w:rsidR="00E85683">
        <w:t>d</w:t>
      </w:r>
      <w:r>
        <w:t xml:space="preserve"> what is commonly </w:t>
      </w:r>
      <w:r w:rsidR="00E85683">
        <w:t xml:space="preserve">called </w:t>
      </w:r>
      <w:r>
        <w:t>an “early replacement” measure, accounting for existing baseline</w:t>
      </w:r>
      <w:r w:rsidR="00E85683">
        <w:t>s</w:t>
      </w:r>
      <w:r>
        <w:t xml:space="preserve"> or equipment</w:t>
      </w:r>
      <w:r w:rsidR="00E85683">
        <w:t xml:space="preserve">, in </w:t>
      </w:r>
      <w:r>
        <w:t>compar</w:t>
      </w:r>
      <w:r w:rsidR="00E85683">
        <w:t xml:space="preserve">ison </w:t>
      </w:r>
      <w:r>
        <w:t>to the new/installed measure</w:t>
      </w:r>
      <w:r w:rsidR="00E85683">
        <w:t xml:space="preserve"> (</w:t>
      </w:r>
      <w:r>
        <w:t>rather than using a baseline associated with the current standard</w:t>
      </w:r>
      <w:r w:rsidR="00E85683">
        <w:t>)</w:t>
      </w:r>
      <w:r>
        <w:t>.</w:t>
      </w:r>
    </w:p>
    <w:p w:rsidR="00E85683" w:rsidRDefault="00ED5498" w:rsidP="007A1CBE">
      <w:r>
        <w:lastRenderedPageBreak/>
        <w:t xml:space="preserve">The PSD also states: “When the retirement life is approximately zero, savings are reduced to lost opportunity savings only. Retirement savings are acknowledged to exist but are ignored because they are assumed to be short lived.” </w:t>
      </w:r>
      <w:r w:rsidR="00E85683">
        <w:t>T</w:t>
      </w:r>
      <w:r>
        <w:t xml:space="preserve">his statement </w:t>
      </w:r>
      <w:r w:rsidR="00E85683">
        <w:t xml:space="preserve">implies </w:t>
      </w:r>
      <w:r>
        <w:t xml:space="preserve">that retirement and retrofit savings </w:t>
      </w:r>
      <w:r w:rsidR="00E85683">
        <w:t xml:space="preserve">can only be procured for </w:t>
      </w:r>
      <w:r>
        <w:t>measures where the program significant</w:t>
      </w:r>
      <w:r w:rsidR="00E85683">
        <w:t>ly</w:t>
      </w:r>
      <w:r>
        <w:t xml:space="preserve"> </w:t>
      </w:r>
      <w:r w:rsidR="00E85683">
        <w:t xml:space="preserve">affects </w:t>
      </w:r>
      <w:r>
        <w:t xml:space="preserve">the behavior of customers in the service territory. </w:t>
      </w:r>
    </w:p>
    <w:p w:rsidR="00ED5498" w:rsidRDefault="00ED5498" w:rsidP="007A1CBE">
      <w:r>
        <w:t>This evaluation assume</w:t>
      </w:r>
      <w:r w:rsidR="00E85683">
        <w:t>d:</w:t>
      </w:r>
      <w:r>
        <w:t xml:space="preserve"> HES participants receive</w:t>
      </w:r>
      <w:r w:rsidR="00E85683">
        <w:t>d</w:t>
      </w:r>
      <w:r>
        <w:t xml:space="preserve"> only lost opportunity savings (commonly </w:t>
      </w:r>
      <w:r w:rsidR="00E85683">
        <w:t xml:space="preserve">called </w:t>
      </w:r>
      <w:r>
        <w:t>“replace on burnout”)</w:t>
      </w:r>
      <w:r w:rsidR="00E85683">
        <w:t>;</w:t>
      </w:r>
      <w:r>
        <w:t xml:space="preserve"> and HES-IE participants receive</w:t>
      </w:r>
      <w:r w:rsidR="00E85683">
        <w:t>d</w:t>
      </w:r>
      <w:r>
        <w:t xml:space="preserve"> retrofit savings (accounting for existing baseline conditions, and assuming</w:t>
      </w:r>
      <w:r w:rsidR="00E85683">
        <w:t>,</w:t>
      </w:r>
      <w:r>
        <w:t xml:space="preserve"> in the </w:t>
      </w:r>
      <w:r w:rsidR="00E85683">
        <w:t xml:space="preserve">program’s </w:t>
      </w:r>
      <w:r>
        <w:t xml:space="preserve">absence, HES-IE participants </w:t>
      </w:r>
      <w:r w:rsidR="00E85683">
        <w:t xml:space="preserve">would </w:t>
      </w:r>
      <w:r>
        <w:t xml:space="preserve">continue using equipment beyond </w:t>
      </w:r>
      <w:r w:rsidR="00E85683">
        <w:t xml:space="preserve">its </w:t>
      </w:r>
      <w:r>
        <w:t>expected useful life).</w:t>
      </w:r>
    </w:p>
    <w:p w:rsidR="00ED5498" w:rsidRDefault="00ED5498" w:rsidP="007A1CBE">
      <w:r>
        <w:t>The Evaluation Team calculated evaluated savings on a per-household basis</w:t>
      </w:r>
      <w:r w:rsidR="00E85683">
        <w:t>,</w:t>
      </w:r>
      <w:r>
        <w:t xml:space="preserve"> </w:t>
      </w:r>
      <w:r w:rsidR="00CA21C5">
        <w:t xml:space="preserve">primarily </w:t>
      </w:r>
      <w:r>
        <w:t>rel</w:t>
      </w:r>
      <w:r w:rsidR="00E85683">
        <w:t xml:space="preserve">ying </w:t>
      </w:r>
      <w:r>
        <w:t xml:space="preserve">on program tracking data for PSD algorithm inputs. Additional sources (including TRMs and recent evaluation studies) were used to supplement </w:t>
      </w:r>
      <w:r w:rsidR="00E85683">
        <w:t>the</w:t>
      </w:r>
      <w:r>
        <w:t xml:space="preserve"> analysis as needed, and</w:t>
      </w:r>
      <w:r w:rsidR="00E85683">
        <w:t>, in some cases,</w:t>
      </w:r>
      <w:r>
        <w:t xml:space="preserve"> </w:t>
      </w:r>
      <w:r w:rsidR="00E85683">
        <w:t xml:space="preserve">to provide </w:t>
      </w:r>
      <w:r>
        <w:t xml:space="preserve">a more detailed comparison of measure-specific algorithms and inputs. </w:t>
      </w:r>
      <w:r w:rsidR="005C2163">
        <w:rPr>
          <w:highlight w:val="yellow"/>
        </w:rPr>
        <w:fldChar w:fldCharType="begin"/>
      </w:r>
      <w:r w:rsidR="00DA3EB4">
        <w:instrText xml:space="preserve"> REF _Ref388169250 \h </w:instrText>
      </w:r>
      <w:r w:rsidR="005C2163">
        <w:rPr>
          <w:highlight w:val="yellow"/>
        </w:rPr>
      </w:r>
      <w:r w:rsidR="005C2163">
        <w:rPr>
          <w:highlight w:val="yellow"/>
        </w:rPr>
        <w:fldChar w:fldCharType="separate"/>
      </w:r>
      <w:r w:rsidR="00CD20CF">
        <w:t>Appendix B. Engineering Algorithms</w:t>
      </w:r>
      <w:r w:rsidR="005C2163">
        <w:rPr>
          <w:highlight w:val="yellow"/>
        </w:rPr>
        <w:fldChar w:fldCharType="end"/>
      </w:r>
      <w:r w:rsidR="00CF4F75">
        <w:t xml:space="preserve"> </w:t>
      </w:r>
      <w:r w:rsidR="00E85683" w:rsidRPr="007D1F2B">
        <w:t>and the Findings section provide f</w:t>
      </w:r>
      <w:r w:rsidRPr="007D1F2B">
        <w:t>urther discussion</w:t>
      </w:r>
      <w:r w:rsidR="00E85683" w:rsidRPr="007D1F2B">
        <w:t>s</w:t>
      </w:r>
      <w:r w:rsidRPr="007D1F2B">
        <w:t xml:space="preserve"> of algorithm-based calculation</w:t>
      </w:r>
      <w:r w:rsidR="00E85683" w:rsidRPr="007D1F2B">
        <w:t>s</w:t>
      </w:r>
      <w:r w:rsidRPr="007D1F2B">
        <w:t xml:space="preserve"> and assumptions.</w:t>
      </w:r>
    </w:p>
    <w:p w:rsidR="001F30C0" w:rsidRDefault="001F30C0" w:rsidP="007A1CBE">
      <w:r>
        <w:t>The Evaluation Team acknowledges that code changes have occurred since the 2011 PSD, and, in some cases, evaluated savings reflect current conditions rather than conditions at the time of measure installation. This has resulted in lower savings for measures affected by the updated code. These measures, however, accounted for a small proportion of overall savings for HES and HES-IE and did not materially affect overall results.</w:t>
      </w:r>
    </w:p>
    <w:p w:rsidR="00ED5498" w:rsidRDefault="00ED5498" w:rsidP="00ED5498">
      <w:pPr>
        <w:pStyle w:val="Heading3"/>
      </w:pPr>
      <w:r>
        <w:t>Estimating Oil/Propane Impacts</w:t>
      </w:r>
    </w:p>
    <w:p w:rsidR="00ED5498" w:rsidRPr="008B4A81" w:rsidRDefault="00ED5498" w:rsidP="00ED5498">
      <w:r>
        <w:t xml:space="preserve">To develop estimates of oil and propane savings, </w:t>
      </w:r>
      <w:r w:rsidR="00E85683">
        <w:t xml:space="preserve">the Evaluation Team used </w:t>
      </w:r>
      <w:r>
        <w:t>conversion factors to extrapolate evaluated impacts in relation to savings occurring in natural-gas homes. This approach assume</w:t>
      </w:r>
      <w:r w:rsidR="00E85683">
        <w:t>d</w:t>
      </w:r>
      <w:r>
        <w:t xml:space="preserve"> that homes using propane or oil heat </w:t>
      </w:r>
      <w:r w:rsidR="00E60350">
        <w:t xml:space="preserve">would </w:t>
      </w:r>
      <w:r>
        <w:t xml:space="preserve">have similar construction features and base loads as those heated with natural gas. </w:t>
      </w:r>
      <w:r w:rsidR="00CA21C5">
        <w:t xml:space="preserve">The </w:t>
      </w:r>
      <w:r w:rsidR="00E60350">
        <w:t>PSD</w:t>
      </w:r>
      <w:r w:rsidR="00CA21C5">
        <w:t xml:space="preserve"> </w:t>
      </w:r>
      <w:r w:rsidR="00E60350">
        <w:t xml:space="preserve">provided </w:t>
      </w:r>
      <w:r w:rsidR="00CA21C5">
        <w:t xml:space="preserve">the </w:t>
      </w:r>
      <w:r>
        <w:t xml:space="preserve">conversion factors and equations used for these conversions. Volume 1 of this report </w:t>
      </w:r>
      <w:r w:rsidR="00E60350">
        <w:t xml:space="preserve">presents further </w:t>
      </w:r>
      <w:r>
        <w:t>details regarding this approach.</w:t>
      </w:r>
    </w:p>
    <w:p w:rsidR="00ED5498" w:rsidRDefault="00ED5498" w:rsidP="00ED5498">
      <w:pPr>
        <w:pStyle w:val="Heading2"/>
      </w:pPr>
      <w:bookmarkStart w:id="45" w:name="_Toc388515963"/>
      <w:bookmarkStart w:id="46" w:name="_Toc389663842"/>
      <w:r>
        <w:t>Billing Analysis</w:t>
      </w:r>
      <w:bookmarkEnd w:id="45"/>
      <w:bookmarkEnd w:id="46"/>
    </w:p>
    <w:p w:rsidR="00ED5498" w:rsidRDefault="00ED5498" w:rsidP="007A1CBE">
      <w:r>
        <w:t xml:space="preserve">The Evaluation Team developed measure-level models using the same participant and comparison groups employed in </w:t>
      </w:r>
      <w:r w:rsidR="007D1F2B">
        <w:t>determining</w:t>
      </w:r>
      <w:r>
        <w:t xml:space="preserve"> the whole-house savings estimates. </w:t>
      </w:r>
      <w:r w:rsidR="00FB22CE">
        <w:t xml:space="preserve">Volume 1 provides a </w:t>
      </w:r>
      <w:r>
        <w:t>detailed discussion of model selection, analysis period</w:t>
      </w:r>
      <w:r w:rsidR="00FB22CE">
        <w:t>s</w:t>
      </w:r>
      <w:r>
        <w:t xml:space="preserve">, and participant/nonparticipant groups. </w:t>
      </w:r>
    </w:p>
    <w:p w:rsidR="00ED5498" w:rsidRDefault="00CA21C5" w:rsidP="007A1CBE">
      <w:r>
        <w:t>S</w:t>
      </w:r>
      <w:r w:rsidR="00ED5498">
        <w:t xml:space="preserve">eparate whole-house billing analyses calculated impacts on consumption for HES-IE SP1 and SP4, </w:t>
      </w:r>
      <w:r w:rsidR="00F33007">
        <w:t xml:space="preserve">as analyses for these programs had not been completed for </w:t>
      </w:r>
      <w:r>
        <w:t xml:space="preserve">the </w:t>
      </w:r>
      <w:r w:rsidR="00F33007">
        <w:t>Volume 1 delivery</w:t>
      </w:r>
      <w:r w:rsidR="00ED5498">
        <w:t xml:space="preserve">. The Evaluation Team followed the same modeling approach and method for screening billing data for the SP1 and SP4 analysis, </w:t>
      </w:r>
      <w:r w:rsidR="00FB22CE">
        <w:t xml:space="preserve">which Volume 1 </w:t>
      </w:r>
      <w:r w:rsidR="00ED5498">
        <w:t>discusse</w:t>
      </w:r>
      <w:r w:rsidR="00FB22CE">
        <w:t>s</w:t>
      </w:r>
      <w:r w:rsidR="00ED5498">
        <w:t xml:space="preserve"> in detail. </w:t>
      </w:r>
    </w:p>
    <w:p w:rsidR="00ED5498" w:rsidRDefault="00ED5498" w:rsidP="00FB22CE">
      <w:pPr>
        <w:pStyle w:val="Heading3"/>
      </w:pPr>
      <w:r>
        <w:lastRenderedPageBreak/>
        <w:t>Model Attrition</w:t>
      </w:r>
    </w:p>
    <w:p w:rsidR="00ED5498" w:rsidRDefault="00ED5498" w:rsidP="007A1CBE">
      <w:r>
        <w:t xml:space="preserve">As </w:t>
      </w:r>
      <w:r w:rsidR="00FB22CE">
        <w:t>noted</w:t>
      </w:r>
      <w:r>
        <w:t xml:space="preserve">, attrition associated with measure-level analysis </w:t>
      </w:r>
      <w:r w:rsidR="00FB22CE">
        <w:t xml:space="preserve">matches </w:t>
      </w:r>
      <w:r>
        <w:t xml:space="preserve">the discussion of participant and nonparticipant group model attrition </w:t>
      </w:r>
      <w:r w:rsidR="00FB22CE">
        <w:t xml:space="preserve">presented </w:t>
      </w:r>
      <w:r>
        <w:t>in Volume 1.</w:t>
      </w:r>
    </w:p>
    <w:p w:rsidR="00ED5498" w:rsidRDefault="005C2163" w:rsidP="007A1CBE">
      <w:r>
        <w:fldChar w:fldCharType="begin"/>
      </w:r>
      <w:r w:rsidR="00346074">
        <w:instrText xml:space="preserve"> REF _Ref389243539 \h </w:instrText>
      </w:r>
      <w:r>
        <w:fldChar w:fldCharType="separate"/>
      </w:r>
      <w:r w:rsidR="00CD20CF">
        <w:t xml:space="preserve">Appendix D. Billing Analysis Model Attrition for HES-IE SP1 and SP4 </w:t>
      </w:r>
      <w:r>
        <w:fldChar w:fldCharType="end"/>
      </w:r>
      <w:r w:rsidR="00FB22CE">
        <w:t xml:space="preserve">provides </w:t>
      </w:r>
      <w:r w:rsidR="00ED5498">
        <w:t>more detail on HES-IE SP1 and SP4 model attrition.</w:t>
      </w:r>
    </w:p>
    <w:p w:rsidR="009952E3" w:rsidRDefault="009952E3" w:rsidP="009952E3"/>
    <w:p w:rsidR="009952E3" w:rsidRDefault="009952E3" w:rsidP="009952E3">
      <w:pPr>
        <w:sectPr w:rsidR="009952E3" w:rsidSect="0043082A">
          <w:footerReference w:type="even" r:id="rId22"/>
          <w:footerReference w:type="default" r:id="rId23"/>
          <w:pgSz w:w="12240" w:h="15840"/>
          <w:pgMar w:top="1440" w:right="1440" w:bottom="1440" w:left="1440" w:header="720" w:footer="720" w:gutter="0"/>
          <w:cols w:space="720"/>
          <w:docGrid w:linePitch="360"/>
        </w:sectPr>
      </w:pPr>
    </w:p>
    <w:p w:rsidR="009952E3" w:rsidRPr="007773ED" w:rsidRDefault="009952E3" w:rsidP="009952E3">
      <w:pPr>
        <w:pStyle w:val="Heading1"/>
      </w:pPr>
      <w:bookmarkStart w:id="47" w:name="_Toc389663843"/>
      <w:r>
        <w:lastRenderedPageBreak/>
        <w:t>HES Findings</w:t>
      </w:r>
      <w:bookmarkEnd w:id="47"/>
    </w:p>
    <w:p w:rsidR="002C285E" w:rsidRDefault="002C285E" w:rsidP="002C285E">
      <w:pPr>
        <w:rPr>
          <w:lang w:eastAsia="ar-SA"/>
        </w:rPr>
      </w:pPr>
      <w:bookmarkStart w:id="48" w:name="_Toc388593069"/>
      <w:r>
        <w:rPr>
          <w:lang w:eastAsia="ar-SA"/>
        </w:rPr>
        <w:t xml:space="preserve">This section presents evaluated savings estimates for all HES measures, covering electric, natural gas, </w:t>
      </w:r>
      <w:r w:rsidR="008E5D4F">
        <w:rPr>
          <w:lang w:eastAsia="ar-SA"/>
        </w:rPr>
        <w:t>oil, and propane</w:t>
      </w:r>
      <w:r>
        <w:rPr>
          <w:lang w:eastAsia="ar-SA"/>
        </w:rPr>
        <w:t xml:space="preserve"> fuel types. The results are presented first at the program level, followed by measure-specific findings, grouped by measure type and primary heating fuel type. </w:t>
      </w:r>
    </w:p>
    <w:p w:rsidR="002C285E" w:rsidRDefault="002C285E" w:rsidP="002C285E">
      <w:pPr>
        <w:pStyle w:val="Heading2"/>
      </w:pPr>
      <w:bookmarkStart w:id="49" w:name="_Toc389663844"/>
      <w:r>
        <w:t>Program-Level Results</w:t>
      </w:r>
      <w:bookmarkEnd w:id="48"/>
      <w:bookmarkEnd w:id="49"/>
    </w:p>
    <w:p w:rsidR="002C285E" w:rsidRPr="00216AA8" w:rsidRDefault="005C2163" w:rsidP="002C285E">
      <w:r>
        <w:fldChar w:fldCharType="begin"/>
      </w:r>
      <w:r w:rsidR="002C285E">
        <w:instrText xml:space="preserve"> REF _Ref388602755 \h </w:instrText>
      </w:r>
      <w:r>
        <w:fldChar w:fldCharType="separate"/>
      </w:r>
      <w:r w:rsidR="00CD20CF">
        <w:t xml:space="preserve">Table </w:t>
      </w:r>
      <w:r w:rsidR="00CD20CF">
        <w:rPr>
          <w:noProof/>
        </w:rPr>
        <w:t>14</w:t>
      </w:r>
      <w:r>
        <w:fldChar w:fldCharType="end"/>
      </w:r>
      <w:r w:rsidR="002C285E">
        <w:t xml:space="preserve"> presents the evaluated adjusted gross electric and gas energy savings for the 2011 HES program.</w:t>
      </w:r>
      <w:r w:rsidR="008E5D4F" w:rsidRPr="008E5D4F">
        <w:t xml:space="preserve"> </w:t>
      </w:r>
    </w:p>
    <w:p w:rsidR="002C285E" w:rsidRPr="00216AA8" w:rsidRDefault="002C285E" w:rsidP="002C285E">
      <w:pPr>
        <w:pStyle w:val="Caption"/>
      </w:pPr>
      <w:bookmarkStart w:id="50" w:name="_Ref388602755"/>
      <w:r>
        <w:t xml:space="preserve">Table </w:t>
      </w:r>
      <w:r w:rsidR="002506E1">
        <w:fldChar w:fldCharType="begin"/>
      </w:r>
      <w:r w:rsidR="002506E1">
        <w:instrText xml:space="preserve"> SEQ Table \* ARABIC </w:instrText>
      </w:r>
      <w:r w:rsidR="002506E1">
        <w:fldChar w:fldCharType="separate"/>
      </w:r>
      <w:r w:rsidR="00CD20CF">
        <w:rPr>
          <w:noProof/>
        </w:rPr>
        <w:t>14</w:t>
      </w:r>
      <w:r w:rsidR="002506E1">
        <w:rPr>
          <w:noProof/>
        </w:rPr>
        <w:fldChar w:fldCharType="end"/>
      </w:r>
      <w:bookmarkEnd w:id="50"/>
      <w:r>
        <w:t xml:space="preserve">. Total 2011 Evaluated HES Electric and Gas Savings </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937"/>
        <w:gridCol w:w="1426"/>
        <w:gridCol w:w="1221"/>
        <w:gridCol w:w="1859"/>
      </w:tblGrid>
      <w:tr w:rsidR="002C285E" w:rsidRPr="00216AA8" w:rsidTr="002C285E">
        <w:trPr>
          <w:jc w:val="center"/>
        </w:trPr>
        <w:tc>
          <w:tcPr>
            <w:tcW w:w="0" w:type="auto"/>
            <w:shd w:val="clear" w:color="000000" w:fill="005DAA"/>
            <w:vAlign w:val="center"/>
            <w:hideMark/>
          </w:tcPr>
          <w:p w:rsidR="002C285E" w:rsidRPr="00216AA8" w:rsidRDefault="002C285E" w:rsidP="002C285E">
            <w:pPr>
              <w:spacing w:after="0" w:line="240" w:lineRule="auto"/>
              <w:jc w:val="center"/>
              <w:rPr>
                <w:rFonts w:ascii="Calibri" w:eastAsia="Times New Roman" w:hAnsi="Calibri" w:cs="Times New Roman"/>
                <w:b/>
                <w:bCs/>
                <w:color w:val="FFFFFF"/>
              </w:rPr>
            </w:pPr>
            <w:r w:rsidRPr="00216AA8">
              <w:rPr>
                <w:rFonts w:ascii="Calibri" w:eastAsia="Times New Roman" w:hAnsi="Calibri" w:cs="Times New Roman"/>
                <w:b/>
                <w:bCs/>
                <w:color w:val="FFFFFF"/>
              </w:rPr>
              <w:t>Value</w:t>
            </w:r>
          </w:p>
        </w:tc>
        <w:tc>
          <w:tcPr>
            <w:tcW w:w="0" w:type="auto"/>
            <w:shd w:val="clear" w:color="000000" w:fill="005DAA"/>
            <w:vAlign w:val="center"/>
            <w:hideMark/>
          </w:tcPr>
          <w:p w:rsidR="002C285E" w:rsidRPr="00216AA8" w:rsidRDefault="002C285E" w:rsidP="002C285E">
            <w:pPr>
              <w:spacing w:after="0" w:line="240" w:lineRule="auto"/>
              <w:jc w:val="center"/>
              <w:rPr>
                <w:rFonts w:ascii="Calibri" w:eastAsia="Times New Roman" w:hAnsi="Calibri" w:cs="Times New Roman"/>
                <w:b/>
                <w:bCs/>
                <w:color w:val="FFFFFF"/>
              </w:rPr>
            </w:pPr>
            <w:r w:rsidRPr="00216AA8">
              <w:rPr>
                <w:rFonts w:ascii="Calibri" w:eastAsia="Times New Roman" w:hAnsi="Calibri" w:cs="Times New Roman"/>
                <w:b/>
                <w:bCs/>
                <w:color w:val="FFFFFF"/>
              </w:rPr>
              <w:t>Annual MWh</w:t>
            </w:r>
          </w:p>
        </w:tc>
        <w:tc>
          <w:tcPr>
            <w:tcW w:w="0" w:type="auto"/>
            <w:shd w:val="clear" w:color="000000" w:fill="005DAA"/>
            <w:vAlign w:val="center"/>
            <w:hideMark/>
          </w:tcPr>
          <w:p w:rsidR="002C285E" w:rsidRPr="00216AA8" w:rsidRDefault="002C285E" w:rsidP="002C285E">
            <w:pPr>
              <w:spacing w:after="0" w:line="240" w:lineRule="auto"/>
              <w:jc w:val="center"/>
              <w:rPr>
                <w:rFonts w:ascii="Calibri" w:eastAsia="Times New Roman" w:hAnsi="Calibri" w:cs="Times New Roman"/>
                <w:b/>
                <w:bCs/>
                <w:color w:val="FFFFFF"/>
              </w:rPr>
            </w:pPr>
            <w:r>
              <w:rPr>
                <w:rFonts w:ascii="Calibri" w:eastAsia="Times New Roman" w:hAnsi="Calibri" w:cs="Times New Roman"/>
                <w:b/>
                <w:bCs/>
                <w:color w:val="FFFFFF"/>
              </w:rPr>
              <w:t>Annual kW</w:t>
            </w:r>
          </w:p>
        </w:tc>
        <w:tc>
          <w:tcPr>
            <w:tcW w:w="0" w:type="auto"/>
            <w:shd w:val="clear" w:color="000000" w:fill="005DAA"/>
            <w:vAlign w:val="center"/>
            <w:hideMark/>
          </w:tcPr>
          <w:p w:rsidR="002C285E" w:rsidRPr="00216AA8" w:rsidRDefault="002C285E" w:rsidP="002C285E">
            <w:pPr>
              <w:spacing w:after="0" w:line="240" w:lineRule="auto"/>
              <w:jc w:val="center"/>
              <w:rPr>
                <w:rFonts w:ascii="Calibri" w:eastAsia="Times New Roman" w:hAnsi="Calibri" w:cs="Times New Roman"/>
                <w:b/>
                <w:bCs/>
                <w:color w:val="FFFFFF"/>
              </w:rPr>
            </w:pPr>
            <w:r w:rsidRPr="00216AA8">
              <w:rPr>
                <w:rFonts w:ascii="Calibri" w:eastAsia="Times New Roman" w:hAnsi="Calibri" w:cs="Times New Roman"/>
                <w:b/>
                <w:bCs/>
                <w:color w:val="FFFFFF"/>
              </w:rPr>
              <w:t>Annual CCF (000s)</w:t>
            </w:r>
          </w:p>
        </w:tc>
      </w:tr>
      <w:tr w:rsidR="002C285E" w:rsidRPr="00216AA8" w:rsidTr="00C2122C">
        <w:trPr>
          <w:jc w:val="center"/>
        </w:trPr>
        <w:tc>
          <w:tcPr>
            <w:tcW w:w="0" w:type="auto"/>
            <w:shd w:val="clear" w:color="auto" w:fill="auto"/>
            <w:vAlign w:val="center"/>
            <w:hideMark/>
          </w:tcPr>
          <w:p w:rsidR="002C285E" w:rsidRPr="00216AA8" w:rsidRDefault="002C285E" w:rsidP="002C285E">
            <w:pPr>
              <w:spacing w:after="0" w:line="240" w:lineRule="auto"/>
              <w:rPr>
                <w:rFonts w:ascii="Calibri" w:eastAsia="Times New Roman" w:hAnsi="Calibri" w:cs="Times New Roman"/>
                <w:color w:val="000000"/>
                <w:sz w:val="20"/>
                <w:szCs w:val="20"/>
              </w:rPr>
            </w:pPr>
            <w:r w:rsidRPr="00216AA8">
              <w:rPr>
                <w:rFonts w:ascii="Calibri" w:eastAsia="Times New Roman" w:hAnsi="Calibri" w:cs="Times New Roman"/>
                <w:color w:val="000000"/>
                <w:sz w:val="20"/>
                <w:szCs w:val="20"/>
              </w:rPr>
              <w:t>Reported Savings</w:t>
            </w:r>
          </w:p>
        </w:tc>
        <w:tc>
          <w:tcPr>
            <w:tcW w:w="0" w:type="auto"/>
            <w:shd w:val="clear" w:color="auto" w:fill="auto"/>
            <w:vAlign w:val="center"/>
            <w:hideMark/>
          </w:tcPr>
          <w:p w:rsidR="002C285E" w:rsidRPr="00216AA8" w:rsidRDefault="002C285E" w:rsidP="00F56B66">
            <w:pPr>
              <w:spacing w:after="0" w:line="240" w:lineRule="auto"/>
              <w:jc w:val="center"/>
              <w:rPr>
                <w:rFonts w:ascii="Calibri" w:eastAsia="Times New Roman" w:hAnsi="Calibri" w:cs="Times New Roman"/>
                <w:color w:val="000000"/>
                <w:sz w:val="20"/>
                <w:szCs w:val="20"/>
              </w:rPr>
            </w:pPr>
            <w:r w:rsidRPr="00216AA8">
              <w:rPr>
                <w:rFonts w:ascii="Calibri" w:eastAsia="Times New Roman" w:hAnsi="Calibri" w:cs="Times New Roman"/>
                <w:color w:val="000000"/>
                <w:sz w:val="20"/>
                <w:szCs w:val="20"/>
              </w:rPr>
              <w:t>19,991</w:t>
            </w:r>
          </w:p>
        </w:tc>
        <w:tc>
          <w:tcPr>
            <w:tcW w:w="0" w:type="auto"/>
            <w:shd w:val="clear" w:color="auto" w:fill="auto"/>
            <w:vAlign w:val="center"/>
            <w:hideMark/>
          </w:tcPr>
          <w:p w:rsidR="002C285E" w:rsidRPr="00216AA8" w:rsidRDefault="002C285E" w:rsidP="00F56B66">
            <w:pPr>
              <w:spacing w:after="0" w:line="240" w:lineRule="auto"/>
              <w:jc w:val="center"/>
              <w:rPr>
                <w:rFonts w:ascii="Calibri" w:eastAsia="Times New Roman" w:hAnsi="Calibri" w:cs="Times New Roman"/>
                <w:color w:val="000000"/>
                <w:sz w:val="20"/>
                <w:szCs w:val="20"/>
              </w:rPr>
            </w:pPr>
            <w:r w:rsidRPr="00216AA8">
              <w:rPr>
                <w:rFonts w:ascii="Calibri" w:eastAsia="Times New Roman" w:hAnsi="Calibri" w:cs="Times New Roman"/>
                <w:color w:val="000000"/>
                <w:sz w:val="20"/>
                <w:szCs w:val="20"/>
              </w:rPr>
              <w:t>3,413</w:t>
            </w:r>
          </w:p>
        </w:tc>
        <w:tc>
          <w:tcPr>
            <w:tcW w:w="0" w:type="auto"/>
            <w:shd w:val="clear" w:color="auto" w:fill="auto"/>
            <w:vAlign w:val="center"/>
            <w:hideMark/>
          </w:tcPr>
          <w:p w:rsidR="002C285E" w:rsidRPr="00216AA8" w:rsidRDefault="002C285E" w:rsidP="00F56B66">
            <w:pPr>
              <w:spacing w:after="0" w:line="240" w:lineRule="auto"/>
              <w:jc w:val="center"/>
              <w:rPr>
                <w:rFonts w:ascii="Calibri" w:eastAsia="Times New Roman" w:hAnsi="Calibri" w:cs="Times New Roman"/>
                <w:color w:val="000000"/>
                <w:sz w:val="20"/>
                <w:szCs w:val="20"/>
              </w:rPr>
            </w:pPr>
            <w:r w:rsidRPr="00216AA8">
              <w:rPr>
                <w:rFonts w:ascii="Calibri" w:eastAsia="Times New Roman" w:hAnsi="Calibri" w:cs="Times New Roman"/>
                <w:color w:val="000000"/>
                <w:sz w:val="20"/>
                <w:szCs w:val="20"/>
              </w:rPr>
              <w:t>596</w:t>
            </w:r>
          </w:p>
        </w:tc>
      </w:tr>
      <w:tr w:rsidR="002C285E" w:rsidRPr="00216AA8" w:rsidTr="00C2122C">
        <w:trPr>
          <w:jc w:val="center"/>
        </w:trPr>
        <w:tc>
          <w:tcPr>
            <w:tcW w:w="0" w:type="auto"/>
            <w:shd w:val="clear" w:color="auto" w:fill="auto"/>
            <w:vAlign w:val="center"/>
            <w:hideMark/>
          </w:tcPr>
          <w:p w:rsidR="002C285E" w:rsidRPr="00216AA8" w:rsidRDefault="002C285E" w:rsidP="002C285E">
            <w:pPr>
              <w:spacing w:after="0" w:line="240" w:lineRule="auto"/>
              <w:rPr>
                <w:rFonts w:ascii="Calibri" w:eastAsia="Times New Roman" w:hAnsi="Calibri" w:cs="Times New Roman"/>
                <w:color w:val="000000"/>
                <w:sz w:val="20"/>
                <w:szCs w:val="20"/>
              </w:rPr>
            </w:pPr>
            <w:r w:rsidRPr="00216AA8">
              <w:rPr>
                <w:rFonts w:ascii="Calibri" w:eastAsia="Times New Roman" w:hAnsi="Calibri" w:cs="Times New Roman"/>
                <w:color w:val="000000"/>
                <w:sz w:val="20"/>
                <w:szCs w:val="20"/>
              </w:rPr>
              <w:t xml:space="preserve">Evaluated Adjusted </w:t>
            </w:r>
            <w:r w:rsidR="008E5D4F">
              <w:rPr>
                <w:rFonts w:ascii="Calibri" w:eastAsia="Times New Roman" w:hAnsi="Calibri" w:cs="Times New Roman"/>
                <w:color w:val="000000"/>
                <w:sz w:val="20"/>
                <w:szCs w:val="20"/>
              </w:rPr>
              <w:t xml:space="preserve">Gross </w:t>
            </w:r>
            <w:r w:rsidRPr="00216AA8">
              <w:rPr>
                <w:rFonts w:ascii="Calibri" w:eastAsia="Times New Roman" w:hAnsi="Calibri" w:cs="Times New Roman"/>
                <w:color w:val="000000"/>
                <w:sz w:val="20"/>
                <w:szCs w:val="20"/>
              </w:rPr>
              <w:t>Savings</w:t>
            </w:r>
          </w:p>
        </w:tc>
        <w:tc>
          <w:tcPr>
            <w:tcW w:w="0" w:type="auto"/>
            <w:shd w:val="clear" w:color="auto" w:fill="auto"/>
            <w:vAlign w:val="center"/>
            <w:hideMark/>
          </w:tcPr>
          <w:p w:rsidR="002C285E" w:rsidRPr="00216AA8" w:rsidRDefault="0000663B" w:rsidP="00F56B6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22,</w:t>
            </w:r>
            <w:r w:rsidR="00E350B3">
              <w:rPr>
                <w:rFonts w:ascii="Calibri" w:eastAsia="Times New Roman" w:hAnsi="Calibri" w:cs="Times New Roman"/>
                <w:color w:val="000000"/>
                <w:sz w:val="20"/>
                <w:szCs w:val="20"/>
              </w:rPr>
              <w:t>158</w:t>
            </w:r>
          </w:p>
        </w:tc>
        <w:tc>
          <w:tcPr>
            <w:tcW w:w="0" w:type="auto"/>
            <w:shd w:val="clear" w:color="auto" w:fill="auto"/>
            <w:vAlign w:val="center"/>
            <w:hideMark/>
          </w:tcPr>
          <w:p w:rsidR="002C285E" w:rsidRPr="00216AA8" w:rsidRDefault="0000663B" w:rsidP="00F56B6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w:t>
            </w:r>
            <w:r w:rsidR="00E350B3">
              <w:rPr>
                <w:rFonts w:ascii="Calibri" w:eastAsia="Times New Roman" w:hAnsi="Calibri" w:cs="Times New Roman"/>
                <w:color w:val="000000"/>
                <w:sz w:val="20"/>
                <w:szCs w:val="20"/>
              </w:rPr>
              <w:t>783</w:t>
            </w:r>
          </w:p>
        </w:tc>
        <w:tc>
          <w:tcPr>
            <w:tcW w:w="0" w:type="auto"/>
            <w:shd w:val="clear" w:color="auto" w:fill="auto"/>
            <w:vAlign w:val="center"/>
            <w:hideMark/>
          </w:tcPr>
          <w:p w:rsidR="002C285E" w:rsidRPr="00216AA8" w:rsidRDefault="00E350B3" w:rsidP="00F56B6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382</w:t>
            </w:r>
          </w:p>
        </w:tc>
      </w:tr>
      <w:tr w:rsidR="0000663B" w:rsidRPr="00216AA8" w:rsidTr="00C2122C">
        <w:trPr>
          <w:jc w:val="center"/>
        </w:trPr>
        <w:tc>
          <w:tcPr>
            <w:tcW w:w="0" w:type="auto"/>
            <w:shd w:val="clear" w:color="auto" w:fill="auto"/>
            <w:vAlign w:val="center"/>
            <w:hideMark/>
          </w:tcPr>
          <w:p w:rsidR="0000663B" w:rsidRPr="00216AA8" w:rsidRDefault="0000663B" w:rsidP="002C285E">
            <w:pPr>
              <w:spacing w:after="0" w:line="240" w:lineRule="auto"/>
              <w:rPr>
                <w:rFonts w:ascii="Calibri" w:eastAsia="Times New Roman" w:hAnsi="Calibri" w:cs="Times New Roman"/>
                <w:color w:val="000000"/>
                <w:sz w:val="20"/>
                <w:szCs w:val="20"/>
              </w:rPr>
            </w:pPr>
            <w:r w:rsidRPr="00216AA8">
              <w:rPr>
                <w:rFonts w:ascii="Calibri" w:eastAsia="Times New Roman" w:hAnsi="Calibri" w:cs="Times New Roman"/>
                <w:color w:val="000000"/>
                <w:sz w:val="20"/>
                <w:szCs w:val="20"/>
              </w:rPr>
              <w:t>Realization Rate</w:t>
            </w:r>
          </w:p>
        </w:tc>
        <w:tc>
          <w:tcPr>
            <w:tcW w:w="0" w:type="auto"/>
            <w:gridSpan w:val="2"/>
            <w:shd w:val="clear" w:color="auto" w:fill="auto"/>
            <w:vAlign w:val="center"/>
          </w:tcPr>
          <w:p w:rsidR="0000663B" w:rsidRPr="00216AA8" w:rsidRDefault="0000663B" w:rsidP="00F56B6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11</w:t>
            </w:r>
            <w:r w:rsidR="00E350B3">
              <w:rPr>
                <w:rFonts w:ascii="Calibri" w:eastAsia="Times New Roman" w:hAnsi="Calibri" w:cs="Times New Roman"/>
                <w:color w:val="000000"/>
                <w:sz w:val="20"/>
                <w:szCs w:val="20"/>
              </w:rPr>
              <w:t>1</w:t>
            </w:r>
            <w:r>
              <w:rPr>
                <w:rFonts w:ascii="Calibri" w:eastAsia="Times New Roman" w:hAnsi="Calibri" w:cs="Times New Roman"/>
                <w:color w:val="000000"/>
                <w:sz w:val="20"/>
                <w:szCs w:val="20"/>
              </w:rPr>
              <w:t>%</w:t>
            </w:r>
          </w:p>
        </w:tc>
        <w:tc>
          <w:tcPr>
            <w:tcW w:w="0" w:type="auto"/>
            <w:shd w:val="clear" w:color="auto" w:fill="auto"/>
            <w:vAlign w:val="center"/>
            <w:hideMark/>
          </w:tcPr>
          <w:p w:rsidR="0000663B" w:rsidRPr="00216AA8" w:rsidRDefault="0000663B" w:rsidP="00F56B6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6</w:t>
            </w:r>
            <w:r w:rsidR="00E350B3">
              <w:rPr>
                <w:rFonts w:ascii="Calibri" w:eastAsia="Times New Roman" w:hAnsi="Calibri" w:cs="Times New Roman"/>
                <w:color w:val="000000"/>
                <w:sz w:val="20"/>
                <w:szCs w:val="20"/>
              </w:rPr>
              <w:t>4</w:t>
            </w:r>
            <w:r w:rsidRPr="00216AA8">
              <w:rPr>
                <w:rFonts w:ascii="Calibri" w:eastAsia="Times New Roman" w:hAnsi="Calibri" w:cs="Times New Roman"/>
                <w:color w:val="000000"/>
                <w:sz w:val="20"/>
                <w:szCs w:val="20"/>
              </w:rPr>
              <w:t>%</w:t>
            </w:r>
          </w:p>
        </w:tc>
      </w:tr>
    </w:tbl>
    <w:p w:rsidR="002C285E" w:rsidRDefault="002C285E" w:rsidP="002C285E">
      <w:pPr>
        <w:pStyle w:val="NormalAfterTablesandFigures"/>
      </w:pPr>
    </w:p>
    <w:p w:rsidR="002C285E" w:rsidRDefault="002C285E" w:rsidP="002C285E">
      <w:r>
        <w:t xml:space="preserve">For the HES program electric savings overall, evaluated adjusted gross savings were slightly higher than reported savings, with an adjusted gross realization rate </w:t>
      </w:r>
      <w:r w:rsidRPr="007A156B">
        <w:t xml:space="preserve">of </w:t>
      </w:r>
      <w:r w:rsidR="0000663B">
        <w:t>11</w:t>
      </w:r>
      <w:r w:rsidR="00E350B3">
        <w:t>1</w:t>
      </w:r>
      <w:r w:rsidRPr="007A156B">
        <w:t>%</w:t>
      </w:r>
      <w:r>
        <w:t>.</w:t>
      </w:r>
      <w:r w:rsidRPr="00E7041D">
        <w:t xml:space="preserve"> </w:t>
      </w:r>
      <w:r>
        <w:t xml:space="preserve">For the HES program gas savings overall, evaluated adjusted gross savings were lower than reported savings, with an adjusted gross realization rate of </w:t>
      </w:r>
      <w:r w:rsidR="0000663B">
        <w:t>6</w:t>
      </w:r>
      <w:r w:rsidR="00E350B3">
        <w:t>4</w:t>
      </w:r>
      <w:r>
        <w:t xml:space="preserve">%. Evaluated savings have been </w:t>
      </w:r>
      <w:r w:rsidR="00203D4F">
        <w:t>estimated for each measure (based on either a billing analysis, building simulation mo</w:t>
      </w:r>
      <w:r w:rsidR="003E2EA6">
        <w:t>deling or engineering analysis</w:t>
      </w:r>
      <w:r w:rsidR="00203D4F">
        <w:t xml:space="preserve">. Program level savings are then calculated by rolling up the measure level </w:t>
      </w:r>
      <w:r w:rsidR="008E5D4F">
        <w:t xml:space="preserve">savings, </w:t>
      </w:r>
      <w:r>
        <w:t>as described in more detail below.</w:t>
      </w:r>
    </w:p>
    <w:p w:rsidR="002C285E" w:rsidRDefault="002506E1" w:rsidP="002C285E">
      <w:pPr>
        <w:pStyle w:val="NormalBeforeList"/>
      </w:pPr>
      <w:r>
        <w:fldChar w:fldCharType="begin"/>
      </w:r>
      <w:r>
        <w:instrText xml:space="preserve"> REF _Ref388618563 \h  \* MERGEFORMAT </w:instrText>
      </w:r>
      <w:r>
        <w:fldChar w:fldCharType="separate"/>
      </w:r>
      <w:r w:rsidR="00CD20CF">
        <w:t>Figure 1</w:t>
      </w:r>
      <w:r>
        <w:fldChar w:fldCharType="end"/>
      </w:r>
      <w:r w:rsidR="002C285E">
        <w:t xml:space="preserve"> and </w:t>
      </w:r>
      <w:r>
        <w:fldChar w:fldCharType="begin"/>
      </w:r>
      <w:r>
        <w:instrText xml:space="preserve"> REF _Ref388618574 \h  \* MERGEFORMAT </w:instrText>
      </w:r>
      <w:r>
        <w:fldChar w:fldCharType="separate"/>
      </w:r>
      <w:r w:rsidR="00CD20CF">
        <w:t>Figure 2</w:t>
      </w:r>
      <w:r>
        <w:fldChar w:fldCharType="end"/>
      </w:r>
      <w:r w:rsidR="002C285E">
        <w:t xml:space="preserve"> show the distribution of evaluated energy savings by measure, for electric and gas, respectively. For this program, </w:t>
      </w:r>
      <w:r w:rsidR="003E2EA6">
        <w:t>the majority</w:t>
      </w:r>
      <w:r w:rsidR="002C285E">
        <w:t xml:space="preserve"> of savings occurred through </w:t>
      </w:r>
      <w:r w:rsidR="00CF4F75">
        <w:t xml:space="preserve">the following </w:t>
      </w:r>
      <w:r w:rsidR="002C285E">
        <w:t xml:space="preserve">measures: </w:t>
      </w:r>
    </w:p>
    <w:p w:rsidR="002C285E" w:rsidRDefault="002C285E" w:rsidP="002C285E">
      <w:pPr>
        <w:pStyle w:val="Bulletlevel1"/>
      </w:pPr>
      <w:r>
        <w:t>For electric savings: lighting</w:t>
      </w:r>
      <w:r w:rsidR="003E2EA6">
        <w:t xml:space="preserve"> and </w:t>
      </w:r>
      <w:r>
        <w:t>air sealing</w:t>
      </w:r>
      <w:r w:rsidR="00203D4F">
        <w:t xml:space="preserve"> account for 76% of reported savings and 86% of evaluated savings</w:t>
      </w:r>
      <w:r w:rsidR="003E2EA6">
        <w:t>.</w:t>
      </w:r>
      <w:r>
        <w:t xml:space="preserve"> </w:t>
      </w:r>
    </w:p>
    <w:p w:rsidR="002C285E" w:rsidRDefault="002C285E" w:rsidP="002C285E">
      <w:pPr>
        <w:pStyle w:val="Bulletlevel1-last"/>
      </w:pPr>
      <w:r>
        <w:t xml:space="preserve">For gas savings: air sealing, DHW bundle, </w:t>
      </w:r>
      <w:r w:rsidR="00203D4F">
        <w:t xml:space="preserve">and </w:t>
      </w:r>
      <w:r>
        <w:t>insulation</w:t>
      </w:r>
      <w:r w:rsidR="00203D4F">
        <w:t xml:space="preserve"> account for 86% of reported savings and 9</w:t>
      </w:r>
      <w:r w:rsidR="00F56B66">
        <w:t>3</w:t>
      </w:r>
      <w:r w:rsidR="00203D4F">
        <w:t>% of evaluated savings</w:t>
      </w:r>
      <w:r>
        <w:t>.</w:t>
      </w:r>
    </w:p>
    <w:p w:rsidR="0000663B" w:rsidRDefault="002C285E" w:rsidP="002C285E">
      <w:pPr>
        <w:pStyle w:val="Caption"/>
      </w:pPr>
      <w:bookmarkStart w:id="51" w:name="_Ref388618563"/>
      <w:r>
        <w:lastRenderedPageBreak/>
        <w:t xml:space="preserve">Figure </w:t>
      </w:r>
      <w:r w:rsidR="002506E1">
        <w:fldChar w:fldCharType="begin"/>
      </w:r>
      <w:r w:rsidR="002506E1">
        <w:instrText xml:space="preserve"> SEQ Figure \* ARAB</w:instrText>
      </w:r>
      <w:r w:rsidR="002506E1">
        <w:instrText xml:space="preserve">IC </w:instrText>
      </w:r>
      <w:r w:rsidR="002506E1">
        <w:fldChar w:fldCharType="separate"/>
      </w:r>
      <w:r w:rsidR="00CD20CF">
        <w:rPr>
          <w:noProof/>
        </w:rPr>
        <w:t>1</w:t>
      </w:r>
      <w:r w:rsidR="002506E1">
        <w:rPr>
          <w:noProof/>
        </w:rPr>
        <w:fldChar w:fldCharType="end"/>
      </w:r>
      <w:bookmarkEnd w:id="51"/>
      <w:r>
        <w:t xml:space="preserve">. Measure Distribution of 2011 HES Electric Savings, </w:t>
      </w:r>
      <w:r w:rsidRPr="009456A8">
        <w:rPr>
          <w:i/>
        </w:rPr>
        <w:t>Ex Ante</w:t>
      </w:r>
      <w:r>
        <w:t xml:space="preserve"> and Evaluated </w:t>
      </w:r>
    </w:p>
    <w:p w:rsidR="00D86620" w:rsidRDefault="00195020" w:rsidP="004A7E9B">
      <w:pPr>
        <w:spacing w:after="0"/>
        <w:jc w:val="center"/>
      </w:pPr>
      <w:r>
        <w:rPr>
          <w:noProof/>
        </w:rPr>
        <w:drawing>
          <wp:inline distT="0" distB="0" distL="0" distR="0">
            <wp:extent cx="4578350" cy="27679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8350" cy="2767965"/>
                    </a:xfrm>
                    <a:prstGeom prst="rect">
                      <a:avLst/>
                    </a:prstGeom>
                    <a:noFill/>
                  </pic:spPr>
                </pic:pic>
              </a:graphicData>
            </a:graphic>
          </wp:inline>
        </w:drawing>
      </w:r>
    </w:p>
    <w:p w:rsidR="004A7E9B" w:rsidRDefault="004A7E9B" w:rsidP="004A7E9B">
      <w:pPr>
        <w:pStyle w:val="NormalAfterTablesandFigures"/>
      </w:pPr>
    </w:p>
    <w:p w:rsidR="00D86620" w:rsidRDefault="002C285E" w:rsidP="002C285E">
      <w:pPr>
        <w:pStyle w:val="Caption"/>
      </w:pPr>
      <w:bookmarkStart w:id="52" w:name="_Ref388618574"/>
      <w:r>
        <w:t xml:space="preserve">Figure </w:t>
      </w:r>
      <w:r w:rsidR="002506E1">
        <w:fldChar w:fldCharType="begin"/>
      </w:r>
      <w:r w:rsidR="002506E1">
        <w:instrText xml:space="preserve"> SEQ Figure \* ARABIC </w:instrText>
      </w:r>
      <w:r w:rsidR="002506E1">
        <w:fldChar w:fldCharType="separate"/>
      </w:r>
      <w:r w:rsidR="00CD20CF">
        <w:rPr>
          <w:noProof/>
        </w:rPr>
        <w:t>2</w:t>
      </w:r>
      <w:r w:rsidR="002506E1">
        <w:rPr>
          <w:noProof/>
        </w:rPr>
        <w:fldChar w:fldCharType="end"/>
      </w:r>
      <w:bookmarkEnd w:id="52"/>
      <w:r>
        <w:t xml:space="preserve">. Measure Distribution of 2011 HES Gas Savings, </w:t>
      </w:r>
      <w:r w:rsidRPr="009456A8">
        <w:rPr>
          <w:i/>
        </w:rPr>
        <w:t>Ex Ante</w:t>
      </w:r>
      <w:r>
        <w:t xml:space="preserve"> and Evaluated</w:t>
      </w:r>
    </w:p>
    <w:p w:rsidR="0000663B" w:rsidRDefault="00F56B66" w:rsidP="00B920E7">
      <w:pPr>
        <w:spacing w:after="0"/>
        <w:jc w:val="center"/>
      </w:pPr>
      <w:r>
        <w:rPr>
          <w:noProof/>
        </w:rPr>
        <w:drawing>
          <wp:inline distT="0" distB="0" distL="0" distR="0">
            <wp:extent cx="4590415" cy="2755900"/>
            <wp:effectExtent l="0" t="0" r="63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90415" cy="2755900"/>
                    </a:xfrm>
                    <a:prstGeom prst="rect">
                      <a:avLst/>
                    </a:prstGeom>
                    <a:noFill/>
                  </pic:spPr>
                </pic:pic>
              </a:graphicData>
            </a:graphic>
          </wp:inline>
        </w:drawing>
      </w:r>
    </w:p>
    <w:p w:rsidR="002C285E" w:rsidRDefault="002C285E" w:rsidP="002C285E">
      <w:pPr>
        <w:pStyle w:val="NormalAfterTablesandFigures"/>
      </w:pPr>
    </w:p>
    <w:p w:rsidR="002C285E" w:rsidRDefault="002506E1" w:rsidP="002C285E">
      <w:r>
        <w:fldChar w:fldCharType="begin"/>
      </w:r>
      <w:r>
        <w:instrText xml:space="preserve"> REF _Ref388621001 \h  \* MERGEFORMAT </w:instrText>
      </w:r>
      <w:r>
        <w:fldChar w:fldCharType="separate"/>
      </w:r>
      <w:r w:rsidR="00CD20CF">
        <w:t xml:space="preserve">Table </w:t>
      </w:r>
      <w:r w:rsidR="00CD20CF">
        <w:rPr>
          <w:noProof/>
        </w:rPr>
        <w:t>15</w:t>
      </w:r>
      <w:r>
        <w:fldChar w:fldCharType="end"/>
      </w:r>
      <w:r w:rsidR="002C285E">
        <w:t xml:space="preserve"> and </w:t>
      </w:r>
      <w:r>
        <w:fldChar w:fldCharType="begin"/>
      </w:r>
      <w:r>
        <w:instrText xml:space="preserve"> REF _Ref388621185 \h  \* MERGEFORMAT </w:instrText>
      </w:r>
      <w:r>
        <w:fldChar w:fldCharType="separate"/>
      </w:r>
      <w:r w:rsidR="00CD20CF">
        <w:t xml:space="preserve">Table </w:t>
      </w:r>
      <w:r w:rsidR="00CD20CF">
        <w:rPr>
          <w:noProof/>
        </w:rPr>
        <w:t>16</w:t>
      </w:r>
      <w:r>
        <w:fldChar w:fldCharType="end"/>
      </w:r>
      <w:r w:rsidR="002C285E">
        <w:t xml:space="preserve"> present the distribution of HES electric and gas savings at the measure-level, comparing reported </w:t>
      </w:r>
      <w:r w:rsidR="002C285E" w:rsidRPr="00296386">
        <w:rPr>
          <w:i/>
        </w:rPr>
        <w:t>ex ante</w:t>
      </w:r>
      <w:r w:rsidR="002C285E">
        <w:t xml:space="preserve"> savings to estimates of evaluated gross savings. The savings estimates below reflect average household savings for participants receiving a given measure. </w:t>
      </w:r>
    </w:p>
    <w:p w:rsidR="002C285E" w:rsidRDefault="002C285E" w:rsidP="002C285E">
      <w:pPr>
        <w:pStyle w:val="Caption"/>
        <w:pageBreakBefore/>
      </w:pPr>
      <w:bookmarkStart w:id="53" w:name="_Ref388621001"/>
      <w:r>
        <w:lastRenderedPageBreak/>
        <w:t xml:space="preserve">Table </w:t>
      </w:r>
      <w:r w:rsidR="002506E1">
        <w:fldChar w:fldCharType="begin"/>
      </w:r>
      <w:r w:rsidR="002506E1">
        <w:instrText xml:space="preserve"> SEQ Table \* ARABIC </w:instrText>
      </w:r>
      <w:r w:rsidR="002506E1">
        <w:fldChar w:fldCharType="separate"/>
      </w:r>
      <w:r w:rsidR="00CD20CF">
        <w:rPr>
          <w:noProof/>
        </w:rPr>
        <w:t>15</w:t>
      </w:r>
      <w:r w:rsidR="002506E1">
        <w:rPr>
          <w:noProof/>
        </w:rPr>
        <w:fldChar w:fldCharType="end"/>
      </w:r>
      <w:bookmarkEnd w:id="53"/>
      <w:r>
        <w:t xml:space="preserve">. Comparison of </w:t>
      </w:r>
      <w:r w:rsidRPr="00CF4F75">
        <w:rPr>
          <w:i/>
        </w:rPr>
        <w:t>Ex Ante</w:t>
      </w:r>
      <w:r>
        <w:t xml:space="preserve"> and </w:t>
      </w:r>
      <w:r w:rsidR="005025C1">
        <w:t>Evaluated</w:t>
      </w:r>
      <w:r>
        <w:t xml:space="preserve"> Gross Savings by Measure</w:t>
      </w:r>
      <w:r w:rsidR="00C2122C">
        <w:t>—</w:t>
      </w:r>
      <w:r>
        <w:t>HES Electric</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79"/>
        <w:gridCol w:w="1787"/>
        <w:gridCol w:w="1888"/>
        <w:gridCol w:w="1343"/>
        <w:gridCol w:w="1230"/>
        <w:gridCol w:w="2149"/>
      </w:tblGrid>
      <w:tr w:rsidR="007331E7" w:rsidRPr="007331E7" w:rsidTr="005025C1">
        <w:tc>
          <w:tcPr>
            <w:tcW w:w="616" w:type="pct"/>
            <w:shd w:val="clear" w:color="000000" w:fill="005DAA"/>
            <w:vAlign w:val="center"/>
            <w:hideMark/>
          </w:tcPr>
          <w:p w:rsidR="007331E7" w:rsidRPr="007331E7" w:rsidRDefault="007331E7" w:rsidP="00B920E7">
            <w:pPr>
              <w:spacing w:after="0"/>
              <w:jc w:val="center"/>
              <w:rPr>
                <w:rFonts w:ascii="Calibri" w:eastAsia="Times New Roman" w:hAnsi="Calibri" w:cs="Times New Roman"/>
                <w:b/>
                <w:bCs/>
                <w:color w:val="FFFFFF"/>
              </w:rPr>
            </w:pPr>
            <w:r w:rsidRPr="007331E7">
              <w:rPr>
                <w:rFonts w:ascii="Calibri" w:eastAsia="Times New Roman" w:hAnsi="Calibri" w:cs="Times New Roman"/>
                <w:b/>
                <w:bCs/>
                <w:color w:val="FFFFFF"/>
              </w:rPr>
              <w:t>Category</w:t>
            </w:r>
          </w:p>
        </w:tc>
        <w:tc>
          <w:tcPr>
            <w:tcW w:w="933" w:type="pct"/>
            <w:shd w:val="clear" w:color="000000" w:fill="005DAA"/>
            <w:vAlign w:val="center"/>
            <w:hideMark/>
          </w:tcPr>
          <w:p w:rsidR="007331E7" w:rsidRPr="007331E7" w:rsidRDefault="007331E7" w:rsidP="00B920E7">
            <w:pPr>
              <w:spacing w:after="0"/>
              <w:jc w:val="center"/>
              <w:rPr>
                <w:rFonts w:ascii="Calibri" w:eastAsia="Times New Roman" w:hAnsi="Calibri" w:cs="Times New Roman"/>
                <w:b/>
                <w:bCs/>
                <w:color w:val="FFFFFF"/>
              </w:rPr>
            </w:pPr>
            <w:r w:rsidRPr="007331E7">
              <w:rPr>
                <w:rFonts w:ascii="Calibri" w:eastAsia="Times New Roman" w:hAnsi="Calibri" w:cs="Times New Roman"/>
                <w:b/>
                <w:bCs/>
                <w:color w:val="FFFFFF"/>
              </w:rPr>
              <w:t>Measure</w:t>
            </w:r>
          </w:p>
        </w:tc>
        <w:tc>
          <w:tcPr>
            <w:tcW w:w="986" w:type="pct"/>
            <w:shd w:val="clear" w:color="000000" w:fill="005DAA"/>
            <w:vAlign w:val="center"/>
            <w:hideMark/>
          </w:tcPr>
          <w:p w:rsidR="007331E7" w:rsidRDefault="007331E7" w:rsidP="00B920E7">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 xml:space="preserve">Reported </w:t>
            </w:r>
            <w:r w:rsidRPr="00CF4F75">
              <w:rPr>
                <w:rFonts w:ascii="Calibri" w:eastAsia="Times New Roman" w:hAnsi="Calibri" w:cs="Times New Roman"/>
                <w:b/>
                <w:bCs/>
                <w:i/>
                <w:color w:val="FFFFFF"/>
              </w:rPr>
              <w:t>Ex ante</w:t>
            </w:r>
            <w:r>
              <w:rPr>
                <w:rFonts w:ascii="Calibri" w:eastAsia="Times New Roman" w:hAnsi="Calibri" w:cs="Times New Roman"/>
                <w:b/>
                <w:bCs/>
                <w:color w:val="FFFFFF"/>
              </w:rPr>
              <w:t xml:space="preserve"> Savings (kWh/</w:t>
            </w:r>
          </w:p>
          <w:p w:rsidR="007331E7" w:rsidRPr="007331E7" w:rsidRDefault="007331E7" w:rsidP="00B920E7">
            <w:pPr>
              <w:spacing w:after="0"/>
              <w:jc w:val="center"/>
              <w:rPr>
                <w:rFonts w:ascii="Calibri" w:eastAsia="Times New Roman" w:hAnsi="Calibri" w:cs="Times New Roman"/>
                <w:b/>
                <w:bCs/>
                <w:color w:val="FFFFFF"/>
              </w:rPr>
            </w:pPr>
            <w:r w:rsidRPr="007331E7">
              <w:rPr>
                <w:rFonts w:ascii="Calibri" w:eastAsia="Times New Roman" w:hAnsi="Calibri" w:cs="Times New Roman"/>
                <w:b/>
                <w:bCs/>
                <w:color w:val="FFFFFF"/>
              </w:rPr>
              <w:t>Household) *</w:t>
            </w:r>
            <w:r w:rsidRPr="007331E7">
              <w:rPr>
                <w:rFonts w:ascii="Calibri" w:eastAsia="Times New Roman" w:hAnsi="Calibri" w:cs="Times New Roman"/>
                <w:b/>
                <w:bCs/>
                <w:color w:val="FFFFFF"/>
              </w:rPr>
              <w:br/>
              <w:t>(A)</w:t>
            </w:r>
          </w:p>
        </w:tc>
        <w:tc>
          <w:tcPr>
            <w:tcW w:w="701" w:type="pct"/>
            <w:shd w:val="clear" w:color="000000" w:fill="005DAA"/>
            <w:vAlign w:val="center"/>
            <w:hideMark/>
          </w:tcPr>
          <w:p w:rsidR="007331E7" w:rsidRPr="007331E7" w:rsidRDefault="005025C1" w:rsidP="00B920E7">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Gross Savings (kWh/ Household)</w:t>
            </w:r>
            <w:r w:rsidR="007331E7" w:rsidRPr="007331E7">
              <w:rPr>
                <w:rFonts w:ascii="Calibri" w:eastAsia="Times New Roman" w:hAnsi="Calibri" w:cs="Times New Roman"/>
                <w:b/>
                <w:bCs/>
                <w:color w:val="FFFFFF"/>
              </w:rPr>
              <w:br/>
              <w:t>(B)</w:t>
            </w:r>
          </w:p>
        </w:tc>
        <w:tc>
          <w:tcPr>
            <w:tcW w:w="642" w:type="pct"/>
            <w:shd w:val="clear" w:color="000000" w:fill="005DAA"/>
            <w:vAlign w:val="center"/>
            <w:hideMark/>
          </w:tcPr>
          <w:p w:rsidR="007331E7" w:rsidRPr="007331E7" w:rsidRDefault="005025C1" w:rsidP="00B920E7">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Realization Rate</w:t>
            </w:r>
            <w:r w:rsidR="007331E7" w:rsidRPr="007331E7">
              <w:rPr>
                <w:rFonts w:ascii="Calibri" w:eastAsia="Times New Roman" w:hAnsi="Calibri" w:cs="Times New Roman"/>
                <w:b/>
                <w:bCs/>
                <w:color w:val="FFFFFF"/>
              </w:rPr>
              <w:t xml:space="preserve"> </w:t>
            </w:r>
            <w:r w:rsidR="007331E7" w:rsidRPr="007331E7">
              <w:rPr>
                <w:rFonts w:ascii="Calibri" w:eastAsia="Times New Roman" w:hAnsi="Calibri" w:cs="Times New Roman"/>
                <w:b/>
                <w:bCs/>
                <w:color w:val="FFFFFF"/>
              </w:rPr>
              <w:br/>
              <w:t>(B/A)</w:t>
            </w:r>
          </w:p>
        </w:tc>
        <w:tc>
          <w:tcPr>
            <w:tcW w:w="1122" w:type="pct"/>
            <w:shd w:val="clear" w:color="000000" w:fill="005DAA"/>
            <w:vAlign w:val="center"/>
            <w:hideMark/>
          </w:tcPr>
          <w:p w:rsidR="007331E7" w:rsidRPr="007331E7" w:rsidRDefault="007331E7" w:rsidP="00B920E7">
            <w:pPr>
              <w:spacing w:after="0"/>
              <w:jc w:val="center"/>
              <w:rPr>
                <w:rFonts w:ascii="Calibri" w:eastAsia="Times New Roman" w:hAnsi="Calibri" w:cs="Times New Roman"/>
                <w:b/>
                <w:bCs/>
                <w:color w:val="FFFFFF"/>
              </w:rPr>
            </w:pPr>
            <w:r w:rsidRPr="007331E7">
              <w:rPr>
                <w:rFonts w:ascii="Calibri" w:eastAsia="Times New Roman" w:hAnsi="Calibri" w:cs="Times New Roman"/>
                <w:b/>
                <w:bCs/>
                <w:color w:val="FFFFFF"/>
              </w:rPr>
              <w:t>Method</w:t>
            </w:r>
          </w:p>
        </w:tc>
      </w:tr>
      <w:tr w:rsidR="005E5865" w:rsidRPr="007331E7" w:rsidTr="005025C1">
        <w:tc>
          <w:tcPr>
            <w:tcW w:w="616"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Appliance</w:t>
            </w:r>
          </w:p>
        </w:tc>
        <w:tc>
          <w:tcPr>
            <w:tcW w:w="933"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Dehumidifier</w:t>
            </w:r>
          </w:p>
        </w:tc>
        <w:tc>
          <w:tcPr>
            <w:tcW w:w="986" w:type="pct"/>
            <w:shd w:val="clear" w:color="auto" w:fill="auto"/>
            <w:vAlign w:val="center"/>
            <w:hideMark/>
          </w:tcPr>
          <w:p w:rsidR="005E5865" w:rsidRPr="007331E7" w:rsidRDefault="005E5865" w:rsidP="00B920E7">
            <w:pPr>
              <w:spacing w:after="0"/>
              <w:jc w:val="right"/>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382</w:t>
            </w:r>
          </w:p>
        </w:tc>
        <w:tc>
          <w:tcPr>
            <w:tcW w:w="701" w:type="pct"/>
            <w:shd w:val="clear" w:color="auto" w:fill="auto"/>
            <w:vAlign w:val="center"/>
            <w:hideMark/>
          </w:tcPr>
          <w:p w:rsidR="005E5865" w:rsidRPr="007331E7"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31</w:t>
            </w:r>
          </w:p>
        </w:tc>
        <w:tc>
          <w:tcPr>
            <w:tcW w:w="642" w:type="pct"/>
            <w:shd w:val="clear" w:color="auto" w:fill="auto"/>
            <w:vAlign w:val="center"/>
            <w:hideMark/>
          </w:tcPr>
          <w:p w:rsidR="005E5865" w:rsidRPr="007331E7"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w:t>
            </w:r>
            <w:r w:rsidRPr="007331E7">
              <w:rPr>
                <w:rFonts w:ascii="Calibri" w:eastAsia="Times New Roman" w:hAnsi="Calibri" w:cs="Times New Roman"/>
                <w:color w:val="000000"/>
                <w:sz w:val="20"/>
                <w:szCs w:val="20"/>
              </w:rPr>
              <w:t>%</w:t>
            </w:r>
          </w:p>
        </w:tc>
        <w:tc>
          <w:tcPr>
            <w:tcW w:w="1122"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Engineering Algorithm</w:t>
            </w:r>
          </w:p>
        </w:tc>
      </w:tr>
      <w:tr w:rsidR="005E5865" w:rsidRPr="007331E7" w:rsidTr="005025C1">
        <w:tc>
          <w:tcPr>
            <w:tcW w:w="616"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Appliance</w:t>
            </w:r>
          </w:p>
        </w:tc>
        <w:tc>
          <w:tcPr>
            <w:tcW w:w="933"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Freezer</w:t>
            </w:r>
          </w:p>
        </w:tc>
        <w:tc>
          <w:tcPr>
            <w:tcW w:w="986" w:type="pct"/>
            <w:shd w:val="clear" w:color="auto" w:fill="auto"/>
            <w:vAlign w:val="center"/>
            <w:hideMark/>
          </w:tcPr>
          <w:p w:rsidR="005E5865" w:rsidRPr="007331E7" w:rsidRDefault="005E5865" w:rsidP="00B920E7">
            <w:pPr>
              <w:spacing w:after="0"/>
              <w:jc w:val="right"/>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705</w:t>
            </w:r>
          </w:p>
        </w:tc>
        <w:tc>
          <w:tcPr>
            <w:tcW w:w="701" w:type="pct"/>
            <w:shd w:val="clear" w:color="auto" w:fill="auto"/>
            <w:vAlign w:val="center"/>
            <w:hideMark/>
          </w:tcPr>
          <w:p w:rsidR="005E5865" w:rsidRPr="007331E7" w:rsidRDefault="005E5865" w:rsidP="00E350B3">
            <w:pPr>
              <w:spacing w:after="0"/>
              <w:jc w:val="right"/>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6</w:t>
            </w:r>
            <w:r>
              <w:rPr>
                <w:rFonts w:ascii="Calibri" w:eastAsia="Times New Roman" w:hAnsi="Calibri" w:cs="Times New Roman"/>
                <w:color w:val="000000"/>
                <w:sz w:val="20"/>
                <w:szCs w:val="20"/>
              </w:rPr>
              <w:t>6</w:t>
            </w:r>
          </w:p>
        </w:tc>
        <w:tc>
          <w:tcPr>
            <w:tcW w:w="642" w:type="pct"/>
            <w:shd w:val="clear" w:color="auto" w:fill="auto"/>
            <w:vAlign w:val="center"/>
            <w:hideMark/>
          </w:tcPr>
          <w:p w:rsidR="005E5865" w:rsidRPr="007331E7"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9</w:t>
            </w:r>
            <w:r w:rsidRPr="007331E7">
              <w:rPr>
                <w:rFonts w:ascii="Calibri" w:eastAsia="Times New Roman" w:hAnsi="Calibri" w:cs="Times New Roman"/>
                <w:color w:val="000000"/>
                <w:sz w:val="20"/>
                <w:szCs w:val="20"/>
              </w:rPr>
              <w:t>%</w:t>
            </w:r>
          </w:p>
        </w:tc>
        <w:tc>
          <w:tcPr>
            <w:tcW w:w="1122"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Engineering Algorithm</w:t>
            </w:r>
          </w:p>
        </w:tc>
      </w:tr>
      <w:tr w:rsidR="005E5865" w:rsidRPr="007331E7" w:rsidTr="005025C1">
        <w:tc>
          <w:tcPr>
            <w:tcW w:w="616"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Appliance</w:t>
            </w:r>
          </w:p>
        </w:tc>
        <w:tc>
          <w:tcPr>
            <w:tcW w:w="933"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Refrigerator</w:t>
            </w:r>
          </w:p>
        </w:tc>
        <w:tc>
          <w:tcPr>
            <w:tcW w:w="986" w:type="pct"/>
            <w:shd w:val="clear" w:color="auto" w:fill="auto"/>
            <w:vAlign w:val="center"/>
            <w:hideMark/>
          </w:tcPr>
          <w:p w:rsidR="005E5865" w:rsidRPr="007331E7" w:rsidRDefault="005E5865" w:rsidP="00B920E7">
            <w:pPr>
              <w:spacing w:after="0"/>
              <w:jc w:val="right"/>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243</w:t>
            </w:r>
          </w:p>
        </w:tc>
        <w:tc>
          <w:tcPr>
            <w:tcW w:w="701" w:type="pct"/>
            <w:shd w:val="clear" w:color="auto" w:fill="auto"/>
            <w:vAlign w:val="center"/>
            <w:hideMark/>
          </w:tcPr>
          <w:p w:rsidR="005E5865" w:rsidRPr="007331E7"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189</w:t>
            </w:r>
          </w:p>
        </w:tc>
        <w:tc>
          <w:tcPr>
            <w:tcW w:w="642" w:type="pct"/>
            <w:shd w:val="clear" w:color="auto" w:fill="auto"/>
            <w:vAlign w:val="center"/>
            <w:hideMark/>
          </w:tcPr>
          <w:p w:rsidR="005E5865" w:rsidRPr="007331E7"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78</w:t>
            </w:r>
            <w:r w:rsidRPr="007331E7">
              <w:rPr>
                <w:rFonts w:ascii="Calibri" w:eastAsia="Times New Roman" w:hAnsi="Calibri" w:cs="Times New Roman"/>
                <w:color w:val="000000"/>
                <w:sz w:val="20"/>
                <w:szCs w:val="20"/>
              </w:rPr>
              <w:t>%</w:t>
            </w:r>
          </w:p>
        </w:tc>
        <w:tc>
          <w:tcPr>
            <w:tcW w:w="1122"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Engineering Algorithm</w:t>
            </w:r>
          </w:p>
        </w:tc>
      </w:tr>
      <w:tr w:rsidR="005E5865" w:rsidRPr="007331E7" w:rsidTr="005025C1">
        <w:tc>
          <w:tcPr>
            <w:tcW w:w="616"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Appliance</w:t>
            </w:r>
          </w:p>
        </w:tc>
        <w:tc>
          <w:tcPr>
            <w:tcW w:w="933"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Clothes Washer</w:t>
            </w:r>
          </w:p>
        </w:tc>
        <w:tc>
          <w:tcPr>
            <w:tcW w:w="986" w:type="pct"/>
            <w:shd w:val="clear" w:color="auto" w:fill="auto"/>
            <w:vAlign w:val="center"/>
            <w:hideMark/>
          </w:tcPr>
          <w:p w:rsidR="005E5865" w:rsidRPr="007331E7" w:rsidRDefault="005E5865" w:rsidP="00B920E7">
            <w:pPr>
              <w:spacing w:after="0"/>
              <w:jc w:val="right"/>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1,430</w:t>
            </w:r>
          </w:p>
        </w:tc>
        <w:tc>
          <w:tcPr>
            <w:tcW w:w="701" w:type="pct"/>
            <w:shd w:val="clear" w:color="auto" w:fill="auto"/>
            <w:vAlign w:val="center"/>
            <w:hideMark/>
          </w:tcPr>
          <w:p w:rsidR="005E5865" w:rsidRPr="007331E7"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644</w:t>
            </w:r>
          </w:p>
        </w:tc>
        <w:tc>
          <w:tcPr>
            <w:tcW w:w="642" w:type="pct"/>
            <w:shd w:val="clear" w:color="auto" w:fill="auto"/>
            <w:vAlign w:val="center"/>
            <w:hideMark/>
          </w:tcPr>
          <w:p w:rsidR="005E5865" w:rsidRPr="007331E7"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45</w:t>
            </w:r>
            <w:r w:rsidRPr="007331E7">
              <w:rPr>
                <w:rFonts w:ascii="Calibri" w:eastAsia="Times New Roman" w:hAnsi="Calibri" w:cs="Times New Roman"/>
                <w:color w:val="000000"/>
                <w:sz w:val="20"/>
                <w:szCs w:val="20"/>
              </w:rPr>
              <w:t>%</w:t>
            </w:r>
          </w:p>
        </w:tc>
        <w:tc>
          <w:tcPr>
            <w:tcW w:w="1122"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Engineering Algorithm</w:t>
            </w:r>
          </w:p>
        </w:tc>
      </w:tr>
      <w:tr w:rsidR="005E5865" w:rsidRPr="007331E7" w:rsidTr="005025C1">
        <w:tc>
          <w:tcPr>
            <w:tcW w:w="616"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HVAC</w:t>
            </w:r>
          </w:p>
        </w:tc>
        <w:tc>
          <w:tcPr>
            <w:tcW w:w="933"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Central AC</w:t>
            </w:r>
          </w:p>
        </w:tc>
        <w:tc>
          <w:tcPr>
            <w:tcW w:w="986" w:type="pct"/>
            <w:shd w:val="clear" w:color="auto" w:fill="auto"/>
            <w:vAlign w:val="center"/>
            <w:hideMark/>
          </w:tcPr>
          <w:p w:rsidR="005E5865" w:rsidRPr="007331E7" w:rsidRDefault="005E5865" w:rsidP="00B920E7">
            <w:pPr>
              <w:spacing w:after="0"/>
              <w:jc w:val="right"/>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471</w:t>
            </w:r>
          </w:p>
        </w:tc>
        <w:tc>
          <w:tcPr>
            <w:tcW w:w="701" w:type="pct"/>
            <w:shd w:val="clear" w:color="auto" w:fill="auto"/>
            <w:vAlign w:val="center"/>
            <w:hideMark/>
          </w:tcPr>
          <w:p w:rsidR="005E5865" w:rsidRPr="007331E7" w:rsidRDefault="005E5865" w:rsidP="00E350B3">
            <w:pPr>
              <w:spacing w:after="0"/>
              <w:jc w:val="right"/>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3</w:t>
            </w:r>
            <w:r>
              <w:rPr>
                <w:rFonts w:ascii="Calibri" w:eastAsia="Times New Roman" w:hAnsi="Calibri" w:cs="Times New Roman"/>
                <w:color w:val="000000"/>
                <w:sz w:val="20"/>
                <w:szCs w:val="20"/>
              </w:rPr>
              <w:t>86</w:t>
            </w:r>
          </w:p>
        </w:tc>
        <w:tc>
          <w:tcPr>
            <w:tcW w:w="642" w:type="pct"/>
            <w:shd w:val="clear" w:color="auto" w:fill="auto"/>
            <w:vAlign w:val="center"/>
            <w:hideMark/>
          </w:tcPr>
          <w:p w:rsidR="005E5865" w:rsidRPr="007331E7"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82</w:t>
            </w:r>
            <w:r w:rsidRPr="007331E7">
              <w:rPr>
                <w:rFonts w:ascii="Calibri" w:eastAsia="Times New Roman" w:hAnsi="Calibri" w:cs="Times New Roman"/>
                <w:color w:val="000000"/>
                <w:sz w:val="20"/>
                <w:szCs w:val="20"/>
              </w:rPr>
              <w:t>%</w:t>
            </w:r>
          </w:p>
        </w:tc>
        <w:tc>
          <w:tcPr>
            <w:tcW w:w="1122"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Engineering Algorithm</w:t>
            </w:r>
          </w:p>
        </w:tc>
      </w:tr>
      <w:tr w:rsidR="005E5865" w:rsidRPr="007331E7" w:rsidTr="005025C1">
        <w:tc>
          <w:tcPr>
            <w:tcW w:w="616"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HVAC</w:t>
            </w:r>
          </w:p>
        </w:tc>
        <w:tc>
          <w:tcPr>
            <w:tcW w:w="933"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Duct Sealing</w:t>
            </w:r>
          </w:p>
        </w:tc>
        <w:tc>
          <w:tcPr>
            <w:tcW w:w="986" w:type="pct"/>
            <w:shd w:val="clear" w:color="auto" w:fill="auto"/>
            <w:vAlign w:val="center"/>
            <w:hideMark/>
          </w:tcPr>
          <w:p w:rsidR="005E5865" w:rsidRPr="007331E7" w:rsidRDefault="005E5865" w:rsidP="00B920E7">
            <w:pPr>
              <w:spacing w:after="0"/>
              <w:jc w:val="right"/>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309</w:t>
            </w:r>
          </w:p>
        </w:tc>
        <w:tc>
          <w:tcPr>
            <w:tcW w:w="701" w:type="pct"/>
            <w:shd w:val="clear" w:color="auto" w:fill="auto"/>
            <w:vAlign w:val="center"/>
            <w:hideMark/>
          </w:tcPr>
          <w:p w:rsidR="005E5865" w:rsidRPr="007331E7"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103</w:t>
            </w:r>
          </w:p>
        </w:tc>
        <w:tc>
          <w:tcPr>
            <w:tcW w:w="642" w:type="pct"/>
            <w:shd w:val="clear" w:color="auto" w:fill="auto"/>
            <w:vAlign w:val="center"/>
            <w:hideMark/>
          </w:tcPr>
          <w:p w:rsidR="005E5865" w:rsidRPr="007331E7"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33</w:t>
            </w:r>
            <w:r w:rsidRPr="007331E7">
              <w:rPr>
                <w:rFonts w:ascii="Calibri" w:eastAsia="Times New Roman" w:hAnsi="Calibri" w:cs="Times New Roman"/>
                <w:color w:val="000000"/>
                <w:sz w:val="20"/>
                <w:szCs w:val="20"/>
              </w:rPr>
              <w:t>%</w:t>
            </w:r>
          </w:p>
        </w:tc>
        <w:tc>
          <w:tcPr>
            <w:tcW w:w="1122"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Simulation Modeling</w:t>
            </w:r>
          </w:p>
        </w:tc>
      </w:tr>
      <w:tr w:rsidR="005E5865" w:rsidRPr="007331E7" w:rsidTr="005025C1">
        <w:tc>
          <w:tcPr>
            <w:tcW w:w="616"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HVAC</w:t>
            </w:r>
          </w:p>
        </w:tc>
        <w:tc>
          <w:tcPr>
            <w:tcW w:w="933"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Heating System Replacement</w:t>
            </w:r>
          </w:p>
        </w:tc>
        <w:tc>
          <w:tcPr>
            <w:tcW w:w="986" w:type="pct"/>
            <w:shd w:val="clear" w:color="auto" w:fill="auto"/>
            <w:vAlign w:val="center"/>
            <w:hideMark/>
          </w:tcPr>
          <w:p w:rsidR="005E5865" w:rsidRPr="007331E7" w:rsidRDefault="005E5865" w:rsidP="00B920E7">
            <w:pPr>
              <w:spacing w:after="0"/>
              <w:jc w:val="right"/>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285</w:t>
            </w:r>
          </w:p>
        </w:tc>
        <w:tc>
          <w:tcPr>
            <w:tcW w:w="701" w:type="pct"/>
            <w:shd w:val="clear" w:color="auto" w:fill="auto"/>
            <w:vAlign w:val="center"/>
            <w:hideMark/>
          </w:tcPr>
          <w:p w:rsidR="005E5865" w:rsidRPr="007331E7"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380</w:t>
            </w:r>
          </w:p>
        </w:tc>
        <w:tc>
          <w:tcPr>
            <w:tcW w:w="642" w:type="pct"/>
            <w:shd w:val="clear" w:color="auto" w:fill="auto"/>
            <w:vAlign w:val="center"/>
            <w:hideMark/>
          </w:tcPr>
          <w:p w:rsidR="005E5865" w:rsidRPr="007331E7"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133</w:t>
            </w:r>
            <w:r w:rsidRPr="007331E7">
              <w:rPr>
                <w:rFonts w:ascii="Calibri" w:eastAsia="Times New Roman" w:hAnsi="Calibri" w:cs="Times New Roman"/>
                <w:color w:val="000000"/>
                <w:sz w:val="20"/>
                <w:szCs w:val="20"/>
              </w:rPr>
              <w:t>%</w:t>
            </w:r>
          </w:p>
        </w:tc>
        <w:tc>
          <w:tcPr>
            <w:tcW w:w="1122"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Engineering Algorithm</w:t>
            </w:r>
          </w:p>
        </w:tc>
      </w:tr>
      <w:tr w:rsidR="005E5865" w:rsidRPr="00195020" w:rsidTr="005025C1">
        <w:tc>
          <w:tcPr>
            <w:tcW w:w="616" w:type="pct"/>
            <w:shd w:val="clear" w:color="auto" w:fill="auto"/>
            <w:vAlign w:val="center"/>
            <w:hideMark/>
          </w:tcPr>
          <w:p w:rsidR="005E5865" w:rsidRPr="00195020" w:rsidRDefault="005E5865" w:rsidP="00B920E7">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HVAC</w:t>
            </w:r>
          </w:p>
        </w:tc>
        <w:tc>
          <w:tcPr>
            <w:tcW w:w="933" w:type="pct"/>
            <w:shd w:val="clear" w:color="auto" w:fill="auto"/>
            <w:vAlign w:val="center"/>
            <w:hideMark/>
          </w:tcPr>
          <w:p w:rsidR="005E5865" w:rsidRPr="00195020" w:rsidRDefault="005E5865" w:rsidP="00B920E7">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Heat Pump</w:t>
            </w:r>
          </w:p>
        </w:tc>
        <w:tc>
          <w:tcPr>
            <w:tcW w:w="986" w:type="pct"/>
            <w:shd w:val="clear" w:color="auto" w:fill="auto"/>
            <w:vAlign w:val="center"/>
            <w:hideMark/>
          </w:tcPr>
          <w:p w:rsidR="005E5865" w:rsidRPr="00195020" w:rsidRDefault="005E5865" w:rsidP="00B920E7">
            <w:pPr>
              <w:spacing w:after="0"/>
              <w:jc w:val="right"/>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997</w:t>
            </w:r>
          </w:p>
        </w:tc>
        <w:tc>
          <w:tcPr>
            <w:tcW w:w="701" w:type="pct"/>
            <w:shd w:val="clear" w:color="auto" w:fill="auto"/>
            <w:vAlign w:val="center"/>
            <w:hideMark/>
          </w:tcPr>
          <w:p w:rsidR="005E5865" w:rsidRPr="00195020"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758</w:t>
            </w:r>
          </w:p>
        </w:tc>
        <w:tc>
          <w:tcPr>
            <w:tcW w:w="642" w:type="pct"/>
            <w:shd w:val="clear" w:color="auto" w:fill="auto"/>
            <w:vAlign w:val="center"/>
            <w:hideMark/>
          </w:tcPr>
          <w:p w:rsidR="005E5865" w:rsidRPr="00195020"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78</w:t>
            </w:r>
            <w:r w:rsidRPr="00195020">
              <w:rPr>
                <w:rFonts w:ascii="Calibri" w:eastAsia="Times New Roman" w:hAnsi="Calibri" w:cs="Times New Roman"/>
                <w:color w:val="000000"/>
                <w:sz w:val="20"/>
                <w:szCs w:val="20"/>
              </w:rPr>
              <w:t>%</w:t>
            </w:r>
          </w:p>
        </w:tc>
        <w:tc>
          <w:tcPr>
            <w:tcW w:w="1122" w:type="pct"/>
            <w:shd w:val="clear" w:color="auto" w:fill="auto"/>
            <w:vAlign w:val="center"/>
            <w:hideMark/>
          </w:tcPr>
          <w:p w:rsidR="005E5865" w:rsidRPr="00195020" w:rsidRDefault="005E5865" w:rsidP="00B920E7">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Engineering Algorithm</w:t>
            </w:r>
          </w:p>
        </w:tc>
      </w:tr>
      <w:tr w:rsidR="005E5865" w:rsidRPr="00195020" w:rsidTr="005025C1">
        <w:tc>
          <w:tcPr>
            <w:tcW w:w="616" w:type="pct"/>
            <w:shd w:val="clear" w:color="auto" w:fill="auto"/>
            <w:vAlign w:val="center"/>
            <w:hideMark/>
          </w:tcPr>
          <w:p w:rsidR="005E5865" w:rsidRPr="00195020" w:rsidRDefault="005E5865" w:rsidP="00B920E7">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HVAC</w:t>
            </w:r>
          </w:p>
        </w:tc>
        <w:tc>
          <w:tcPr>
            <w:tcW w:w="933" w:type="pct"/>
            <w:shd w:val="clear" w:color="auto" w:fill="auto"/>
            <w:vAlign w:val="center"/>
            <w:hideMark/>
          </w:tcPr>
          <w:p w:rsidR="005E5865" w:rsidRPr="00195020" w:rsidRDefault="005E5865" w:rsidP="00B920E7">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Ductless Heat Pump**</w:t>
            </w:r>
          </w:p>
        </w:tc>
        <w:tc>
          <w:tcPr>
            <w:tcW w:w="986" w:type="pct"/>
            <w:shd w:val="clear" w:color="auto" w:fill="auto"/>
            <w:vAlign w:val="center"/>
            <w:hideMark/>
          </w:tcPr>
          <w:p w:rsidR="005E5865" w:rsidRPr="00195020" w:rsidRDefault="005E5865" w:rsidP="00B920E7">
            <w:pPr>
              <w:spacing w:after="0"/>
              <w:jc w:val="right"/>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2,844</w:t>
            </w:r>
          </w:p>
        </w:tc>
        <w:tc>
          <w:tcPr>
            <w:tcW w:w="701" w:type="pct"/>
            <w:shd w:val="clear" w:color="auto" w:fill="auto"/>
            <w:vAlign w:val="center"/>
            <w:hideMark/>
          </w:tcPr>
          <w:p w:rsidR="005E5865" w:rsidRPr="00195020"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1,311</w:t>
            </w:r>
          </w:p>
        </w:tc>
        <w:tc>
          <w:tcPr>
            <w:tcW w:w="642" w:type="pct"/>
            <w:shd w:val="clear" w:color="auto" w:fill="auto"/>
            <w:vAlign w:val="center"/>
            <w:hideMark/>
          </w:tcPr>
          <w:p w:rsidR="005E5865" w:rsidRPr="00195020"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46</w:t>
            </w:r>
            <w:r w:rsidRPr="00195020">
              <w:rPr>
                <w:rFonts w:ascii="Calibri" w:eastAsia="Times New Roman" w:hAnsi="Calibri" w:cs="Times New Roman"/>
                <w:color w:val="000000"/>
                <w:sz w:val="20"/>
                <w:szCs w:val="20"/>
              </w:rPr>
              <w:t>%</w:t>
            </w:r>
          </w:p>
        </w:tc>
        <w:tc>
          <w:tcPr>
            <w:tcW w:w="1122" w:type="pct"/>
            <w:shd w:val="clear" w:color="auto" w:fill="auto"/>
            <w:vAlign w:val="center"/>
            <w:hideMark/>
          </w:tcPr>
          <w:p w:rsidR="005E5865" w:rsidRPr="00195020" w:rsidRDefault="005E5865" w:rsidP="00B920E7">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Billing Analysis (±35%)</w:t>
            </w:r>
          </w:p>
        </w:tc>
      </w:tr>
      <w:tr w:rsidR="005E5865" w:rsidRPr="00195020" w:rsidTr="005025C1">
        <w:tc>
          <w:tcPr>
            <w:tcW w:w="616" w:type="pct"/>
            <w:shd w:val="clear" w:color="auto" w:fill="auto"/>
            <w:vAlign w:val="center"/>
            <w:hideMark/>
          </w:tcPr>
          <w:p w:rsidR="005E5865" w:rsidRPr="00195020" w:rsidRDefault="005E5865" w:rsidP="00B920E7">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HVAC</w:t>
            </w:r>
          </w:p>
        </w:tc>
        <w:tc>
          <w:tcPr>
            <w:tcW w:w="933" w:type="pct"/>
            <w:shd w:val="clear" w:color="auto" w:fill="auto"/>
            <w:vAlign w:val="center"/>
            <w:hideMark/>
          </w:tcPr>
          <w:p w:rsidR="005E5865" w:rsidRPr="00195020" w:rsidRDefault="005E5865" w:rsidP="00B920E7">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Ground-Source Heat Pump</w:t>
            </w:r>
          </w:p>
        </w:tc>
        <w:tc>
          <w:tcPr>
            <w:tcW w:w="986" w:type="pct"/>
            <w:shd w:val="clear" w:color="auto" w:fill="auto"/>
            <w:vAlign w:val="center"/>
            <w:hideMark/>
          </w:tcPr>
          <w:p w:rsidR="005E5865" w:rsidRPr="00195020" w:rsidRDefault="005E5865" w:rsidP="00B920E7">
            <w:pPr>
              <w:spacing w:after="0"/>
              <w:jc w:val="right"/>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2,018</w:t>
            </w:r>
          </w:p>
        </w:tc>
        <w:tc>
          <w:tcPr>
            <w:tcW w:w="701" w:type="pct"/>
            <w:shd w:val="clear" w:color="auto" w:fill="auto"/>
            <w:vAlign w:val="center"/>
            <w:hideMark/>
          </w:tcPr>
          <w:p w:rsidR="005E5865" w:rsidRPr="00195020"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1,982</w:t>
            </w:r>
          </w:p>
        </w:tc>
        <w:tc>
          <w:tcPr>
            <w:tcW w:w="642" w:type="pct"/>
            <w:shd w:val="clear" w:color="auto" w:fill="auto"/>
            <w:vAlign w:val="center"/>
            <w:hideMark/>
          </w:tcPr>
          <w:p w:rsidR="005E5865" w:rsidRPr="00195020"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98</w:t>
            </w:r>
            <w:r w:rsidRPr="00195020">
              <w:rPr>
                <w:rFonts w:ascii="Calibri" w:eastAsia="Times New Roman" w:hAnsi="Calibri" w:cs="Times New Roman"/>
                <w:color w:val="000000"/>
                <w:sz w:val="20"/>
                <w:szCs w:val="20"/>
              </w:rPr>
              <w:t>%</w:t>
            </w:r>
          </w:p>
        </w:tc>
        <w:tc>
          <w:tcPr>
            <w:tcW w:w="1122" w:type="pct"/>
            <w:shd w:val="clear" w:color="auto" w:fill="auto"/>
            <w:vAlign w:val="center"/>
            <w:hideMark/>
          </w:tcPr>
          <w:p w:rsidR="005E5865" w:rsidRPr="00195020" w:rsidRDefault="005E5865" w:rsidP="00B920E7">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Engineering Algorithm</w:t>
            </w:r>
          </w:p>
        </w:tc>
      </w:tr>
      <w:tr w:rsidR="005E5865" w:rsidRPr="00195020" w:rsidTr="005025C1">
        <w:tc>
          <w:tcPr>
            <w:tcW w:w="616" w:type="pct"/>
            <w:shd w:val="clear" w:color="auto" w:fill="auto"/>
            <w:vAlign w:val="center"/>
            <w:hideMark/>
          </w:tcPr>
          <w:p w:rsidR="005E5865" w:rsidRPr="00195020" w:rsidRDefault="005E5865" w:rsidP="00B920E7">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Lighting</w:t>
            </w:r>
          </w:p>
        </w:tc>
        <w:tc>
          <w:tcPr>
            <w:tcW w:w="933" w:type="pct"/>
            <w:shd w:val="clear" w:color="auto" w:fill="auto"/>
            <w:vAlign w:val="center"/>
            <w:hideMark/>
          </w:tcPr>
          <w:p w:rsidR="005E5865" w:rsidRPr="00195020" w:rsidRDefault="005E5865" w:rsidP="00B920E7">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Lighting</w:t>
            </w:r>
          </w:p>
        </w:tc>
        <w:tc>
          <w:tcPr>
            <w:tcW w:w="986" w:type="pct"/>
            <w:shd w:val="clear" w:color="auto" w:fill="auto"/>
            <w:vAlign w:val="center"/>
            <w:hideMark/>
          </w:tcPr>
          <w:p w:rsidR="005E5865" w:rsidRPr="00195020" w:rsidRDefault="005E5865" w:rsidP="00B920E7">
            <w:pPr>
              <w:spacing w:after="0"/>
              <w:jc w:val="right"/>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652</w:t>
            </w:r>
          </w:p>
        </w:tc>
        <w:tc>
          <w:tcPr>
            <w:tcW w:w="701" w:type="pct"/>
            <w:shd w:val="clear" w:color="auto" w:fill="auto"/>
            <w:vAlign w:val="center"/>
            <w:hideMark/>
          </w:tcPr>
          <w:p w:rsidR="005E5865" w:rsidRPr="00195020"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782</w:t>
            </w:r>
          </w:p>
        </w:tc>
        <w:tc>
          <w:tcPr>
            <w:tcW w:w="642" w:type="pct"/>
            <w:shd w:val="clear" w:color="auto" w:fill="auto"/>
            <w:vAlign w:val="center"/>
            <w:hideMark/>
          </w:tcPr>
          <w:p w:rsidR="005E5865" w:rsidRPr="00195020"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120</w:t>
            </w:r>
            <w:r w:rsidRPr="00195020">
              <w:rPr>
                <w:rFonts w:ascii="Calibri" w:eastAsia="Times New Roman" w:hAnsi="Calibri" w:cs="Times New Roman"/>
                <w:color w:val="000000"/>
                <w:sz w:val="20"/>
                <w:szCs w:val="20"/>
              </w:rPr>
              <w:t>%</w:t>
            </w:r>
          </w:p>
        </w:tc>
        <w:tc>
          <w:tcPr>
            <w:tcW w:w="1122" w:type="pct"/>
            <w:shd w:val="clear" w:color="auto" w:fill="auto"/>
            <w:vAlign w:val="center"/>
            <w:hideMark/>
          </w:tcPr>
          <w:p w:rsidR="005E5865" w:rsidRPr="00195020" w:rsidRDefault="005E5865" w:rsidP="00B920E7">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Billing Analysis (±6%)</w:t>
            </w:r>
          </w:p>
        </w:tc>
      </w:tr>
      <w:tr w:rsidR="005E5865" w:rsidRPr="00195020" w:rsidTr="005025C1">
        <w:tc>
          <w:tcPr>
            <w:tcW w:w="616" w:type="pct"/>
            <w:shd w:val="clear" w:color="auto" w:fill="auto"/>
            <w:vAlign w:val="center"/>
            <w:hideMark/>
          </w:tcPr>
          <w:p w:rsidR="005E5865" w:rsidRPr="00195020" w:rsidRDefault="005E5865" w:rsidP="00B920E7">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Other</w:t>
            </w:r>
          </w:p>
        </w:tc>
        <w:tc>
          <w:tcPr>
            <w:tcW w:w="933" w:type="pct"/>
            <w:shd w:val="clear" w:color="auto" w:fill="auto"/>
            <w:vAlign w:val="center"/>
            <w:hideMark/>
          </w:tcPr>
          <w:p w:rsidR="005E5865" w:rsidRPr="00195020" w:rsidRDefault="005E5865" w:rsidP="00B920E7">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Other</w:t>
            </w:r>
          </w:p>
        </w:tc>
        <w:tc>
          <w:tcPr>
            <w:tcW w:w="986" w:type="pct"/>
            <w:shd w:val="clear" w:color="auto" w:fill="auto"/>
            <w:vAlign w:val="center"/>
            <w:hideMark/>
          </w:tcPr>
          <w:p w:rsidR="005E5865" w:rsidRPr="00195020" w:rsidRDefault="005E5865" w:rsidP="00B920E7">
            <w:pPr>
              <w:spacing w:after="0"/>
              <w:jc w:val="right"/>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259</w:t>
            </w:r>
          </w:p>
        </w:tc>
        <w:tc>
          <w:tcPr>
            <w:tcW w:w="701" w:type="pct"/>
            <w:shd w:val="clear" w:color="auto" w:fill="auto"/>
            <w:vAlign w:val="center"/>
            <w:hideMark/>
          </w:tcPr>
          <w:p w:rsidR="005E5865" w:rsidRPr="00195020"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259</w:t>
            </w:r>
          </w:p>
        </w:tc>
        <w:tc>
          <w:tcPr>
            <w:tcW w:w="642" w:type="pct"/>
            <w:shd w:val="clear" w:color="auto" w:fill="auto"/>
            <w:vAlign w:val="center"/>
            <w:hideMark/>
          </w:tcPr>
          <w:p w:rsidR="005E5865" w:rsidRPr="00195020"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r w:rsidRPr="00195020">
              <w:rPr>
                <w:rFonts w:ascii="Calibri" w:eastAsia="Times New Roman" w:hAnsi="Calibri" w:cs="Times New Roman"/>
                <w:color w:val="000000"/>
                <w:sz w:val="20"/>
                <w:szCs w:val="20"/>
              </w:rPr>
              <w:t>%</w:t>
            </w:r>
          </w:p>
        </w:tc>
        <w:tc>
          <w:tcPr>
            <w:tcW w:w="1122" w:type="pct"/>
            <w:shd w:val="clear" w:color="auto" w:fill="auto"/>
            <w:vAlign w:val="center"/>
            <w:hideMark/>
          </w:tcPr>
          <w:p w:rsidR="005E5865" w:rsidRPr="00195020" w:rsidRDefault="005E5865" w:rsidP="00B920E7">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 xml:space="preserve">Reported </w:t>
            </w:r>
            <w:r w:rsidRPr="00195020">
              <w:rPr>
                <w:rFonts w:ascii="Calibri" w:eastAsia="Times New Roman" w:hAnsi="Calibri" w:cs="Times New Roman"/>
                <w:i/>
                <w:color w:val="000000"/>
                <w:sz w:val="20"/>
                <w:szCs w:val="20"/>
              </w:rPr>
              <w:t>Ex Ante</w:t>
            </w:r>
          </w:p>
        </w:tc>
      </w:tr>
      <w:tr w:rsidR="005E5865" w:rsidRPr="00195020" w:rsidTr="005025C1">
        <w:tc>
          <w:tcPr>
            <w:tcW w:w="616" w:type="pct"/>
            <w:shd w:val="clear" w:color="auto" w:fill="auto"/>
            <w:vAlign w:val="center"/>
            <w:hideMark/>
          </w:tcPr>
          <w:p w:rsidR="005E5865" w:rsidRPr="00195020" w:rsidRDefault="005E5865" w:rsidP="00B920E7">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Shell</w:t>
            </w:r>
          </w:p>
        </w:tc>
        <w:tc>
          <w:tcPr>
            <w:tcW w:w="933" w:type="pct"/>
            <w:shd w:val="clear" w:color="auto" w:fill="auto"/>
            <w:vAlign w:val="center"/>
            <w:hideMark/>
          </w:tcPr>
          <w:p w:rsidR="005E5865" w:rsidRPr="00195020" w:rsidRDefault="005E5865" w:rsidP="00B920E7">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Air Sealing</w:t>
            </w:r>
          </w:p>
        </w:tc>
        <w:tc>
          <w:tcPr>
            <w:tcW w:w="986" w:type="pct"/>
            <w:shd w:val="clear" w:color="auto" w:fill="auto"/>
            <w:vAlign w:val="center"/>
            <w:hideMark/>
          </w:tcPr>
          <w:p w:rsidR="005E5865" w:rsidRPr="00195020" w:rsidRDefault="005E5865" w:rsidP="00B920E7">
            <w:pPr>
              <w:spacing w:after="0"/>
              <w:jc w:val="right"/>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154</w:t>
            </w:r>
          </w:p>
        </w:tc>
        <w:tc>
          <w:tcPr>
            <w:tcW w:w="701" w:type="pct"/>
            <w:shd w:val="clear" w:color="auto" w:fill="auto"/>
            <w:vAlign w:val="center"/>
            <w:hideMark/>
          </w:tcPr>
          <w:p w:rsidR="005E5865" w:rsidRPr="00195020"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269</w:t>
            </w:r>
          </w:p>
        </w:tc>
        <w:tc>
          <w:tcPr>
            <w:tcW w:w="642" w:type="pct"/>
            <w:shd w:val="clear" w:color="auto" w:fill="auto"/>
            <w:vAlign w:val="center"/>
            <w:hideMark/>
          </w:tcPr>
          <w:p w:rsidR="005E5865" w:rsidRPr="00195020"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175</w:t>
            </w:r>
            <w:r w:rsidRPr="00195020">
              <w:rPr>
                <w:rFonts w:ascii="Calibri" w:eastAsia="Times New Roman" w:hAnsi="Calibri" w:cs="Times New Roman"/>
                <w:color w:val="000000"/>
                <w:sz w:val="20"/>
                <w:szCs w:val="20"/>
              </w:rPr>
              <w:t>%</w:t>
            </w:r>
          </w:p>
        </w:tc>
        <w:tc>
          <w:tcPr>
            <w:tcW w:w="1122" w:type="pct"/>
            <w:shd w:val="clear" w:color="auto" w:fill="auto"/>
            <w:vAlign w:val="center"/>
            <w:hideMark/>
          </w:tcPr>
          <w:p w:rsidR="005E5865" w:rsidRPr="00195020" w:rsidRDefault="005E5865" w:rsidP="00B920E7">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Billing Analysis (±21%)</w:t>
            </w:r>
          </w:p>
        </w:tc>
      </w:tr>
      <w:tr w:rsidR="005E5865" w:rsidRPr="007331E7" w:rsidTr="005025C1">
        <w:tc>
          <w:tcPr>
            <w:tcW w:w="616" w:type="pct"/>
            <w:shd w:val="clear" w:color="auto" w:fill="auto"/>
            <w:vAlign w:val="center"/>
            <w:hideMark/>
          </w:tcPr>
          <w:p w:rsidR="005E5865" w:rsidRPr="00195020" w:rsidRDefault="005E5865" w:rsidP="00B920E7">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Shell</w:t>
            </w:r>
          </w:p>
        </w:tc>
        <w:tc>
          <w:tcPr>
            <w:tcW w:w="933" w:type="pct"/>
            <w:shd w:val="clear" w:color="auto" w:fill="auto"/>
            <w:vAlign w:val="center"/>
            <w:hideMark/>
          </w:tcPr>
          <w:p w:rsidR="005E5865" w:rsidRPr="00195020" w:rsidRDefault="005E5865" w:rsidP="00B920E7">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Insulation Other</w:t>
            </w:r>
          </w:p>
        </w:tc>
        <w:tc>
          <w:tcPr>
            <w:tcW w:w="986" w:type="pct"/>
            <w:shd w:val="clear" w:color="auto" w:fill="auto"/>
            <w:vAlign w:val="center"/>
            <w:hideMark/>
          </w:tcPr>
          <w:p w:rsidR="005E5865" w:rsidRPr="00195020" w:rsidRDefault="005E5865" w:rsidP="00B920E7">
            <w:pPr>
              <w:spacing w:after="0"/>
              <w:jc w:val="right"/>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368</w:t>
            </w:r>
          </w:p>
        </w:tc>
        <w:tc>
          <w:tcPr>
            <w:tcW w:w="701" w:type="pct"/>
            <w:shd w:val="clear" w:color="auto" w:fill="auto"/>
            <w:vAlign w:val="center"/>
            <w:hideMark/>
          </w:tcPr>
          <w:p w:rsidR="005E5865" w:rsidRPr="00195020"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368</w:t>
            </w:r>
          </w:p>
        </w:tc>
        <w:tc>
          <w:tcPr>
            <w:tcW w:w="642" w:type="pct"/>
            <w:shd w:val="clear" w:color="auto" w:fill="auto"/>
            <w:vAlign w:val="center"/>
            <w:hideMark/>
          </w:tcPr>
          <w:p w:rsidR="005E5865" w:rsidRPr="00195020"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r w:rsidRPr="00195020">
              <w:rPr>
                <w:rFonts w:ascii="Calibri" w:eastAsia="Times New Roman" w:hAnsi="Calibri" w:cs="Times New Roman"/>
                <w:color w:val="000000"/>
                <w:sz w:val="20"/>
                <w:szCs w:val="20"/>
              </w:rPr>
              <w:t>%</w:t>
            </w:r>
          </w:p>
        </w:tc>
        <w:tc>
          <w:tcPr>
            <w:tcW w:w="1122"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 xml:space="preserve">Reported </w:t>
            </w:r>
            <w:r w:rsidRPr="00C20399">
              <w:rPr>
                <w:rFonts w:ascii="Calibri" w:eastAsia="Times New Roman" w:hAnsi="Calibri" w:cs="Times New Roman"/>
                <w:i/>
                <w:color w:val="000000"/>
                <w:sz w:val="20"/>
                <w:szCs w:val="20"/>
              </w:rPr>
              <w:t>Ex Ante</w:t>
            </w:r>
          </w:p>
        </w:tc>
      </w:tr>
      <w:tr w:rsidR="005E5865" w:rsidRPr="007331E7" w:rsidTr="005025C1">
        <w:tc>
          <w:tcPr>
            <w:tcW w:w="616"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Shell</w:t>
            </w:r>
          </w:p>
        </w:tc>
        <w:tc>
          <w:tcPr>
            <w:tcW w:w="933"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Windows</w:t>
            </w:r>
          </w:p>
        </w:tc>
        <w:tc>
          <w:tcPr>
            <w:tcW w:w="986" w:type="pct"/>
            <w:shd w:val="clear" w:color="auto" w:fill="auto"/>
            <w:vAlign w:val="center"/>
            <w:hideMark/>
          </w:tcPr>
          <w:p w:rsidR="005E5865" w:rsidRPr="007331E7" w:rsidRDefault="005E5865" w:rsidP="00B920E7">
            <w:pPr>
              <w:spacing w:after="0"/>
              <w:jc w:val="right"/>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3,190</w:t>
            </w:r>
          </w:p>
        </w:tc>
        <w:tc>
          <w:tcPr>
            <w:tcW w:w="701" w:type="pct"/>
            <w:shd w:val="clear" w:color="auto" w:fill="auto"/>
            <w:vAlign w:val="center"/>
            <w:hideMark/>
          </w:tcPr>
          <w:p w:rsidR="005E5865" w:rsidRPr="007331E7"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3,196</w:t>
            </w:r>
          </w:p>
        </w:tc>
        <w:tc>
          <w:tcPr>
            <w:tcW w:w="642" w:type="pct"/>
            <w:shd w:val="clear" w:color="auto" w:fill="auto"/>
            <w:vAlign w:val="center"/>
            <w:hideMark/>
          </w:tcPr>
          <w:p w:rsidR="005E5865" w:rsidRPr="007331E7"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r w:rsidRPr="007331E7">
              <w:rPr>
                <w:rFonts w:ascii="Calibri" w:eastAsia="Times New Roman" w:hAnsi="Calibri" w:cs="Times New Roman"/>
                <w:color w:val="000000"/>
                <w:sz w:val="20"/>
                <w:szCs w:val="20"/>
              </w:rPr>
              <w:t>%</w:t>
            </w:r>
          </w:p>
        </w:tc>
        <w:tc>
          <w:tcPr>
            <w:tcW w:w="1122"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Engineering Algorithm</w:t>
            </w:r>
          </w:p>
        </w:tc>
      </w:tr>
      <w:tr w:rsidR="005E5865" w:rsidRPr="007331E7" w:rsidTr="005025C1">
        <w:tc>
          <w:tcPr>
            <w:tcW w:w="616"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Shell</w:t>
            </w:r>
          </w:p>
        </w:tc>
        <w:tc>
          <w:tcPr>
            <w:tcW w:w="933"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Attic Insulation</w:t>
            </w:r>
          </w:p>
        </w:tc>
        <w:tc>
          <w:tcPr>
            <w:tcW w:w="986" w:type="pct"/>
            <w:shd w:val="clear" w:color="auto" w:fill="auto"/>
            <w:vAlign w:val="center"/>
            <w:hideMark/>
          </w:tcPr>
          <w:p w:rsidR="005E5865" w:rsidRPr="007331E7" w:rsidRDefault="005E5865" w:rsidP="00B920E7">
            <w:pPr>
              <w:spacing w:after="0"/>
              <w:jc w:val="right"/>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708</w:t>
            </w:r>
          </w:p>
        </w:tc>
        <w:tc>
          <w:tcPr>
            <w:tcW w:w="701" w:type="pct"/>
            <w:shd w:val="clear" w:color="auto" w:fill="auto"/>
            <w:vAlign w:val="center"/>
            <w:hideMark/>
          </w:tcPr>
          <w:p w:rsidR="005E5865" w:rsidRPr="007331E7"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481</w:t>
            </w:r>
          </w:p>
        </w:tc>
        <w:tc>
          <w:tcPr>
            <w:tcW w:w="642" w:type="pct"/>
            <w:shd w:val="clear" w:color="auto" w:fill="auto"/>
            <w:vAlign w:val="center"/>
            <w:hideMark/>
          </w:tcPr>
          <w:p w:rsidR="005E5865" w:rsidRPr="007331E7"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68</w:t>
            </w:r>
            <w:r w:rsidRPr="007331E7">
              <w:rPr>
                <w:rFonts w:ascii="Calibri" w:eastAsia="Times New Roman" w:hAnsi="Calibri" w:cs="Times New Roman"/>
                <w:color w:val="000000"/>
                <w:sz w:val="20"/>
                <w:szCs w:val="20"/>
              </w:rPr>
              <w:t>%</w:t>
            </w:r>
          </w:p>
        </w:tc>
        <w:tc>
          <w:tcPr>
            <w:tcW w:w="1122"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Simulation Modeling</w:t>
            </w:r>
          </w:p>
        </w:tc>
      </w:tr>
      <w:tr w:rsidR="005E5865" w:rsidRPr="007331E7" w:rsidTr="005025C1">
        <w:tc>
          <w:tcPr>
            <w:tcW w:w="616"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Shell</w:t>
            </w:r>
          </w:p>
        </w:tc>
        <w:tc>
          <w:tcPr>
            <w:tcW w:w="933"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Wall Insulation</w:t>
            </w:r>
          </w:p>
        </w:tc>
        <w:tc>
          <w:tcPr>
            <w:tcW w:w="986" w:type="pct"/>
            <w:shd w:val="clear" w:color="auto" w:fill="auto"/>
            <w:vAlign w:val="center"/>
            <w:hideMark/>
          </w:tcPr>
          <w:p w:rsidR="005E5865" w:rsidRPr="007331E7" w:rsidRDefault="005E5865" w:rsidP="00B920E7">
            <w:pPr>
              <w:spacing w:after="0"/>
              <w:jc w:val="right"/>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1,876</w:t>
            </w:r>
          </w:p>
        </w:tc>
        <w:tc>
          <w:tcPr>
            <w:tcW w:w="701" w:type="pct"/>
            <w:shd w:val="clear" w:color="auto" w:fill="auto"/>
            <w:vAlign w:val="center"/>
            <w:hideMark/>
          </w:tcPr>
          <w:p w:rsidR="005E5865" w:rsidRPr="007331E7"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1,575</w:t>
            </w:r>
          </w:p>
        </w:tc>
        <w:tc>
          <w:tcPr>
            <w:tcW w:w="642" w:type="pct"/>
            <w:shd w:val="clear" w:color="auto" w:fill="auto"/>
            <w:vAlign w:val="center"/>
            <w:hideMark/>
          </w:tcPr>
          <w:p w:rsidR="005E5865" w:rsidRPr="007331E7"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84</w:t>
            </w:r>
            <w:r w:rsidRPr="007331E7">
              <w:rPr>
                <w:rFonts w:ascii="Calibri" w:eastAsia="Times New Roman" w:hAnsi="Calibri" w:cs="Times New Roman"/>
                <w:color w:val="000000"/>
                <w:sz w:val="20"/>
                <w:szCs w:val="20"/>
              </w:rPr>
              <w:t>%</w:t>
            </w:r>
          </w:p>
        </w:tc>
        <w:tc>
          <w:tcPr>
            <w:tcW w:w="1122"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Simulation Modeling</w:t>
            </w:r>
          </w:p>
        </w:tc>
      </w:tr>
      <w:tr w:rsidR="005E5865" w:rsidRPr="007331E7" w:rsidTr="005025C1">
        <w:tc>
          <w:tcPr>
            <w:tcW w:w="616"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Water Heat</w:t>
            </w:r>
          </w:p>
        </w:tc>
        <w:tc>
          <w:tcPr>
            <w:tcW w:w="933"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Heat Pump Water Heater</w:t>
            </w:r>
          </w:p>
        </w:tc>
        <w:tc>
          <w:tcPr>
            <w:tcW w:w="986" w:type="pct"/>
            <w:shd w:val="clear" w:color="auto" w:fill="auto"/>
            <w:vAlign w:val="center"/>
            <w:hideMark/>
          </w:tcPr>
          <w:p w:rsidR="005E5865" w:rsidRPr="007331E7" w:rsidRDefault="005E5865" w:rsidP="00B920E7">
            <w:pPr>
              <w:spacing w:after="0"/>
              <w:jc w:val="right"/>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1,762</w:t>
            </w:r>
          </w:p>
        </w:tc>
        <w:tc>
          <w:tcPr>
            <w:tcW w:w="701" w:type="pct"/>
            <w:shd w:val="clear" w:color="auto" w:fill="auto"/>
            <w:vAlign w:val="center"/>
            <w:hideMark/>
          </w:tcPr>
          <w:p w:rsidR="005E5865" w:rsidRPr="007331E7"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1,762</w:t>
            </w:r>
          </w:p>
        </w:tc>
        <w:tc>
          <w:tcPr>
            <w:tcW w:w="642" w:type="pct"/>
            <w:shd w:val="clear" w:color="auto" w:fill="auto"/>
            <w:vAlign w:val="center"/>
            <w:hideMark/>
          </w:tcPr>
          <w:p w:rsidR="005E5865" w:rsidRPr="007331E7"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r w:rsidRPr="007331E7">
              <w:rPr>
                <w:rFonts w:ascii="Calibri" w:eastAsia="Times New Roman" w:hAnsi="Calibri" w:cs="Times New Roman"/>
                <w:color w:val="000000"/>
                <w:sz w:val="20"/>
                <w:szCs w:val="20"/>
              </w:rPr>
              <w:t>%</w:t>
            </w:r>
          </w:p>
        </w:tc>
        <w:tc>
          <w:tcPr>
            <w:tcW w:w="1122"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 xml:space="preserve">Reported </w:t>
            </w:r>
            <w:r w:rsidRPr="007331E7">
              <w:rPr>
                <w:rFonts w:ascii="Calibri" w:eastAsia="Times New Roman" w:hAnsi="Calibri" w:cs="Times New Roman"/>
                <w:i/>
                <w:color w:val="000000"/>
                <w:sz w:val="20"/>
                <w:szCs w:val="20"/>
              </w:rPr>
              <w:t>Ex Ante</w:t>
            </w:r>
          </w:p>
        </w:tc>
      </w:tr>
      <w:tr w:rsidR="005E5865" w:rsidRPr="007331E7" w:rsidTr="005025C1">
        <w:tc>
          <w:tcPr>
            <w:tcW w:w="616" w:type="pct"/>
            <w:tcBorders>
              <w:bottom w:val="single" w:sz="4" w:space="0" w:color="BFBFBF"/>
            </w:tcBorders>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Water Heat</w:t>
            </w:r>
          </w:p>
        </w:tc>
        <w:tc>
          <w:tcPr>
            <w:tcW w:w="933" w:type="pct"/>
            <w:tcBorders>
              <w:bottom w:val="single" w:sz="4" w:space="0" w:color="BFBFBF"/>
            </w:tcBorders>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DWH Bundle</w:t>
            </w:r>
          </w:p>
        </w:tc>
        <w:tc>
          <w:tcPr>
            <w:tcW w:w="986" w:type="pct"/>
            <w:tcBorders>
              <w:bottom w:val="single" w:sz="4" w:space="0" w:color="BFBFBF"/>
            </w:tcBorders>
            <w:shd w:val="clear" w:color="auto" w:fill="auto"/>
            <w:vAlign w:val="center"/>
            <w:hideMark/>
          </w:tcPr>
          <w:p w:rsidR="005E5865" w:rsidRPr="007331E7" w:rsidRDefault="005E5865" w:rsidP="00B920E7">
            <w:pPr>
              <w:spacing w:after="0"/>
              <w:jc w:val="right"/>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482</w:t>
            </w:r>
          </w:p>
        </w:tc>
        <w:tc>
          <w:tcPr>
            <w:tcW w:w="701" w:type="pct"/>
            <w:shd w:val="clear" w:color="auto" w:fill="auto"/>
            <w:vAlign w:val="center"/>
            <w:hideMark/>
          </w:tcPr>
          <w:p w:rsidR="005E5865" w:rsidRPr="007331E7"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359</w:t>
            </w:r>
          </w:p>
        </w:tc>
        <w:tc>
          <w:tcPr>
            <w:tcW w:w="642" w:type="pct"/>
            <w:shd w:val="clear" w:color="auto" w:fill="auto"/>
            <w:vAlign w:val="center"/>
            <w:hideMark/>
          </w:tcPr>
          <w:p w:rsidR="005E5865" w:rsidRPr="007331E7" w:rsidRDefault="005E5865"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82</w:t>
            </w:r>
            <w:r w:rsidRPr="007331E7">
              <w:rPr>
                <w:rFonts w:ascii="Calibri" w:eastAsia="Times New Roman" w:hAnsi="Calibri" w:cs="Times New Roman"/>
                <w:color w:val="000000"/>
                <w:sz w:val="20"/>
                <w:szCs w:val="20"/>
              </w:rPr>
              <w:t>%</w:t>
            </w:r>
          </w:p>
        </w:tc>
        <w:tc>
          <w:tcPr>
            <w:tcW w:w="1122" w:type="pct"/>
            <w:shd w:val="clear" w:color="auto" w:fill="auto"/>
            <w:vAlign w:val="center"/>
            <w:hideMark/>
          </w:tcPr>
          <w:p w:rsidR="005E5865" w:rsidRPr="007331E7" w:rsidRDefault="005E5865" w:rsidP="00B920E7">
            <w:pPr>
              <w:spacing w:after="0"/>
              <w:rPr>
                <w:rFonts w:ascii="Calibri" w:eastAsia="Times New Roman" w:hAnsi="Calibri" w:cs="Times New Roman"/>
                <w:color w:val="000000"/>
                <w:sz w:val="20"/>
                <w:szCs w:val="20"/>
              </w:rPr>
            </w:pPr>
            <w:r w:rsidRPr="007331E7">
              <w:rPr>
                <w:rFonts w:ascii="Calibri" w:eastAsia="Times New Roman" w:hAnsi="Calibri" w:cs="Times New Roman"/>
                <w:color w:val="000000"/>
                <w:sz w:val="20"/>
                <w:szCs w:val="20"/>
              </w:rPr>
              <w:t>Billing Analysis (±21%)</w:t>
            </w:r>
          </w:p>
        </w:tc>
      </w:tr>
    </w:tbl>
    <w:p w:rsidR="003F11F6" w:rsidRPr="004863EE" w:rsidRDefault="003F11F6" w:rsidP="005F5E47">
      <w:pPr>
        <w:spacing w:after="0" w:line="240" w:lineRule="auto"/>
        <w:ind w:left="90" w:hanging="90"/>
        <w:rPr>
          <w:rFonts w:ascii="Calibri" w:eastAsia="Times New Roman" w:hAnsi="Calibri" w:cs="Times New Roman"/>
          <w:bCs/>
          <w:sz w:val="20"/>
          <w:szCs w:val="20"/>
        </w:rPr>
      </w:pPr>
      <w:r w:rsidRPr="004863EE">
        <w:rPr>
          <w:rFonts w:ascii="Calibri" w:eastAsia="Times New Roman" w:hAnsi="Calibri" w:cs="Times New Roman"/>
          <w:bCs/>
          <w:sz w:val="20"/>
          <w:szCs w:val="20"/>
        </w:rPr>
        <w:t xml:space="preserve">*Average </w:t>
      </w:r>
      <w:r w:rsidRPr="00296386">
        <w:rPr>
          <w:rFonts w:ascii="Calibri" w:eastAsia="Times New Roman" w:hAnsi="Calibri" w:cs="Times New Roman"/>
          <w:bCs/>
          <w:i/>
          <w:sz w:val="20"/>
          <w:szCs w:val="20"/>
        </w:rPr>
        <w:t>ex ante</w:t>
      </w:r>
      <w:r w:rsidRPr="004863EE">
        <w:rPr>
          <w:rFonts w:ascii="Calibri" w:eastAsia="Times New Roman" w:hAnsi="Calibri" w:cs="Times New Roman"/>
          <w:bCs/>
          <w:sz w:val="20"/>
          <w:szCs w:val="20"/>
        </w:rPr>
        <w:t xml:space="preserve"> savings per household </w:t>
      </w:r>
      <w:r>
        <w:rPr>
          <w:rFonts w:ascii="Calibri" w:eastAsia="Times New Roman" w:hAnsi="Calibri" w:cs="Times New Roman"/>
          <w:bCs/>
          <w:sz w:val="20"/>
          <w:szCs w:val="20"/>
        </w:rPr>
        <w:t>are</w:t>
      </w:r>
      <w:r w:rsidRPr="004863EE">
        <w:rPr>
          <w:rFonts w:ascii="Calibri" w:eastAsia="Times New Roman" w:hAnsi="Calibri" w:cs="Times New Roman"/>
          <w:bCs/>
          <w:sz w:val="20"/>
          <w:szCs w:val="20"/>
        </w:rPr>
        <w:t xml:space="preserve"> </w:t>
      </w:r>
      <w:r>
        <w:rPr>
          <w:rFonts w:ascii="Calibri" w:eastAsia="Times New Roman" w:hAnsi="Calibri" w:cs="Times New Roman"/>
          <w:bCs/>
          <w:sz w:val="20"/>
          <w:szCs w:val="20"/>
        </w:rPr>
        <w:t>the program population, except for measures estimated through billing analysis, which are based on the billing analysis participant sample</w:t>
      </w:r>
      <w:r w:rsidRPr="004863EE">
        <w:rPr>
          <w:rFonts w:ascii="Calibri" w:eastAsia="Times New Roman" w:hAnsi="Calibri" w:cs="Times New Roman"/>
          <w:bCs/>
          <w:sz w:val="20"/>
          <w:szCs w:val="20"/>
        </w:rPr>
        <w:t>.</w:t>
      </w:r>
    </w:p>
    <w:p w:rsidR="003F11F6" w:rsidRDefault="003F11F6" w:rsidP="005F5E47">
      <w:pPr>
        <w:spacing w:after="0" w:line="240" w:lineRule="auto"/>
        <w:ind w:left="180" w:hanging="180"/>
        <w:rPr>
          <w:rFonts w:ascii="Calibri" w:eastAsia="Times New Roman" w:hAnsi="Calibri" w:cs="Times New Roman"/>
          <w:bCs/>
          <w:sz w:val="20"/>
          <w:szCs w:val="20"/>
        </w:rPr>
      </w:pPr>
      <w:r w:rsidRPr="004863EE">
        <w:rPr>
          <w:rFonts w:ascii="Calibri" w:eastAsia="Times New Roman" w:hAnsi="Calibri" w:cs="Times New Roman"/>
          <w:bCs/>
          <w:sz w:val="20"/>
          <w:szCs w:val="20"/>
        </w:rPr>
        <w:t>**While the bi</w:t>
      </w:r>
      <w:r>
        <w:rPr>
          <w:rFonts w:ascii="Calibri" w:eastAsia="Times New Roman" w:hAnsi="Calibri" w:cs="Times New Roman"/>
          <w:bCs/>
          <w:sz w:val="20"/>
          <w:szCs w:val="20"/>
        </w:rPr>
        <w:t>l</w:t>
      </w:r>
      <w:r w:rsidRPr="004863EE">
        <w:rPr>
          <w:rFonts w:ascii="Calibri" w:eastAsia="Times New Roman" w:hAnsi="Calibri" w:cs="Times New Roman"/>
          <w:bCs/>
          <w:sz w:val="20"/>
          <w:szCs w:val="20"/>
        </w:rPr>
        <w:t xml:space="preserve">ling analysis estimate </w:t>
      </w:r>
      <w:r>
        <w:rPr>
          <w:rFonts w:ascii="Calibri" w:eastAsia="Times New Roman" w:hAnsi="Calibri" w:cs="Times New Roman"/>
          <w:bCs/>
          <w:sz w:val="20"/>
          <w:szCs w:val="20"/>
        </w:rPr>
        <w:t xml:space="preserve">falls </w:t>
      </w:r>
      <w:r w:rsidRPr="004863EE">
        <w:rPr>
          <w:rFonts w:ascii="Calibri" w:eastAsia="Times New Roman" w:hAnsi="Calibri" w:cs="Times New Roman"/>
          <w:bCs/>
          <w:sz w:val="20"/>
          <w:szCs w:val="20"/>
        </w:rPr>
        <w:t xml:space="preserve">below </w:t>
      </w:r>
      <w:r w:rsidRPr="00296386">
        <w:rPr>
          <w:rFonts w:ascii="Calibri" w:eastAsia="Times New Roman" w:hAnsi="Calibri" w:cs="Times New Roman"/>
          <w:bCs/>
          <w:i/>
          <w:sz w:val="20"/>
          <w:szCs w:val="20"/>
        </w:rPr>
        <w:t>ex ante</w:t>
      </w:r>
      <w:r w:rsidRPr="004863EE">
        <w:rPr>
          <w:rFonts w:ascii="Calibri" w:eastAsia="Times New Roman" w:hAnsi="Calibri" w:cs="Times New Roman"/>
          <w:bCs/>
          <w:sz w:val="20"/>
          <w:szCs w:val="20"/>
        </w:rPr>
        <w:t xml:space="preserve"> savings for </w:t>
      </w:r>
      <w:r w:rsidR="000146A5">
        <w:rPr>
          <w:rFonts w:ascii="Calibri" w:eastAsia="Times New Roman" w:hAnsi="Calibri" w:cs="Times New Roman"/>
          <w:bCs/>
          <w:sz w:val="20"/>
          <w:szCs w:val="20"/>
        </w:rPr>
        <w:t xml:space="preserve">one of </w:t>
      </w:r>
      <w:r w:rsidRPr="004863EE">
        <w:rPr>
          <w:rFonts w:ascii="Calibri" w:eastAsia="Times New Roman" w:hAnsi="Calibri" w:cs="Times New Roman"/>
          <w:bCs/>
          <w:sz w:val="20"/>
          <w:szCs w:val="20"/>
        </w:rPr>
        <w:t xml:space="preserve">these measures, it should be noted </w:t>
      </w:r>
      <w:r w:rsidR="005F5E47">
        <w:rPr>
          <w:rFonts w:ascii="Calibri" w:eastAsia="Times New Roman" w:hAnsi="Calibri" w:cs="Times New Roman"/>
          <w:bCs/>
          <w:sz w:val="20"/>
          <w:szCs w:val="20"/>
        </w:rPr>
        <w:br/>
      </w:r>
      <w:r w:rsidRPr="004863EE">
        <w:rPr>
          <w:rFonts w:ascii="Calibri" w:eastAsia="Times New Roman" w:hAnsi="Calibri" w:cs="Times New Roman"/>
          <w:bCs/>
          <w:sz w:val="20"/>
          <w:szCs w:val="20"/>
        </w:rPr>
        <w:t xml:space="preserve">that the billing analysis estimate assumes an existing equipment baseline and </w:t>
      </w:r>
      <w:r w:rsidR="000146A5">
        <w:rPr>
          <w:rFonts w:ascii="Calibri" w:eastAsia="Times New Roman" w:hAnsi="Calibri" w:cs="Times New Roman"/>
          <w:bCs/>
          <w:sz w:val="20"/>
          <w:szCs w:val="20"/>
        </w:rPr>
        <w:t xml:space="preserve">may </w:t>
      </w:r>
      <w:r w:rsidRPr="004863EE">
        <w:rPr>
          <w:rFonts w:ascii="Calibri" w:eastAsia="Times New Roman" w:hAnsi="Calibri" w:cs="Times New Roman"/>
          <w:bCs/>
          <w:sz w:val="20"/>
          <w:szCs w:val="20"/>
        </w:rPr>
        <w:t>overstate savings for these measures</w:t>
      </w:r>
      <w:r>
        <w:rPr>
          <w:rFonts w:ascii="Calibri" w:eastAsia="Times New Roman" w:hAnsi="Calibri" w:cs="Times New Roman"/>
          <w:bCs/>
          <w:sz w:val="20"/>
          <w:szCs w:val="20"/>
        </w:rPr>
        <w:t>.</w:t>
      </w:r>
    </w:p>
    <w:p w:rsidR="007331E7" w:rsidRDefault="007331E7" w:rsidP="00B920E7">
      <w:pPr>
        <w:pStyle w:val="NormalAfterTablesandFigures"/>
      </w:pPr>
    </w:p>
    <w:p w:rsidR="002C285E" w:rsidRDefault="002C285E" w:rsidP="002C285E">
      <w:pPr>
        <w:pStyle w:val="Caption"/>
        <w:pageBreakBefore/>
      </w:pPr>
      <w:bookmarkStart w:id="54" w:name="_Ref388621185"/>
      <w:r>
        <w:lastRenderedPageBreak/>
        <w:t xml:space="preserve">Table </w:t>
      </w:r>
      <w:r w:rsidR="002506E1">
        <w:fldChar w:fldCharType="begin"/>
      </w:r>
      <w:r w:rsidR="002506E1">
        <w:instrText xml:space="preserve"> SEQ Table \* ARABIC </w:instrText>
      </w:r>
      <w:r w:rsidR="002506E1">
        <w:fldChar w:fldCharType="separate"/>
      </w:r>
      <w:r w:rsidR="00CD20CF">
        <w:rPr>
          <w:noProof/>
        </w:rPr>
        <w:t>16</w:t>
      </w:r>
      <w:r w:rsidR="002506E1">
        <w:rPr>
          <w:noProof/>
        </w:rPr>
        <w:fldChar w:fldCharType="end"/>
      </w:r>
      <w:bookmarkEnd w:id="54"/>
      <w:r>
        <w:t xml:space="preserve">. Comparison of </w:t>
      </w:r>
      <w:r w:rsidRPr="00CF4F75">
        <w:rPr>
          <w:i/>
        </w:rPr>
        <w:t>Ex Ante</w:t>
      </w:r>
      <w:r>
        <w:t xml:space="preserve"> and </w:t>
      </w:r>
      <w:r w:rsidR="005025C1">
        <w:t>Evaluated</w:t>
      </w:r>
      <w:r>
        <w:t xml:space="preserve"> Gross Savings by Measure</w:t>
      </w:r>
      <w:r w:rsidR="005F5E47">
        <w:t>—</w:t>
      </w:r>
      <w:r>
        <w:t>HES Gas</w:t>
      </w:r>
    </w:p>
    <w:tbl>
      <w:tblPr>
        <w:tblW w:w="5000" w:type="pct"/>
        <w:tblLook w:val="04A0" w:firstRow="1" w:lastRow="0" w:firstColumn="1" w:lastColumn="0" w:noHBand="0" w:noVBand="1"/>
      </w:tblPr>
      <w:tblGrid>
        <w:gridCol w:w="1187"/>
        <w:gridCol w:w="1793"/>
        <w:gridCol w:w="1808"/>
        <w:gridCol w:w="1350"/>
        <w:gridCol w:w="1283"/>
        <w:gridCol w:w="2155"/>
      </w:tblGrid>
      <w:tr w:rsidR="003F11F6" w:rsidRPr="003F11F6" w:rsidTr="00B920E7">
        <w:tc>
          <w:tcPr>
            <w:tcW w:w="620"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3F11F6" w:rsidRPr="003F11F6" w:rsidRDefault="003F11F6" w:rsidP="00B920E7">
            <w:pPr>
              <w:spacing w:after="0"/>
              <w:jc w:val="center"/>
              <w:rPr>
                <w:rFonts w:ascii="Calibri" w:eastAsia="Times New Roman" w:hAnsi="Calibri" w:cs="Times New Roman"/>
                <w:b/>
                <w:bCs/>
                <w:color w:val="FFFFFF"/>
              </w:rPr>
            </w:pPr>
            <w:r w:rsidRPr="003F11F6">
              <w:rPr>
                <w:rFonts w:ascii="Calibri" w:eastAsia="Times New Roman" w:hAnsi="Calibri" w:cs="Times New Roman"/>
                <w:b/>
                <w:bCs/>
                <w:color w:val="FFFFFF"/>
              </w:rPr>
              <w:t>Category</w:t>
            </w:r>
          </w:p>
        </w:tc>
        <w:tc>
          <w:tcPr>
            <w:tcW w:w="936"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3F11F6" w:rsidRPr="003F11F6" w:rsidRDefault="003F11F6" w:rsidP="00B920E7">
            <w:pPr>
              <w:spacing w:after="0"/>
              <w:jc w:val="center"/>
              <w:rPr>
                <w:rFonts w:ascii="Calibri" w:eastAsia="Times New Roman" w:hAnsi="Calibri" w:cs="Times New Roman"/>
                <w:b/>
                <w:bCs/>
                <w:color w:val="FFFFFF"/>
              </w:rPr>
            </w:pPr>
            <w:r w:rsidRPr="003F11F6">
              <w:rPr>
                <w:rFonts w:ascii="Calibri" w:eastAsia="Times New Roman" w:hAnsi="Calibri" w:cs="Times New Roman"/>
                <w:b/>
                <w:bCs/>
                <w:color w:val="FFFFFF"/>
              </w:rPr>
              <w:t>Measure</w:t>
            </w:r>
          </w:p>
        </w:tc>
        <w:tc>
          <w:tcPr>
            <w:tcW w:w="944"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3F11F6" w:rsidRPr="003F11F6" w:rsidRDefault="003F11F6" w:rsidP="00B920E7">
            <w:pPr>
              <w:spacing w:after="0"/>
              <w:jc w:val="center"/>
              <w:rPr>
                <w:rFonts w:ascii="Calibri" w:eastAsia="Times New Roman" w:hAnsi="Calibri" w:cs="Times New Roman"/>
                <w:b/>
                <w:bCs/>
                <w:color w:val="FFFFFF"/>
              </w:rPr>
            </w:pPr>
            <w:r w:rsidRPr="003F11F6">
              <w:rPr>
                <w:rFonts w:ascii="Calibri" w:eastAsia="Times New Roman" w:hAnsi="Calibri" w:cs="Times New Roman"/>
                <w:b/>
                <w:bCs/>
                <w:color w:val="FFFFFF"/>
              </w:rPr>
              <w:t xml:space="preserve">Reported </w:t>
            </w:r>
            <w:r w:rsidRPr="003F11F6">
              <w:rPr>
                <w:rFonts w:ascii="Calibri" w:eastAsia="Times New Roman" w:hAnsi="Calibri" w:cs="Times New Roman"/>
                <w:b/>
                <w:bCs/>
                <w:i/>
                <w:color w:val="FFFFFF"/>
              </w:rPr>
              <w:t>Ex ante</w:t>
            </w:r>
            <w:r w:rsidRPr="003F11F6">
              <w:rPr>
                <w:rFonts w:ascii="Calibri" w:eastAsia="Times New Roman" w:hAnsi="Calibri" w:cs="Times New Roman"/>
                <w:b/>
                <w:bCs/>
                <w:color w:val="FFFFFF"/>
              </w:rPr>
              <w:t xml:space="preserve"> Savings (CCF / Household) *</w:t>
            </w:r>
            <w:r w:rsidRPr="003F11F6">
              <w:rPr>
                <w:rFonts w:ascii="Calibri" w:eastAsia="Times New Roman" w:hAnsi="Calibri" w:cs="Times New Roman"/>
                <w:b/>
                <w:bCs/>
                <w:color w:val="FFFFFF"/>
              </w:rPr>
              <w:br/>
              <w:t>(A)</w:t>
            </w:r>
          </w:p>
        </w:tc>
        <w:tc>
          <w:tcPr>
            <w:tcW w:w="705"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3F11F6" w:rsidRPr="003F11F6" w:rsidRDefault="003F11F6" w:rsidP="005025C1">
            <w:pPr>
              <w:spacing w:after="0"/>
              <w:jc w:val="center"/>
              <w:rPr>
                <w:rFonts w:ascii="Calibri" w:eastAsia="Times New Roman" w:hAnsi="Calibri" w:cs="Times New Roman"/>
                <w:b/>
                <w:bCs/>
                <w:color w:val="FFFFFF"/>
              </w:rPr>
            </w:pPr>
            <w:r w:rsidRPr="003F11F6">
              <w:rPr>
                <w:rFonts w:ascii="Calibri" w:eastAsia="Times New Roman" w:hAnsi="Calibri" w:cs="Times New Roman"/>
                <w:b/>
                <w:bCs/>
                <w:color w:val="FFFFFF"/>
              </w:rPr>
              <w:t>Gross</w:t>
            </w:r>
            <w:r w:rsidR="005025C1">
              <w:rPr>
                <w:rFonts w:ascii="Calibri" w:eastAsia="Times New Roman" w:hAnsi="Calibri" w:cs="Times New Roman"/>
                <w:b/>
                <w:bCs/>
                <w:color w:val="FFFFFF"/>
              </w:rPr>
              <w:t xml:space="preserve"> Savings (CCF/ Household)</w:t>
            </w:r>
            <w:r w:rsidRPr="003F11F6">
              <w:rPr>
                <w:rFonts w:ascii="Calibri" w:eastAsia="Times New Roman" w:hAnsi="Calibri" w:cs="Times New Roman"/>
                <w:b/>
                <w:bCs/>
                <w:color w:val="FFFFFF"/>
              </w:rPr>
              <w:br/>
              <w:t>(B)</w:t>
            </w:r>
          </w:p>
        </w:tc>
        <w:tc>
          <w:tcPr>
            <w:tcW w:w="670"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3F11F6" w:rsidRPr="003F11F6" w:rsidRDefault="005025C1" w:rsidP="005025C1">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Realization Rate</w:t>
            </w:r>
            <w:r w:rsidR="003F11F6" w:rsidRPr="003F11F6">
              <w:rPr>
                <w:rFonts w:ascii="Calibri" w:eastAsia="Times New Roman" w:hAnsi="Calibri" w:cs="Times New Roman"/>
                <w:b/>
                <w:bCs/>
                <w:color w:val="FFFFFF"/>
              </w:rPr>
              <w:t xml:space="preserve"> </w:t>
            </w:r>
            <w:r w:rsidR="003F11F6" w:rsidRPr="003F11F6">
              <w:rPr>
                <w:rFonts w:ascii="Calibri" w:eastAsia="Times New Roman" w:hAnsi="Calibri" w:cs="Times New Roman"/>
                <w:b/>
                <w:bCs/>
                <w:color w:val="FFFFFF"/>
              </w:rPr>
              <w:br/>
              <w:t>(B/A)</w:t>
            </w:r>
          </w:p>
        </w:tc>
        <w:tc>
          <w:tcPr>
            <w:tcW w:w="1125"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3F11F6" w:rsidRPr="003F11F6" w:rsidRDefault="003F11F6" w:rsidP="00B920E7">
            <w:pPr>
              <w:spacing w:after="0"/>
              <w:jc w:val="center"/>
              <w:rPr>
                <w:rFonts w:ascii="Calibri" w:eastAsia="Times New Roman" w:hAnsi="Calibri" w:cs="Times New Roman"/>
                <w:b/>
                <w:bCs/>
                <w:color w:val="FFFFFF"/>
              </w:rPr>
            </w:pPr>
            <w:r w:rsidRPr="003F11F6">
              <w:rPr>
                <w:rFonts w:ascii="Calibri" w:eastAsia="Times New Roman" w:hAnsi="Calibri" w:cs="Times New Roman"/>
                <w:b/>
                <w:bCs/>
                <w:color w:val="FFFFFF"/>
              </w:rPr>
              <w:t>Method</w:t>
            </w:r>
          </w:p>
        </w:tc>
      </w:tr>
      <w:tr w:rsidR="00A01111" w:rsidRPr="003F11F6" w:rsidTr="00B920E7">
        <w:tc>
          <w:tcPr>
            <w:tcW w:w="62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Appliance</w:t>
            </w:r>
          </w:p>
        </w:tc>
        <w:tc>
          <w:tcPr>
            <w:tcW w:w="93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Clothes Washer</w:t>
            </w:r>
          </w:p>
        </w:tc>
        <w:tc>
          <w:tcPr>
            <w:tcW w:w="944"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20</w:t>
            </w:r>
          </w:p>
        </w:tc>
        <w:tc>
          <w:tcPr>
            <w:tcW w:w="70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67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w:t>
            </w:r>
          </w:p>
        </w:tc>
        <w:tc>
          <w:tcPr>
            <w:tcW w:w="112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Engineering Algorithm</w:t>
            </w:r>
          </w:p>
        </w:tc>
      </w:tr>
      <w:tr w:rsidR="00A01111" w:rsidRPr="003F11F6" w:rsidTr="00B920E7">
        <w:tc>
          <w:tcPr>
            <w:tcW w:w="62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HVAC</w:t>
            </w:r>
          </w:p>
        </w:tc>
        <w:tc>
          <w:tcPr>
            <w:tcW w:w="93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Duct Sealing</w:t>
            </w:r>
          </w:p>
        </w:tc>
        <w:tc>
          <w:tcPr>
            <w:tcW w:w="944"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jc w:val="right"/>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45</w:t>
            </w:r>
          </w:p>
        </w:tc>
        <w:tc>
          <w:tcPr>
            <w:tcW w:w="70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E350B3">
            <w:pPr>
              <w:spacing w:after="0"/>
              <w:jc w:val="right"/>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19</w:t>
            </w:r>
          </w:p>
        </w:tc>
        <w:tc>
          <w:tcPr>
            <w:tcW w:w="67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42</w:t>
            </w:r>
            <w:r w:rsidRPr="003F11F6">
              <w:rPr>
                <w:rFonts w:ascii="Calibri" w:eastAsia="Times New Roman" w:hAnsi="Calibri" w:cs="Times New Roman"/>
                <w:color w:val="000000"/>
                <w:sz w:val="20"/>
                <w:szCs w:val="20"/>
              </w:rPr>
              <w:t>%</w:t>
            </w:r>
          </w:p>
        </w:tc>
        <w:tc>
          <w:tcPr>
            <w:tcW w:w="112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Simulation Modeling</w:t>
            </w:r>
          </w:p>
        </w:tc>
      </w:tr>
      <w:tr w:rsidR="00A01111" w:rsidRPr="003F11F6" w:rsidTr="00B920E7">
        <w:tc>
          <w:tcPr>
            <w:tcW w:w="62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195020" w:rsidRDefault="00A01111" w:rsidP="00B920E7">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HVAC</w:t>
            </w:r>
          </w:p>
        </w:tc>
        <w:tc>
          <w:tcPr>
            <w:tcW w:w="93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195020" w:rsidRDefault="009930BF" w:rsidP="00B920E7">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Heating System Replacement</w:t>
            </w:r>
          </w:p>
        </w:tc>
        <w:tc>
          <w:tcPr>
            <w:tcW w:w="944"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195020" w:rsidRDefault="00A01111" w:rsidP="00B920E7">
            <w:pPr>
              <w:spacing w:after="0"/>
              <w:jc w:val="right"/>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1,004</w:t>
            </w:r>
          </w:p>
        </w:tc>
        <w:tc>
          <w:tcPr>
            <w:tcW w:w="70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195020" w:rsidRDefault="00A01111" w:rsidP="00E350B3">
            <w:pPr>
              <w:spacing w:after="0"/>
              <w:jc w:val="right"/>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2</w:t>
            </w:r>
            <w:r>
              <w:rPr>
                <w:rFonts w:ascii="Calibri" w:eastAsia="Times New Roman" w:hAnsi="Calibri" w:cs="Times New Roman"/>
                <w:color w:val="000000"/>
                <w:sz w:val="20"/>
                <w:szCs w:val="20"/>
              </w:rPr>
              <w:t>29</w:t>
            </w:r>
          </w:p>
        </w:tc>
        <w:tc>
          <w:tcPr>
            <w:tcW w:w="67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195020"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23</w:t>
            </w:r>
            <w:r w:rsidRPr="00195020">
              <w:rPr>
                <w:rFonts w:ascii="Calibri" w:eastAsia="Times New Roman" w:hAnsi="Calibri" w:cs="Times New Roman"/>
                <w:color w:val="000000"/>
                <w:sz w:val="20"/>
                <w:szCs w:val="20"/>
              </w:rPr>
              <w:t>%</w:t>
            </w:r>
          </w:p>
        </w:tc>
        <w:tc>
          <w:tcPr>
            <w:tcW w:w="112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195020" w:rsidRDefault="00A01111" w:rsidP="00B920E7">
            <w:pPr>
              <w:spacing w:after="0"/>
              <w:rPr>
                <w:rFonts w:ascii="Calibri" w:eastAsia="Times New Roman" w:hAnsi="Calibri" w:cs="Times New Roman"/>
                <w:color w:val="000000"/>
                <w:sz w:val="20"/>
                <w:szCs w:val="20"/>
              </w:rPr>
            </w:pPr>
            <w:r w:rsidRPr="00195020">
              <w:rPr>
                <w:rFonts w:ascii="Calibri" w:eastAsia="Times New Roman" w:hAnsi="Calibri" w:cs="Times New Roman"/>
                <w:color w:val="000000"/>
                <w:sz w:val="20"/>
                <w:szCs w:val="20"/>
              </w:rPr>
              <w:t>Engineering Algorithm</w:t>
            </w:r>
          </w:p>
        </w:tc>
      </w:tr>
      <w:tr w:rsidR="00A01111" w:rsidRPr="003F11F6" w:rsidTr="00B920E7">
        <w:tc>
          <w:tcPr>
            <w:tcW w:w="62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Shell</w:t>
            </w:r>
          </w:p>
        </w:tc>
        <w:tc>
          <w:tcPr>
            <w:tcW w:w="93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Air Sealing</w:t>
            </w:r>
          </w:p>
        </w:tc>
        <w:tc>
          <w:tcPr>
            <w:tcW w:w="944"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jc w:val="right"/>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62</w:t>
            </w:r>
          </w:p>
        </w:tc>
        <w:tc>
          <w:tcPr>
            <w:tcW w:w="70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57</w:t>
            </w:r>
          </w:p>
        </w:tc>
        <w:tc>
          <w:tcPr>
            <w:tcW w:w="67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91</w:t>
            </w:r>
            <w:r w:rsidRPr="003F11F6">
              <w:rPr>
                <w:rFonts w:ascii="Calibri" w:eastAsia="Times New Roman" w:hAnsi="Calibri" w:cs="Times New Roman"/>
                <w:color w:val="000000"/>
                <w:sz w:val="20"/>
                <w:szCs w:val="20"/>
              </w:rPr>
              <w:t>%</w:t>
            </w:r>
          </w:p>
        </w:tc>
        <w:tc>
          <w:tcPr>
            <w:tcW w:w="112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Billing Analysis (±14%)</w:t>
            </w:r>
          </w:p>
        </w:tc>
      </w:tr>
      <w:tr w:rsidR="00A01111" w:rsidRPr="003F11F6" w:rsidTr="00B920E7">
        <w:tc>
          <w:tcPr>
            <w:tcW w:w="62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Shell</w:t>
            </w:r>
          </w:p>
        </w:tc>
        <w:tc>
          <w:tcPr>
            <w:tcW w:w="93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Insulation Other</w:t>
            </w:r>
          </w:p>
        </w:tc>
        <w:tc>
          <w:tcPr>
            <w:tcW w:w="944"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jc w:val="right"/>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175</w:t>
            </w:r>
          </w:p>
        </w:tc>
        <w:tc>
          <w:tcPr>
            <w:tcW w:w="70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175</w:t>
            </w:r>
          </w:p>
        </w:tc>
        <w:tc>
          <w:tcPr>
            <w:tcW w:w="67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r w:rsidRPr="003F11F6">
              <w:rPr>
                <w:rFonts w:ascii="Calibri" w:eastAsia="Times New Roman" w:hAnsi="Calibri" w:cs="Times New Roman"/>
                <w:color w:val="000000"/>
                <w:sz w:val="20"/>
                <w:szCs w:val="20"/>
              </w:rPr>
              <w:t>%</w:t>
            </w:r>
          </w:p>
        </w:tc>
        <w:tc>
          <w:tcPr>
            <w:tcW w:w="112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 xml:space="preserve">Reported </w:t>
            </w:r>
            <w:r w:rsidRPr="003F11F6">
              <w:rPr>
                <w:rFonts w:ascii="Calibri" w:eastAsia="Times New Roman" w:hAnsi="Calibri" w:cs="Times New Roman"/>
                <w:i/>
                <w:color w:val="000000"/>
                <w:sz w:val="20"/>
                <w:szCs w:val="20"/>
              </w:rPr>
              <w:t>Ex Ante</w:t>
            </w:r>
          </w:p>
        </w:tc>
      </w:tr>
      <w:tr w:rsidR="00A01111" w:rsidRPr="003F11F6" w:rsidTr="00B920E7">
        <w:tc>
          <w:tcPr>
            <w:tcW w:w="62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Shell</w:t>
            </w:r>
          </w:p>
        </w:tc>
        <w:tc>
          <w:tcPr>
            <w:tcW w:w="93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Windows</w:t>
            </w:r>
          </w:p>
        </w:tc>
        <w:tc>
          <w:tcPr>
            <w:tcW w:w="944"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jc w:val="right"/>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136</w:t>
            </w:r>
          </w:p>
        </w:tc>
        <w:tc>
          <w:tcPr>
            <w:tcW w:w="70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147</w:t>
            </w:r>
          </w:p>
        </w:tc>
        <w:tc>
          <w:tcPr>
            <w:tcW w:w="67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108</w:t>
            </w:r>
            <w:r w:rsidRPr="003F11F6">
              <w:rPr>
                <w:rFonts w:ascii="Calibri" w:eastAsia="Times New Roman" w:hAnsi="Calibri" w:cs="Times New Roman"/>
                <w:color w:val="000000"/>
                <w:sz w:val="20"/>
                <w:szCs w:val="20"/>
              </w:rPr>
              <w:t>%</w:t>
            </w:r>
          </w:p>
        </w:tc>
        <w:tc>
          <w:tcPr>
            <w:tcW w:w="112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Engineering Algorithm</w:t>
            </w:r>
          </w:p>
        </w:tc>
      </w:tr>
      <w:tr w:rsidR="00A01111" w:rsidRPr="003F11F6" w:rsidTr="00B920E7">
        <w:tc>
          <w:tcPr>
            <w:tcW w:w="62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Shell</w:t>
            </w:r>
          </w:p>
        </w:tc>
        <w:tc>
          <w:tcPr>
            <w:tcW w:w="93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Attic Insulation</w:t>
            </w:r>
          </w:p>
        </w:tc>
        <w:tc>
          <w:tcPr>
            <w:tcW w:w="944"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jc w:val="right"/>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179</w:t>
            </w:r>
          </w:p>
        </w:tc>
        <w:tc>
          <w:tcPr>
            <w:tcW w:w="70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135</w:t>
            </w:r>
          </w:p>
        </w:tc>
        <w:tc>
          <w:tcPr>
            <w:tcW w:w="67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76</w:t>
            </w:r>
            <w:r w:rsidRPr="003F11F6">
              <w:rPr>
                <w:rFonts w:ascii="Calibri" w:eastAsia="Times New Roman" w:hAnsi="Calibri" w:cs="Times New Roman"/>
                <w:color w:val="000000"/>
                <w:sz w:val="20"/>
                <w:szCs w:val="20"/>
              </w:rPr>
              <w:t>%</w:t>
            </w:r>
          </w:p>
        </w:tc>
        <w:tc>
          <w:tcPr>
            <w:tcW w:w="112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Simulation Modeling</w:t>
            </w:r>
          </w:p>
        </w:tc>
      </w:tr>
      <w:tr w:rsidR="00A01111" w:rsidRPr="003F11F6" w:rsidTr="00B920E7">
        <w:tc>
          <w:tcPr>
            <w:tcW w:w="62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Shell</w:t>
            </w:r>
          </w:p>
        </w:tc>
        <w:tc>
          <w:tcPr>
            <w:tcW w:w="93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Wall Insulation</w:t>
            </w:r>
          </w:p>
        </w:tc>
        <w:tc>
          <w:tcPr>
            <w:tcW w:w="944"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jc w:val="right"/>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449</w:t>
            </w:r>
          </w:p>
        </w:tc>
        <w:tc>
          <w:tcPr>
            <w:tcW w:w="70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224</w:t>
            </w:r>
          </w:p>
        </w:tc>
        <w:tc>
          <w:tcPr>
            <w:tcW w:w="67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50</w:t>
            </w:r>
            <w:r w:rsidRPr="003F11F6">
              <w:rPr>
                <w:rFonts w:ascii="Calibri" w:eastAsia="Times New Roman" w:hAnsi="Calibri" w:cs="Times New Roman"/>
                <w:color w:val="000000"/>
                <w:sz w:val="20"/>
                <w:szCs w:val="20"/>
              </w:rPr>
              <w:t>%</w:t>
            </w:r>
          </w:p>
        </w:tc>
        <w:tc>
          <w:tcPr>
            <w:tcW w:w="112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Simulation Modeling</w:t>
            </w:r>
          </w:p>
        </w:tc>
      </w:tr>
      <w:tr w:rsidR="00A01111" w:rsidRPr="003F11F6" w:rsidTr="00B920E7">
        <w:tc>
          <w:tcPr>
            <w:tcW w:w="62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Water Heat</w:t>
            </w:r>
          </w:p>
        </w:tc>
        <w:tc>
          <w:tcPr>
            <w:tcW w:w="93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Water Heater Replacement</w:t>
            </w:r>
          </w:p>
        </w:tc>
        <w:tc>
          <w:tcPr>
            <w:tcW w:w="944"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jc w:val="right"/>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56</w:t>
            </w:r>
          </w:p>
        </w:tc>
        <w:tc>
          <w:tcPr>
            <w:tcW w:w="70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56</w:t>
            </w:r>
          </w:p>
        </w:tc>
        <w:tc>
          <w:tcPr>
            <w:tcW w:w="67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r w:rsidRPr="003F11F6">
              <w:rPr>
                <w:rFonts w:ascii="Calibri" w:eastAsia="Times New Roman" w:hAnsi="Calibri" w:cs="Times New Roman"/>
                <w:color w:val="000000"/>
                <w:sz w:val="20"/>
                <w:szCs w:val="20"/>
              </w:rPr>
              <w:t>%</w:t>
            </w:r>
          </w:p>
        </w:tc>
        <w:tc>
          <w:tcPr>
            <w:tcW w:w="112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 xml:space="preserve">Reported </w:t>
            </w:r>
            <w:r w:rsidRPr="003F11F6">
              <w:rPr>
                <w:rFonts w:ascii="Calibri" w:eastAsia="Times New Roman" w:hAnsi="Calibri" w:cs="Times New Roman"/>
                <w:i/>
                <w:color w:val="000000"/>
                <w:sz w:val="20"/>
                <w:szCs w:val="20"/>
              </w:rPr>
              <w:t>Ex Ante</w:t>
            </w:r>
          </w:p>
        </w:tc>
      </w:tr>
      <w:tr w:rsidR="00A01111" w:rsidRPr="003F11F6" w:rsidTr="005F5E47">
        <w:tc>
          <w:tcPr>
            <w:tcW w:w="62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Water Heat</w:t>
            </w:r>
          </w:p>
        </w:tc>
        <w:tc>
          <w:tcPr>
            <w:tcW w:w="93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DWH Bundle</w:t>
            </w:r>
          </w:p>
        </w:tc>
        <w:tc>
          <w:tcPr>
            <w:tcW w:w="944"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jc w:val="right"/>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17</w:t>
            </w:r>
          </w:p>
        </w:tc>
        <w:tc>
          <w:tcPr>
            <w:tcW w:w="70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E350B3">
            <w:pPr>
              <w:spacing w:after="0"/>
              <w:jc w:val="right"/>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14</w:t>
            </w:r>
          </w:p>
        </w:tc>
        <w:tc>
          <w:tcPr>
            <w:tcW w:w="67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84</w:t>
            </w:r>
            <w:r w:rsidRPr="003F11F6">
              <w:rPr>
                <w:rFonts w:ascii="Calibri" w:eastAsia="Times New Roman" w:hAnsi="Calibri" w:cs="Times New Roman"/>
                <w:color w:val="000000"/>
                <w:sz w:val="20"/>
                <w:szCs w:val="20"/>
              </w:rPr>
              <w:t>%</w:t>
            </w:r>
          </w:p>
        </w:tc>
        <w:tc>
          <w:tcPr>
            <w:tcW w:w="112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01111" w:rsidRPr="003F11F6" w:rsidRDefault="00A01111" w:rsidP="00B920E7">
            <w:pPr>
              <w:spacing w:after="0"/>
              <w:rPr>
                <w:rFonts w:ascii="Calibri" w:eastAsia="Times New Roman" w:hAnsi="Calibri" w:cs="Times New Roman"/>
                <w:color w:val="000000"/>
                <w:sz w:val="20"/>
                <w:szCs w:val="20"/>
              </w:rPr>
            </w:pPr>
            <w:r w:rsidRPr="003F11F6">
              <w:rPr>
                <w:rFonts w:ascii="Calibri" w:eastAsia="Times New Roman" w:hAnsi="Calibri" w:cs="Times New Roman"/>
                <w:color w:val="000000"/>
                <w:sz w:val="20"/>
                <w:szCs w:val="20"/>
              </w:rPr>
              <w:t>Engineering Algorithm</w:t>
            </w:r>
          </w:p>
        </w:tc>
      </w:tr>
    </w:tbl>
    <w:p w:rsidR="00C20399" w:rsidRPr="004863EE" w:rsidRDefault="00C20399" w:rsidP="00B920E7">
      <w:pPr>
        <w:spacing w:after="0" w:line="240" w:lineRule="auto"/>
        <w:ind w:left="90" w:hanging="90"/>
        <w:rPr>
          <w:rFonts w:ascii="Calibri" w:eastAsia="Times New Roman" w:hAnsi="Calibri" w:cs="Times New Roman"/>
          <w:bCs/>
          <w:sz w:val="20"/>
          <w:szCs w:val="20"/>
        </w:rPr>
      </w:pPr>
      <w:r w:rsidRPr="004863EE">
        <w:rPr>
          <w:rFonts w:ascii="Calibri" w:eastAsia="Times New Roman" w:hAnsi="Calibri" w:cs="Times New Roman"/>
          <w:bCs/>
          <w:sz w:val="20"/>
          <w:szCs w:val="20"/>
        </w:rPr>
        <w:t xml:space="preserve">*Average </w:t>
      </w:r>
      <w:r w:rsidRPr="00296386">
        <w:rPr>
          <w:rFonts w:ascii="Calibri" w:eastAsia="Times New Roman" w:hAnsi="Calibri" w:cs="Times New Roman"/>
          <w:bCs/>
          <w:i/>
          <w:sz w:val="20"/>
          <w:szCs w:val="20"/>
        </w:rPr>
        <w:t>ex ante</w:t>
      </w:r>
      <w:r w:rsidRPr="004863EE">
        <w:rPr>
          <w:rFonts w:ascii="Calibri" w:eastAsia="Times New Roman" w:hAnsi="Calibri" w:cs="Times New Roman"/>
          <w:bCs/>
          <w:sz w:val="20"/>
          <w:szCs w:val="20"/>
        </w:rPr>
        <w:t xml:space="preserve"> savings per household </w:t>
      </w:r>
      <w:r>
        <w:rPr>
          <w:rFonts w:ascii="Calibri" w:eastAsia="Times New Roman" w:hAnsi="Calibri" w:cs="Times New Roman"/>
          <w:bCs/>
          <w:sz w:val="20"/>
          <w:szCs w:val="20"/>
        </w:rPr>
        <w:t>are</w:t>
      </w:r>
      <w:r w:rsidRPr="004863EE">
        <w:rPr>
          <w:rFonts w:ascii="Calibri" w:eastAsia="Times New Roman" w:hAnsi="Calibri" w:cs="Times New Roman"/>
          <w:bCs/>
          <w:sz w:val="20"/>
          <w:szCs w:val="20"/>
        </w:rPr>
        <w:t xml:space="preserve"> </w:t>
      </w:r>
      <w:r w:rsidR="00CF4F75">
        <w:rPr>
          <w:rFonts w:ascii="Calibri" w:eastAsia="Times New Roman" w:hAnsi="Calibri" w:cs="Times New Roman"/>
          <w:bCs/>
          <w:sz w:val="20"/>
          <w:szCs w:val="20"/>
        </w:rPr>
        <w:t xml:space="preserve">based on </w:t>
      </w:r>
      <w:r>
        <w:rPr>
          <w:rFonts w:ascii="Calibri" w:eastAsia="Times New Roman" w:hAnsi="Calibri" w:cs="Times New Roman"/>
          <w:bCs/>
          <w:sz w:val="20"/>
          <w:szCs w:val="20"/>
        </w:rPr>
        <w:t>the program population, except for measures estimated through billing analysis, which are based on the billing analysis participant sample</w:t>
      </w:r>
      <w:r w:rsidRPr="004863EE">
        <w:rPr>
          <w:rFonts w:ascii="Calibri" w:eastAsia="Times New Roman" w:hAnsi="Calibri" w:cs="Times New Roman"/>
          <w:bCs/>
          <w:sz w:val="20"/>
          <w:szCs w:val="20"/>
        </w:rPr>
        <w:t>.</w:t>
      </w:r>
    </w:p>
    <w:p w:rsidR="002C285E" w:rsidRDefault="002C285E" w:rsidP="00027A6F">
      <w:pPr>
        <w:pStyle w:val="NormalAfterTablesandFigures"/>
      </w:pPr>
    </w:p>
    <w:p w:rsidR="009952E3" w:rsidRDefault="0096060F" w:rsidP="009952E3">
      <w:pPr>
        <w:pStyle w:val="Heading2"/>
      </w:pPr>
      <w:bookmarkStart w:id="55" w:name="_Toc389663845"/>
      <w:r>
        <w:t xml:space="preserve">Measure-Level </w:t>
      </w:r>
      <w:r w:rsidR="00977022">
        <w:t>Savings</w:t>
      </w:r>
      <w:bookmarkEnd w:id="55"/>
    </w:p>
    <w:p w:rsidR="006F4DF8" w:rsidRDefault="006F4DF8" w:rsidP="006F4DF8">
      <w:pPr>
        <w:rPr>
          <w:lang w:eastAsia="ar-SA"/>
        </w:rPr>
      </w:pPr>
      <w:r>
        <w:rPr>
          <w:lang w:eastAsia="ar-SA"/>
        </w:rPr>
        <w:t xml:space="preserve">This section </w:t>
      </w:r>
      <w:r w:rsidR="00CF5867">
        <w:rPr>
          <w:lang w:eastAsia="ar-SA"/>
        </w:rPr>
        <w:t xml:space="preserve">addresses </w:t>
      </w:r>
      <w:r w:rsidRPr="00511C08">
        <w:rPr>
          <w:lang w:eastAsia="ar-SA"/>
        </w:rPr>
        <w:t>evaluated gross savings</w:t>
      </w:r>
      <w:r>
        <w:rPr>
          <w:lang w:eastAsia="ar-SA"/>
        </w:rPr>
        <w:t xml:space="preserve"> estimates for all HES measures, covering electric, natural gas, and oil/propane fuel types. The results are grouped by fuel savings and </w:t>
      </w:r>
      <w:r w:rsidR="005F5E47">
        <w:rPr>
          <w:lang w:eastAsia="ar-SA"/>
        </w:rPr>
        <w:t xml:space="preserve">are </w:t>
      </w:r>
      <w:r>
        <w:rPr>
          <w:lang w:eastAsia="ar-SA"/>
        </w:rPr>
        <w:t xml:space="preserve">presented for distinct measures and/or measure categories. </w:t>
      </w:r>
    </w:p>
    <w:p w:rsidR="0096060F" w:rsidRDefault="0085314A" w:rsidP="0096060F">
      <w:pPr>
        <w:pStyle w:val="Heading3"/>
      </w:pPr>
      <w:bookmarkStart w:id="56" w:name="_Ref389124294"/>
      <w:r>
        <w:t xml:space="preserve">HES </w:t>
      </w:r>
      <w:r w:rsidR="0096060F">
        <w:t>Electric Savings</w:t>
      </w:r>
      <w:bookmarkEnd w:id="56"/>
      <w:r w:rsidR="00D3164D">
        <w:t xml:space="preserve"> </w:t>
      </w:r>
    </w:p>
    <w:p w:rsidR="006F4DF8" w:rsidRPr="005520AB" w:rsidRDefault="006F4DF8" w:rsidP="00B920E7">
      <w:pPr>
        <w:rPr>
          <w:b/>
        </w:rPr>
      </w:pPr>
      <w:r>
        <w:t>The billing analysis provided estimate</w:t>
      </w:r>
      <w:r w:rsidR="00CF5867">
        <w:t>s</w:t>
      </w:r>
      <w:r>
        <w:t xml:space="preserve"> of electric </w:t>
      </w:r>
      <w:r w:rsidRPr="005520AB">
        <w:t xml:space="preserve">savings </w:t>
      </w:r>
      <w:r>
        <w:t>for several HES measure categories: lighting, ductless heat pumps, air sealing,</w:t>
      </w:r>
      <w:r w:rsidR="00DE1457">
        <w:t xml:space="preserve"> </w:t>
      </w:r>
      <w:r w:rsidR="002C62A8">
        <w:t>insulation other (contain</w:t>
      </w:r>
      <w:r w:rsidR="00CF5867">
        <w:t>ing a</w:t>
      </w:r>
      <w:r w:rsidR="002C62A8">
        <w:t xml:space="preserve"> mix of attic and wall installations), and </w:t>
      </w:r>
      <w:r>
        <w:t xml:space="preserve">the </w:t>
      </w:r>
      <w:r w:rsidR="00493D1A">
        <w:t>DHW</w:t>
      </w:r>
      <w:r>
        <w:t xml:space="preserve"> bundle (containing showerheads, pipe </w:t>
      </w:r>
      <w:r w:rsidR="00511C08">
        <w:t>insulation</w:t>
      </w:r>
      <w:r>
        <w:t xml:space="preserve">, and aerators). All other estimates of electric savings presented in this section were determined </w:t>
      </w:r>
      <w:r w:rsidR="00CF5867">
        <w:t xml:space="preserve">using </w:t>
      </w:r>
      <w:r>
        <w:t>engineering algorithms and simulation modeling.</w:t>
      </w:r>
    </w:p>
    <w:p w:rsidR="00D3164D" w:rsidRDefault="00D3164D" w:rsidP="00FF26F8">
      <w:pPr>
        <w:pStyle w:val="Heading4"/>
      </w:pPr>
      <w:r>
        <w:t>Lighting</w:t>
      </w:r>
    </w:p>
    <w:p w:rsidR="0029422F" w:rsidRDefault="0029422F" w:rsidP="0029422F">
      <w:r>
        <w:t xml:space="preserve">The Evaluation Team estimated impacts for a combined lighting bundle (primarily </w:t>
      </w:r>
      <w:r w:rsidR="00CF5867">
        <w:t xml:space="preserve">composed of </w:t>
      </w:r>
      <w:r>
        <w:t xml:space="preserve">CFLs, along </w:t>
      </w:r>
      <w:r w:rsidR="005F5E47">
        <w:t xml:space="preserve">with a </w:t>
      </w:r>
      <w:r w:rsidR="003F0D99">
        <w:t xml:space="preserve">few installations of </w:t>
      </w:r>
      <w:r>
        <w:t xml:space="preserve">fixtures and </w:t>
      </w:r>
      <w:r w:rsidR="004362A1">
        <w:t>light emitting diodes [</w:t>
      </w:r>
      <w:r>
        <w:t>LEDs</w:t>
      </w:r>
      <w:r w:rsidR="004362A1">
        <w:t>]</w:t>
      </w:r>
      <w:r>
        <w:t>) through the billing analysis.</w:t>
      </w:r>
      <w:r w:rsidR="00511C08">
        <w:rPr>
          <w:rStyle w:val="FootnoteReference"/>
        </w:rPr>
        <w:footnoteReference w:id="16"/>
      </w:r>
      <w:r>
        <w:t xml:space="preserve"> </w:t>
      </w:r>
      <w:r w:rsidR="005C2163">
        <w:fldChar w:fldCharType="begin"/>
      </w:r>
      <w:r w:rsidR="007C46AE">
        <w:instrText xml:space="preserve"> REF _Ref388437142 \h </w:instrText>
      </w:r>
      <w:r w:rsidR="005C2163">
        <w:fldChar w:fldCharType="separate"/>
      </w:r>
      <w:r w:rsidR="00CD20CF">
        <w:t xml:space="preserve">Table </w:t>
      </w:r>
      <w:r w:rsidR="00CD20CF">
        <w:rPr>
          <w:noProof/>
        </w:rPr>
        <w:t>17</w:t>
      </w:r>
      <w:r w:rsidR="005C2163">
        <w:fldChar w:fldCharType="end"/>
      </w:r>
      <w:r>
        <w:t xml:space="preserve"> presents the billing analysis model results for lighting measures, which achieved a precision</w:t>
      </w:r>
      <w:r w:rsidR="003E3609">
        <w:t xml:space="preserve"> </w:t>
      </w:r>
      <w:r w:rsidR="000146A5">
        <w:t>(±6%)</w:t>
      </w:r>
      <w:r w:rsidR="00CF4F75">
        <w:t xml:space="preserve"> </w:t>
      </w:r>
      <w:r w:rsidR="003E3609">
        <w:t xml:space="preserve">estimate of </w:t>
      </w:r>
      <w:r w:rsidR="00CF4F75">
        <w:t xml:space="preserve">below </w:t>
      </w:r>
      <w:r w:rsidR="003E3609">
        <w:t>the study threshold</w:t>
      </w:r>
      <w:r w:rsidR="000146A5">
        <w:t xml:space="preserve"> of </w:t>
      </w:r>
      <w:r w:rsidR="00801B2D">
        <w:t>35</w:t>
      </w:r>
      <w:r w:rsidR="000146A5">
        <w:t>%</w:t>
      </w:r>
      <w:r w:rsidR="00CF4F75">
        <w:t xml:space="preserve">, as well as below </w:t>
      </w:r>
      <w:r w:rsidR="000146A5">
        <w:t>the industry standard of 10%</w:t>
      </w:r>
      <w:r>
        <w:t xml:space="preserve">. </w:t>
      </w:r>
    </w:p>
    <w:p w:rsidR="0029422F" w:rsidRDefault="0029422F" w:rsidP="0029422F">
      <w:pPr>
        <w:pStyle w:val="Caption"/>
      </w:pPr>
      <w:bookmarkStart w:id="57" w:name="_Ref388437142"/>
      <w:r>
        <w:lastRenderedPageBreak/>
        <w:t xml:space="preserve">Table </w:t>
      </w:r>
      <w:r w:rsidR="002506E1">
        <w:fldChar w:fldCharType="begin"/>
      </w:r>
      <w:r w:rsidR="002506E1">
        <w:instrText xml:space="preserve"> SEQ Table \* ARABIC </w:instrText>
      </w:r>
      <w:r w:rsidR="002506E1">
        <w:fldChar w:fldCharType="separate"/>
      </w:r>
      <w:r w:rsidR="00CD20CF">
        <w:rPr>
          <w:noProof/>
        </w:rPr>
        <w:t>17</w:t>
      </w:r>
      <w:r w:rsidR="002506E1">
        <w:rPr>
          <w:noProof/>
        </w:rPr>
        <w:fldChar w:fldCharType="end"/>
      </w:r>
      <w:bookmarkEnd w:id="57"/>
      <w:r>
        <w:t xml:space="preserve">. </w:t>
      </w:r>
      <w:r w:rsidR="00C46135">
        <w:t xml:space="preserve">HES </w:t>
      </w:r>
      <w:r>
        <w:t xml:space="preserve">Billing Analysis </w:t>
      </w:r>
      <w:r w:rsidR="003E3DA0">
        <w:t xml:space="preserve">Electric </w:t>
      </w:r>
      <w:r>
        <w:t xml:space="preserve">Savings Results for </w:t>
      </w:r>
      <w:r w:rsidR="00C46135">
        <w:t>Lighting</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68"/>
        <w:gridCol w:w="810"/>
        <w:gridCol w:w="1080"/>
        <w:gridCol w:w="1890"/>
        <w:gridCol w:w="2520"/>
        <w:gridCol w:w="1908"/>
      </w:tblGrid>
      <w:tr w:rsidR="00CF5867" w:rsidRPr="00896031" w:rsidTr="00CF5867">
        <w:tc>
          <w:tcPr>
            <w:tcW w:w="714" w:type="pct"/>
            <w:shd w:val="clear" w:color="000000" w:fill="005DAA"/>
            <w:vAlign w:val="center"/>
            <w:hideMark/>
          </w:tcPr>
          <w:p w:rsidR="00896031" w:rsidRPr="00896031" w:rsidRDefault="00896031" w:rsidP="00FF26F8">
            <w:pPr>
              <w:spacing w:after="0"/>
              <w:jc w:val="center"/>
              <w:rPr>
                <w:rFonts w:ascii="Calibri" w:eastAsia="Times New Roman" w:hAnsi="Calibri" w:cs="Times New Roman"/>
                <w:b/>
                <w:bCs/>
                <w:color w:val="FFFFFF"/>
              </w:rPr>
            </w:pPr>
            <w:r w:rsidRPr="00896031">
              <w:rPr>
                <w:rFonts w:ascii="Calibri" w:eastAsia="Times New Roman" w:hAnsi="Calibri" w:cs="Times New Roman"/>
                <w:b/>
                <w:bCs/>
                <w:color w:val="FFFFFF"/>
              </w:rPr>
              <w:t>Measure</w:t>
            </w:r>
          </w:p>
        </w:tc>
        <w:tc>
          <w:tcPr>
            <w:tcW w:w="423" w:type="pct"/>
            <w:shd w:val="clear" w:color="000000" w:fill="005DAA"/>
            <w:vAlign w:val="center"/>
            <w:hideMark/>
          </w:tcPr>
          <w:p w:rsidR="00896031" w:rsidRPr="00896031" w:rsidRDefault="00896031" w:rsidP="00FF26F8">
            <w:pPr>
              <w:spacing w:after="0"/>
              <w:jc w:val="center"/>
              <w:rPr>
                <w:rFonts w:ascii="Calibri" w:eastAsia="Times New Roman" w:hAnsi="Calibri" w:cs="Times New Roman"/>
                <w:b/>
                <w:bCs/>
                <w:color w:val="FFFFFF"/>
              </w:rPr>
            </w:pPr>
            <w:r w:rsidRPr="00896031">
              <w:rPr>
                <w:rFonts w:ascii="Calibri" w:eastAsia="Times New Roman" w:hAnsi="Calibri" w:cs="Times New Roman"/>
                <w:b/>
                <w:bCs/>
                <w:color w:val="FFFFFF"/>
              </w:rPr>
              <w:t>n</w:t>
            </w:r>
          </w:p>
        </w:tc>
        <w:tc>
          <w:tcPr>
            <w:tcW w:w="564" w:type="pct"/>
            <w:shd w:val="clear" w:color="000000" w:fill="005DAA"/>
            <w:vAlign w:val="center"/>
            <w:hideMark/>
          </w:tcPr>
          <w:p w:rsidR="00896031" w:rsidRPr="00896031" w:rsidRDefault="00896031" w:rsidP="00FF26F8">
            <w:pPr>
              <w:spacing w:after="0"/>
              <w:jc w:val="center"/>
              <w:rPr>
                <w:rFonts w:ascii="Calibri" w:eastAsia="Times New Roman" w:hAnsi="Calibri" w:cs="Times New Roman"/>
                <w:b/>
                <w:bCs/>
                <w:color w:val="FFFFFF"/>
              </w:rPr>
            </w:pPr>
            <w:r w:rsidRPr="00896031">
              <w:rPr>
                <w:rFonts w:ascii="Calibri" w:eastAsia="Times New Roman" w:hAnsi="Calibri" w:cs="Times New Roman"/>
                <w:b/>
                <w:bCs/>
                <w:color w:val="FFFFFF"/>
              </w:rPr>
              <w:t>PRENAC</w:t>
            </w:r>
          </w:p>
        </w:tc>
        <w:tc>
          <w:tcPr>
            <w:tcW w:w="987" w:type="pct"/>
            <w:shd w:val="clear" w:color="000000" w:fill="005DAA"/>
            <w:vAlign w:val="center"/>
            <w:hideMark/>
          </w:tcPr>
          <w:p w:rsidR="00896031" w:rsidRPr="00896031" w:rsidRDefault="00896031" w:rsidP="00FF26F8">
            <w:pPr>
              <w:spacing w:after="0"/>
              <w:jc w:val="center"/>
              <w:rPr>
                <w:rFonts w:ascii="Calibri" w:eastAsia="Times New Roman" w:hAnsi="Calibri" w:cs="Times New Roman"/>
                <w:b/>
                <w:bCs/>
                <w:color w:val="FFFFFF"/>
              </w:rPr>
            </w:pPr>
            <w:r w:rsidRPr="00896031">
              <w:rPr>
                <w:rFonts w:ascii="Calibri" w:eastAsia="Times New Roman" w:hAnsi="Calibri" w:cs="Times New Roman"/>
                <w:b/>
                <w:bCs/>
                <w:color w:val="FFFFFF"/>
              </w:rPr>
              <w:t>Model Savings (kWh)</w:t>
            </w:r>
          </w:p>
        </w:tc>
        <w:tc>
          <w:tcPr>
            <w:tcW w:w="1316" w:type="pct"/>
            <w:shd w:val="clear" w:color="000000" w:fill="005DAA"/>
            <w:vAlign w:val="center"/>
            <w:hideMark/>
          </w:tcPr>
          <w:p w:rsidR="00896031" w:rsidRPr="00896031" w:rsidRDefault="00896031" w:rsidP="00FF26F8">
            <w:pPr>
              <w:spacing w:after="0"/>
              <w:jc w:val="center"/>
              <w:rPr>
                <w:rFonts w:ascii="Calibri" w:eastAsia="Times New Roman" w:hAnsi="Calibri" w:cs="Times New Roman"/>
                <w:b/>
                <w:bCs/>
                <w:color w:val="FFFFFF"/>
              </w:rPr>
            </w:pPr>
            <w:r w:rsidRPr="00896031">
              <w:rPr>
                <w:rFonts w:ascii="Calibri" w:eastAsia="Times New Roman" w:hAnsi="Calibri" w:cs="Times New Roman"/>
                <w:b/>
                <w:bCs/>
                <w:color w:val="FFFFFF"/>
              </w:rPr>
              <w:t>Savings as Percent of Pre-Usage</w:t>
            </w:r>
          </w:p>
        </w:tc>
        <w:tc>
          <w:tcPr>
            <w:tcW w:w="996" w:type="pct"/>
            <w:shd w:val="clear" w:color="000000" w:fill="005DAA"/>
            <w:vAlign w:val="center"/>
            <w:hideMark/>
          </w:tcPr>
          <w:p w:rsidR="00896031" w:rsidRPr="00896031" w:rsidRDefault="00896031" w:rsidP="00FF26F8">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 xml:space="preserve">Relative </w:t>
            </w:r>
            <w:r w:rsidRPr="00896031">
              <w:rPr>
                <w:rFonts w:ascii="Calibri" w:eastAsia="Times New Roman" w:hAnsi="Calibri" w:cs="Times New Roman"/>
                <w:b/>
                <w:bCs/>
                <w:color w:val="FFFFFF"/>
              </w:rPr>
              <w:t xml:space="preserve">Precision </w:t>
            </w:r>
            <w:r>
              <w:rPr>
                <w:rFonts w:ascii="Calibri" w:eastAsia="Times New Roman" w:hAnsi="Calibri" w:cs="Times New Roman"/>
                <w:b/>
                <w:bCs/>
                <w:color w:val="FFFFFF"/>
              </w:rPr>
              <w:t xml:space="preserve">at </w:t>
            </w:r>
            <w:r w:rsidRPr="00896031">
              <w:rPr>
                <w:rFonts w:ascii="Calibri" w:eastAsia="Times New Roman" w:hAnsi="Calibri" w:cs="Times New Roman"/>
                <w:b/>
                <w:bCs/>
                <w:color w:val="FFFFFF"/>
              </w:rPr>
              <w:t>90%</w:t>
            </w:r>
          </w:p>
        </w:tc>
      </w:tr>
      <w:tr w:rsidR="00CF5867" w:rsidRPr="00896031" w:rsidTr="00CF5867">
        <w:tc>
          <w:tcPr>
            <w:tcW w:w="714" w:type="pct"/>
            <w:shd w:val="clear" w:color="auto" w:fill="auto"/>
            <w:vAlign w:val="center"/>
            <w:hideMark/>
          </w:tcPr>
          <w:p w:rsidR="00896031" w:rsidRPr="00896031" w:rsidRDefault="00896031" w:rsidP="00FF26F8">
            <w:pPr>
              <w:spacing w:after="0"/>
              <w:rPr>
                <w:rFonts w:ascii="Calibri" w:eastAsia="Times New Roman" w:hAnsi="Calibri" w:cs="Times New Roman"/>
                <w:color w:val="000000"/>
                <w:sz w:val="20"/>
                <w:szCs w:val="20"/>
              </w:rPr>
            </w:pPr>
            <w:r w:rsidRPr="00896031">
              <w:rPr>
                <w:rFonts w:ascii="Calibri" w:eastAsia="Times New Roman" w:hAnsi="Calibri" w:cs="Times New Roman"/>
                <w:color w:val="000000"/>
                <w:sz w:val="20"/>
                <w:szCs w:val="20"/>
              </w:rPr>
              <w:t>Lighting</w:t>
            </w:r>
          </w:p>
        </w:tc>
        <w:tc>
          <w:tcPr>
            <w:tcW w:w="423" w:type="pct"/>
            <w:shd w:val="clear" w:color="auto" w:fill="auto"/>
            <w:vAlign w:val="center"/>
            <w:hideMark/>
          </w:tcPr>
          <w:p w:rsidR="00896031" w:rsidRPr="00896031" w:rsidRDefault="00896031" w:rsidP="00FF26F8">
            <w:pPr>
              <w:spacing w:after="0"/>
              <w:jc w:val="right"/>
              <w:rPr>
                <w:rFonts w:ascii="Calibri" w:eastAsia="Times New Roman" w:hAnsi="Calibri" w:cs="Times New Roman"/>
                <w:color w:val="000000"/>
                <w:sz w:val="20"/>
                <w:szCs w:val="20"/>
              </w:rPr>
            </w:pPr>
            <w:r w:rsidRPr="00896031">
              <w:rPr>
                <w:rFonts w:ascii="Calibri" w:eastAsia="Times New Roman" w:hAnsi="Calibri" w:cs="Times New Roman"/>
                <w:color w:val="000000"/>
                <w:sz w:val="20"/>
                <w:szCs w:val="20"/>
              </w:rPr>
              <w:t>10,797</w:t>
            </w:r>
          </w:p>
        </w:tc>
        <w:tc>
          <w:tcPr>
            <w:tcW w:w="564" w:type="pct"/>
            <w:shd w:val="clear" w:color="auto" w:fill="auto"/>
            <w:vAlign w:val="center"/>
            <w:hideMark/>
          </w:tcPr>
          <w:p w:rsidR="00896031" w:rsidRPr="00896031" w:rsidRDefault="00896031" w:rsidP="00FF26F8">
            <w:pPr>
              <w:spacing w:after="0"/>
              <w:jc w:val="right"/>
              <w:rPr>
                <w:rFonts w:ascii="Calibri" w:eastAsia="Times New Roman" w:hAnsi="Calibri" w:cs="Times New Roman"/>
                <w:color w:val="000000"/>
                <w:sz w:val="20"/>
                <w:szCs w:val="20"/>
              </w:rPr>
            </w:pPr>
            <w:r w:rsidRPr="00896031">
              <w:rPr>
                <w:rFonts w:ascii="Calibri" w:eastAsia="Times New Roman" w:hAnsi="Calibri" w:cs="Times New Roman"/>
                <w:color w:val="000000"/>
                <w:sz w:val="20"/>
                <w:szCs w:val="20"/>
              </w:rPr>
              <w:t>11,220</w:t>
            </w:r>
          </w:p>
        </w:tc>
        <w:tc>
          <w:tcPr>
            <w:tcW w:w="987" w:type="pct"/>
            <w:shd w:val="clear" w:color="auto" w:fill="auto"/>
            <w:vAlign w:val="center"/>
            <w:hideMark/>
          </w:tcPr>
          <w:p w:rsidR="00896031" w:rsidRPr="00896031" w:rsidRDefault="00896031" w:rsidP="002C6F6F">
            <w:pPr>
              <w:spacing w:after="0"/>
              <w:jc w:val="right"/>
              <w:rPr>
                <w:rFonts w:ascii="Calibri" w:eastAsia="Times New Roman" w:hAnsi="Calibri" w:cs="Times New Roman"/>
                <w:color w:val="000000"/>
                <w:sz w:val="20"/>
                <w:szCs w:val="20"/>
              </w:rPr>
            </w:pPr>
            <w:r w:rsidRPr="00896031">
              <w:rPr>
                <w:rFonts w:ascii="Calibri" w:eastAsia="Times New Roman" w:hAnsi="Calibri" w:cs="Times New Roman"/>
                <w:color w:val="000000"/>
                <w:sz w:val="20"/>
                <w:szCs w:val="20"/>
              </w:rPr>
              <w:t>78</w:t>
            </w:r>
            <w:r w:rsidR="002C6F6F">
              <w:rPr>
                <w:rFonts w:ascii="Calibri" w:eastAsia="Times New Roman" w:hAnsi="Calibri" w:cs="Times New Roman"/>
                <w:color w:val="000000"/>
                <w:sz w:val="20"/>
                <w:szCs w:val="20"/>
              </w:rPr>
              <w:t>2</w:t>
            </w:r>
          </w:p>
        </w:tc>
        <w:tc>
          <w:tcPr>
            <w:tcW w:w="1316" w:type="pct"/>
            <w:shd w:val="clear" w:color="auto" w:fill="auto"/>
            <w:vAlign w:val="center"/>
            <w:hideMark/>
          </w:tcPr>
          <w:p w:rsidR="00896031" w:rsidRPr="00896031" w:rsidRDefault="00896031" w:rsidP="00FF26F8">
            <w:pPr>
              <w:spacing w:after="0"/>
              <w:jc w:val="right"/>
              <w:rPr>
                <w:rFonts w:ascii="Calibri" w:eastAsia="Times New Roman" w:hAnsi="Calibri" w:cs="Times New Roman"/>
                <w:color w:val="000000"/>
                <w:sz w:val="20"/>
                <w:szCs w:val="20"/>
              </w:rPr>
            </w:pPr>
            <w:r w:rsidRPr="00896031">
              <w:rPr>
                <w:rFonts w:ascii="Calibri" w:eastAsia="Times New Roman" w:hAnsi="Calibri" w:cs="Times New Roman"/>
                <w:color w:val="000000"/>
                <w:sz w:val="20"/>
                <w:szCs w:val="20"/>
              </w:rPr>
              <w:t>7%</w:t>
            </w:r>
          </w:p>
        </w:tc>
        <w:tc>
          <w:tcPr>
            <w:tcW w:w="996" w:type="pct"/>
            <w:shd w:val="clear" w:color="auto" w:fill="auto"/>
            <w:vAlign w:val="center"/>
            <w:hideMark/>
          </w:tcPr>
          <w:p w:rsidR="00896031" w:rsidRPr="00896031" w:rsidRDefault="00896031" w:rsidP="00FF26F8">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Pr="00896031">
              <w:rPr>
                <w:rFonts w:ascii="Calibri" w:eastAsia="Times New Roman" w:hAnsi="Calibri" w:cs="Times New Roman"/>
                <w:color w:val="000000"/>
                <w:sz w:val="20"/>
                <w:szCs w:val="20"/>
              </w:rPr>
              <w:t>6%</w:t>
            </w:r>
          </w:p>
        </w:tc>
      </w:tr>
    </w:tbl>
    <w:p w:rsidR="0029422F" w:rsidRDefault="0029422F" w:rsidP="00FF26F8">
      <w:pPr>
        <w:pStyle w:val="NormalAfterTablesandFigures"/>
      </w:pPr>
    </w:p>
    <w:p w:rsidR="0029422F" w:rsidRDefault="00F14702" w:rsidP="0029422F">
      <w:r>
        <w:t xml:space="preserve">On average, </w:t>
      </w:r>
      <w:r w:rsidR="00CF5867">
        <w:t xml:space="preserve">the program installed </w:t>
      </w:r>
      <w:r>
        <w:t>18.6 CFLs per household</w:t>
      </w:r>
      <w:r w:rsidR="00CF5867">
        <w:t>,</w:t>
      </w:r>
      <w:r>
        <w:t xml:space="preserve"> based on participants in the billing analysis sample. </w:t>
      </w:r>
      <w:r w:rsidR="00CF5867">
        <w:t xml:space="preserve">Given </w:t>
      </w:r>
      <w:r>
        <w:t>average household-level CFL savings of 7</w:t>
      </w:r>
      <w:r w:rsidR="002C6F6F">
        <w:t>82</w:t>
      </w:r>
      <w:r>
        <w:t xml:space="preserve"> kWh annually, this equates to about 42 kWh per bulb</w:t>
      </w:r>
      <w:r w:rsidR="00CF5867">
        <w:t xml:space="preserve">—results </w:t>
      </w:r>
      <w:r>
        <w:t xml:space="preserve">slightly higher than average gross </w:t>
      </w:r>
      <w:r w:rsidRPr="00F14702">
        <w:rPr>
          <w:i/>
        </w:rPr>
        <w:t>ex ante</w:t>
      </w:r>
      <w:r>
        <w:t xml:space="preserve"> savings </w:t>
      </w:r>
      <w:r w:rsidR="000146A5">
        <w:t xml:space="preserve">(652 kWh) </w:t>
      </w:r>
      <w:r>
        <w:t>from the utility tracking system data, based on PSD calculations.</w:t>
      </w:r>
    </w:p>
    <w:p w:rsidR="0029422F" w:rsidRPr="000E6110" w:rsidRDefault="005C2163" w:rsidP="0029422F">
      <w:r>
        <w:fldChar w:fldCharType="begin"/>
      </w:r>
      <w:r w:rsidR="007C46AE">
        <w:instrText xml:space="preserve"> REF _Ref388437168 \h </w:instrText>
      </w:r>
      <w:r>
        <w:fldChar w:fldCharType="separate"/>
      </w:r>
      <w:r w:rsidR="00CD20CF">
        <w:t xml:space="preserve">Table </w:t>
      </w:r>
      <w:r w:rsidR="00CD20CF">
        <w:rPr>
          <w:noProof/>
        </w:rPr>
        <w:t>18</w:t>
      </w:r>
      <w:r>
        <w:fldChar w:fldCharType="end"/>
      </w:r>
      <w:r w:rsidR="0029422F">
        <w:t xml:space="preserve"> provides </w:t>
      </w:r>
      <w:r w:rsidR="000146A5">
        <w:t>the realization rate</w:t>
      </w:r>
      <w:r w:rsidR="00CF5867">
        <w:t>,</w:t>
      </w:r>
      <w:r w:rsidR="0029422F">
        <w:t xml:space="preserve"> based on comparing the gross savings estimate from the billing analysis to the average </w:t>
      </w:r>
      <w:r w:rsidR="0029422F" w:rsidRPr="004E7EA6">
        <w:rPr>
          <w:i/>
        </w:rPr>
        <w:t>ex ante</w:t>
      </w:r>
      <w:r w:rsidR="0029422F">
        <w:t xml:space="preserve"> savings per household.</w:t>
      </w:r>
    </w:p>
    <w:p w:rsidR="0029422F" w:rsidRDefault="0029422F" w:rsidP="0029422F">
      <w:pPr>
        <w:pStyle w:val="Caption"/>
      </w:pPr>
      <w:bookmarkStart w:id="58" w:name="_Ref388437168"/>
      <w:r>
        <w:t xml:space="preserve">Table </w:t>
      </w:r>
      <w:r w:rsidR="002506E1">
        <w:fldChar w:fldCharType="begin"/>
      </w:r>
      <w:r w:rsidR="002506E1">
        <w:instrText xml:space="preserve"> SEQ Table \* ARABIC </w:instrText>
      </w:r>
      <w:r w:rsidR="002506E1">
        <w:fldChar w:fldCharType="separate"/>
      </w:r>
      <w:r w:rsidR="00CD20CF">
        <w:rPr>
          <w:noProof/>
        </w:rPr>
        <w:t>18</w:t>
      </w:r>
      <w:r w:rsidR="002506E1">
        <w:rPr>
          <w:noProof/>
        </w:rPr>
        <w:fldChar w:fldCharType="end"/>
      </w:r>
      <w:bookmarkEnd w:id="58"/>
      <w:r>
        <w:t xml:space="preserve">. </w:t>
      </w:r>
      <w:r w:rsidR="00C46135">
        <w:t xml:space="preserve">HES </w:t>
      </w:r>
      <w:r>
        <w:t xml:space="preserve">Billing Analysis Realization Rate Summary for </w:t>
      </w:r>
      <w:r w:rsidR="00C46135">
        <w:t>Lighting</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68"/>
        <w:gridCol w:w="1440"/>
        <w:gridCol w:w="1620"/>
        <w:gridCol w:w="1260"/>
        <w:gridCol w:w="1980"/>
        <w:gridCol w:w="1908"/>
      </w:tblGrid>
      <w:tr w:rsidR="00CD4CCB" w:rsidRPr="00BC4F10" w:rsidTr="00CD4CCB">
        <w:tc>
          <w:tcPr>
            <w:tcW w:w="714" w:type="pct"/>
            <w:shd w:val="clear" w:color="000000" w:fill="005DAA"/>
            <w:vAlign w:val="center"/>
            <w:hideMark/>
          </w:tcPr>
          <w:p w:rsidR="00BC4F10" w:rsidRPr="00BC4F10" w:rsidRDefault="00BC4F10" w:rsidP="00FF26F8">
            <w:pPr>
              <w:spacing w:after="0"/>
              <w:jc w:val="center"/>
              <w:rPr>
                <w:rFonts w:ascii="Calibri" w:eastAsia="Times New Roman" w:hAnsi="Calibri" w:cs="Times New Roman"/>
                <w:b/>
                <w:bCs/>
                <w:color w:val="FFFFFF"/>
              </w:rPr>
            </w:pPr>
            <w:r w:rsidRPr="00BC4F10">
              <w:rPr>
                <w:rFonts w:ascii="Calibri" w:eastAsia="Times New Roman" w:hAnsi="Calibri" w:cs="Times New Roman"/>
                <w:b/>
                <w:bCs/>
                <w:color w:val="FFFFFF"/>
              </w:rPr>
              <w:t>Measure</w:t>
            </w:r>
          </w:p>
        </w:tc>
        <w:tc>
          <w:tcPr>
            <w:tcW w:w="752" w:type="pct"/>
            <w:shd w:val="clear" w:color="000000" w:fill="005DAA"/>
            <w:vAlign w:val="center"/>
            <w:hideMark/>
          </w:tcPr>
          <w:p w:rsidR="00BC4F10" w:rsidRPr="00BC4F10" w:rsidRDefault="00BC4F10" w:rsidP="00FF26F8">
            <w:pPr>
              <w:spacing w:after="0"/>
              <w:jc w:val="center"/>
              <w:rPr>
                <w:rFonts w:ascii="Calibri" w:eastAsia="Times New Roman" w:hAnsi="Calibri" w:cs="Times New Roman"/>
                <w:b/>
                <w:bCs/>
                <w:color w:val="FFFFFF"/>
              </w:rPr>
            </w:pPr>
            <w:r w:rsidRPr="00BC4F10">
              <w:rPr>
                <w:rFonts w:ascii="Calibri" w:eastAsia="Times New Roman" w:hAnsi="Calibri" w:cs="Times New Roman"/>
                <w:b/>
                <w:bCs/>
                <w:color w:val="FFFFFF"/>
              </w:rPr>
              <w:t>Gross Model Savings (kWh)</w:t>
            </w:r>
          </w:p>
        </w:tc>
        <w:tc>
          <w:tcPr>
            <w:tcW w:w="846" w:type="pct"/>
            <w:shd w:val="clear" w:color="000000" w:fill="005DAA"/>
            <w:vAlign w:val="center"/>
            <w:hideMark/>
          </w:tcPr>
          <w:p w:rsidR="00BC4F10" w:rsidRPr="00BC4F10" w:rsidRDefault="00BC4F10" w:rsidP="00FF26F8">
            <w:pPr>
              <w:spacing w:after="0"/>
              <w:jc w:val="center"/>
              <w:rPr>
                <w:rFonts w:ascii="Calibri" w:eastAsia="Times New Roman" w:hAnsi="Calibri" w:cs="Times New Roman"/>
                <w:b/>
                <w:bCs/>
                <w:color w:val="FFFFFF"/>
              </w:rPr>
            </w:pPr>
            <w:r w:rsidRPr="00BC4F10">
              <w:rPr>
                <w:rFonts w:ascii="Calibri" w:eastAsia="Times New Roman" w:hAnsi="Calibri" w:cs="Times New Roman"/>
                <w:b/>
                <w:bCs/>
                <w:color w:val="FFFFFF"/>
              </w:rPr>
              <w:t xml:space="preserve">Reported </w:t>
            </w:r>
            <w:r w:rsidRPr="00CF5867">
              <w:rPr>
                <w:rFonts w:ascii="Calibri" w:eastAsia="Times New Roman" w:hAnsi="Calibri" w:cs="Times New Roman"/>
                <w:b/>
                <w:bCs/>
                <w:i/>
                <w:color w:val="FFFFFF"/>
              </w:rPr>
              <w:t>Ex Ante</w:t>
            </w:r>
            <w:r w:rsidRPr="00BC4F10">
              <w:rPr>
                <w:rFonts w:ascii="Calibri" w:eastAsia="Times New Roman" w:hAnsi="Calibri" w:cs="Times New Roman"/>
                <w:b/>
                <w:bCs/>
                <w:color w:val="FFFFFF"/>
              </w:rPr>
              <w:t xml:space="preserve"> Savings (kWh)</w:t>
            </w:r>
          </w:p>
        </w:tc>
        <w:tc>
          <w:tcPr>
            <w:tcW w:w="658" w:type="pct"/>
            <w:shd w:val="clear" w:color="000000" w:fill="005DAA"/>
            <w:vAlign w:val="center"/>
            <w:hideMark/>
          </w:tcPr>
          <w:p w:rsidR="00BC4F10" w:rsidRPr="00BC4F10" w:rsidRDefault="00BC4F10" w:rsidP="00FF26F8">
            <w:pPr>
              <w:spacing w:after="0"/>
              <w:jc w:val="center"/>
              <w:rPr>
                <w:rFonts w:ascii="Calibri" w:eastAsia="Times New Roman" w:hAnsi="Calibri" w:cs="Times New Roman"/>
                <w:b/>
                <w:bCs/>
                <w:color w:val="FFFFFF"/>
              </w:rPr>
            </w:pPr>
            <w:r w:rsidRPr="00BC4F10">
              <w:rPr>
                <w:rFonts w:ascii="Calibri" w:eastAsia="Times New Roman" w:hAnsi="Calibri" w:cs="Times New Roman"/>
                <w:b/>
                <w:bCs/>
                <w:color w:val="FFFFFF"/>
              </w:rPr>
              <w:t>Realization Rate</w:t>
            </w:r>
          </w:p>
        </w:tc>
        <w:tc>
          <w:tcPr>
            <w:tcW w:w="1034" w:type="pct"/>
            <w:shd w:val="clear" w:color="000000" w:fill="005DAA"/>
            <w:vAlign w:val="center"/>
            <w:hideMark/>
          </w:tcPr>
          <w:p w:rsidR="00BC4F10" w:rsidRPr="00BC4F10" w:rsidRDefault="00BC4F10" w:rsidP="00FF26F8">
            <w:pPr>
              <w:spacing w:after="0"/>
              <w:jc w:val="center"/>
              <w:rPr>
                <w:rFonts w:ascii="Calibri" w:eastAsia="Times New Roman" w:hAnsi="Calibri" w:cs="Times New Roman"/>
                <w:b/>
                <w:bCs/>
                <w:color w:val="FFFFFF"/>
              </w:rPr>
            </w:pPr>
            <w:r w:rsidRPr="00BC4F10">
              <w:rPr>
                <w:rFonts w:ascii="Calibri" w:eastAsia="Times New Roman" w:hAnsi="Calibri" w:cs="Times New Roman"/>
                <w:b/>
                <w:bCs/>
                <w:color w:val="FFFFFF"/>
              </w:rPr>
              <w:t>Model Savings as Percent of Pre-Usage</w:t>
            </w:r>
          </w:p>
        </w:tc>
        <w:tc>
          <w:tcPr>
            <w:tcW w:w="996" w:type="pct"/>
            <w:shd w:val="clear" w:color="000000" w:fill="005DAA"/>
            <w:vAlign w:val="center"/>
            <w:hideMark/>
          </w:tcPr>
          <w:p w:rsidR="00BC4F10" w:rsidRPr="00BC4F10" w:rsidRDefault="00BC4F10" w:rsidP="00FF26F8">
            <w:pPr>
              <w:spacing w:after="0"/>
              <w:jc w:val="center"/>
              <w:rPr>
                <w:rFonts w:ascii="Calibri" w:eastAsia="Times New Roman" w:hAnsi="Calibri" w:cs="Times New Roman"/>
                <w:b/>
                <w:bCs/>
                <w:color w:val="FFFFFF"/>
              </w:rPr>
            </w:pPr>
            <w:r w:rsidRPr="00BC4F10">
              <w:rPr>
                <w:rFonts w:ascii="Calibri" w:eastAsia="Times New Roman" w:hAnsi="Calibri" w:cs="Times New Roman"/>
                <w:b/>
                <w:bCs/>
                <w:color w:val="FFFFFF"/>
              </w:rPr>
              <w:t xml:space="preserve">Reported </w:t>
            </w:r>
            <w:r w:rsidRPr="00CF5867">
              <w:rPr>
                <w:rFonts w:ascii="Calibri" w:eastAsia="Times New Roman" w:hAnsi="Calibri" w:cs="Times New Roman"/>
                <w:b/>
                <w:bCs/>
                <w:i/>
                <w:color w:val="FFFFFF"/>
              </w:rPr>
              <w:t>Ex Ante</w:t>
            </w:r>
            <w:r w:rsidRPr="00BC4F10">
              <w:rPr>
                <w:rFonts w:ascii="Calibri" w:eastAsia="Times New Roman" w:hAnsi="Calibri" w:cs="Times New Roman"/>
                <w:b/>
                <w:bCs/>
                <w:color w:val="FFFFFF"/>
              </w:rPr>
              <w:t xml:space="preserve"> Savings as Percent of Pre-Usage</w:t>
            </w:r>
          </w:p>
        </w:tc>
      </w:tr>
      <w:tr w:rsidR="00CD4CCB" w:rsidRPr="00BC4F10" w:rsidTr="00CD4CCB">
        <w:tc>
          <w:tcPr>
            <w:tcW w:w="714" w:type="pct"/>
            <w:shd w:val="clear" w:color="auto" w:fill="auto"/>
            <w:vAlign w:val="center"/>
            <w:hideMark/>
          </w:tcPr>
          <w:p w:rsidR="00BC4F10" w:rsidRPr="00BC4F10" w:rsidRDefault="00BC4F10" w:rsidP="00FF26F8">
            <w:pPr>
              <w:spacing w:after="0"/>
              <w:rPr>
                <w:rFonts w:ascii="Calibri" w:eastAsia="Times New Roman" w:hAnsi="Calibri" w:cs="Times New Roman"/>
                <w:color w:val="000000"/>
                <w:sz w:val="20"/>
                <w:szCs w:val="20"/>
              </w:rPr>
            </w:pPr>
            <w:r w:rsidRPr="00BC4F10">
              <w:rPr>
                <w:rFonts w:ascii="Calibri" w:eastAsia="Times New Roman" w:hAnsi="Calibri" w:cs="Times New Roman"/>
                <w:color w:val="000000"/>
                <w:sz w:val="20"/>
                <w:szCs w:val="20"/>
              </w:rPr>
              <w:t>Lighting</w:t>
            </w:r>
          </w:p>
        </w:tc>
        <w:tc>
          <w:tcPr>
            <w:tcW w:w="752" w:type="pct"/>
            <w:shd w:val="clear" w:color="auto" w:fill="auto"/>
            <w:vAlign w:val="center"/>
            <w:hideMark/>
          </w:tcPr>
          <w:p w:rsidR="00BC4F10" w:rsidRPr="00BC4F10" w:rsidRDefault="00BC4F10" w:rsidP="002C6F6F">
            <w:pPr>
              <w:spacing w:after="0"/>
              <w:jc w:val="right"/>
              <w:rPr>
                <w:rFonts w:ascii="Calibri" w:eastAsia="Times New Roman" w:hAnsi="Calibri" w:cs="Times New Roman"/>
                <w:color w:val="000000"/>
                <w:sz w:val="20"/>
                <w:szCs w:val="20"/>
              </w:rPr>
            </w:pPr>
            <w:r w:rsidRPr="00BC4F10">
              <w:rPr>
                <w:rFonts w:ascii="Calibri" w:eastAsia="Times New Roman" w:hAnsi="Calibri" w:cs="Times New Roman"/>
                <w:color w:val="000000"/>
                <w:sz w:val="20"/>
                <w:szCs w:val="20"/>
              </w:rPr>
              <w:t>78</w:t>
            </w:r>
            <w:r w:rsidR="002C6F6F">
              <w:rPr>
                <w:rFonts w:ascii="Calibri" w:eastAsia="Times New Roman" w:hAnsi="Calibri" w:cs="Times New Roman"/>
                <w:color w:val="000000"/>
                <w:sz w:val="20"/>
                <w:szCs w:val="20"/>
              </w:rPr>
              <w:t>2</w:t>
            </w:r>
          </w:p>
        </w:tc>
        <w:tc>
          <w:tcPr>
            <w:tcW w:w="846" w:type="pct"/>
            <w:shd w:val="clear" w:color="auto" w:fill="auto"/>
            <w:vAlign w:val="center"/>
            <w:hideMark/>
          </w:tcPr>
          <w:p w:rsidR="00BC4F10" w:rsidRPr="00BC4F10" w:rsidRDefault="00BC4F10" w:rsidP="00FF26F8">
            <w:pPr>
              <w:spacing w:after="0"/>
              <w:jc w:val="right"/>
              <w:rPr>
                <w:rFonts w:ascii="Calibri" w:eastAsia="Times New Roman" w:hAnsi="Calibri" w:cs="Times New Roman"/>
                <w:color w:val="000000"/>
                <w:sz w:val="20"/>
                <w:szCs w:val="20"/>
              </w:rPr>
            </w:pPr>
            <w:r w:rsidRPr="00BC4F10">
              <w:rPr>
                <w:rFonts w:ascii="Calibri" w:eastAsia="Times New Roman" w:hAnsi="Calibri" w:cs="Times New Roman"/>
                <w:color w:val="000000"/>
                <w:sz w:val="20"/>
                <w:szCs w:val="20"/>
              </w:rPr>
              <w:t>652</w:t>
            </w:r>
          </w:p>
        </w:tc>
        <w:tc>
          <w:tcPr>
            <w:tcW w:w="658" w:type="pct"/>
            <w:shd w:val="clear" w:color="auto" w:fill="auto"/>
            <w:vAlign w:val="center"/>
            <w:hideMark/>
          </w:tcPr>
          <w:p w:rsidR="00BC4F10" w:rsidRPr="00BC4F10" w:rsidRDefault="00BC4F10" w:rsidP="00FF26F8">
            <w:pPr>
              <w:spacing w:after="0"/>
              <w:jc w:val="right"/>
              <w:rPr>
                <w:rFonts w:ascii="Calibri" w:eastAsia="Times New Roman" w:hAnsi="Calibri" w:cs="Times New Roman"/>
                <w:color w:val="000000"/>
                <w:sz w:val="20"/>
                <w:szCs w:val="20"/>
              </w:rPr>
            </w:pPr>
            <w:r w:rsidRPr="00BC4F10">
              <w:rPr>
                <w:rFonts w:ascii="Calibri" w:eastAsia="Times New Roman" w:hAnsi="Calibri" w:cs="Times New Roman"/>
                <w:color w:val="000000"/>
                <w:sz w:val="20"/>
                <w:szCs w:val="20"/>
              </w:rPr>
              <w:t>120%</w:t>
            </w:r>
          </w:p>
        </w:tc>
        <w:tc>
          <w:tcPr>
            <w:tcW w:w="1034" w:type="pct"/>
            <w:shd w:val="clear" w:color="auto" w:fill="auto"/>
            <w:vAlign w:val="center"/>
            <w:hideMark/>
          </w:tcPr>
          <w:p w:rsidR="00BC4F10" w:rsidRPr="00BC4F10" w:rsidRDefault="00BC4F10" w:rsidP="00FF26F8">
            <w:pPr>
              <w:spacing w:after="0"/>
              <w:jc w:val="right"/>
              <w:rPr>
                <w:rFonts w:ascii="Calibri" w:eastAsia="Times New Roman" w:hAnsi="Calibri" w:cs="Times New Roman"/>
                <w:color w:val="000000"/>
                <w:sz w:val="20"/>
                <w:szCs w:val="20"/>
              </w:rPr>
            </w:pPr>
            <w:r w:rsidRPr="00BC4F10">
              <w:rPr>
                <w:rFonts w:ascii="Calibri" w:eastAsia="Times New Roman" w:hAnsi="Calibri" w:cs="Times New Roman"/>
                <w:color w:val="000000"/>
                <w:sz w:val="20"/>
                <w:szCs w:val="20"/>
              </w:rPr>
              <w:t>7%</w:t>
            </w:r>
          </w:p>
        </w:tc>
        <w:tc>
          <w:tcPr>
            <w:tcW w:w="996" w:type="pct"/>
            <w:shd w:val="clear" w:color="auto" w:fill="auto"/>
            <w:vAlign w:val="center"/>
            <w:hideMark/>
          </w:tcPr>
          <w:p w:rsidR="00BC4F10" w:rsidRPr="00BC4F10" w:rsidRDefault="00BC4F10" w:rsidP="00FF26F8">
            <w:pPr>
              <w:spacing w:after="0"/>
              <w:jc w:val="right"/>
              <w:rPr>
                <w:rFonts w:ascii="Calibri" w:eastAsia="Times New Roman" w:hAnsi="Calibri" w:cs="Times New Roman"/>
                <w:color w:val="000000"/>
                <w:sz w:val="20"/>
                <w:szCs w:val="20"/>
              </w:rPr>
            </w:pPr>
            <w:r w:rsidRPr="00BC4F10">
              <w:rPr>
                <w:rFonts w:ascii="Calibri" w:eastAsia="Times New Roman" w:hAnsi="Calibri" w:cs="Times New Roman"/>
                <w:color w:val="000000"/>
                <w:sz w:val="20"/>
                <w:szCs w:val="20"/>
              </w:rPr>
              <w:t>6%</w:t>
            </w:r>
          </w:p>
        </w:tc>
      </w:tr>
    </w:tbl>
    <w:p w:rsidR="0029422F" w:rsidRDefault="0029422F" w:rsidP="00FF26F8">
      <w:pPr>
        <w:pStyle w:val="NormalAfterTablesandFigures"/>
      </w:pPr>
    </w:p>
    <w:p w:rsidR="0029422F" w:rsidRDefault="00F14702" w:rsidP="0029422F">
      <w:r>
        <w:t xml:space="preserve">Typical energy savings </w:t>
      </w:r>
      <w:r w:rsidR="00CD4CCB">
        <w:t xml:space="preserve">drivers drawn </w:t>
      </w:r>
      <w:r>
        <w:t xml:space="preserve">from CFL engineering algorithms include assumptions for average hours of use </w:t>
      </w:r>
      <w:r w:rsidR="0097393D">
        <w:t>(HOU)</w:t>
      </w:r>
      <w:r w:rsidR="00606CE0">
        <w:t>,</w:t>
      </w:r>
      <w:r w:rsidR="0097393D">
        <w:t xml:space="preserve"> </w:t>
      </w:r>
      <w:r>
        <w:t>the change in wattage between existing and replaced bulbs</w:t>
      </w:r>
      <w:r w:rsidR="00606CE0">
        <w:t>, and installation or in-service rates</w:t>
      </w:r>
      <w:r>
        <w:t xml:space="preserve">. </w:t>
      </w:r>
      <w:r w:rsidR="006A28C6">
        <w:t>HES field implementation protocols require auditors to install all bulbs delivered to participants (</w:t>
      </w:r>
      <w:r w:rsidR="00CD4CCB">
        <w:t xml:space="preserve">i.e., leaving </w:t>
      </w:r>
      <w:r w:rsidR="006A28C6">
        <w:t xml:space="preserve">no bulbs behind uninstalled), up to a maximum of 25 bulbs per home. </w:t>
      </w:r>
      <w:r w:rsidR="00CD4CCB">
        <w:t>N</w:t>
      </w:r>
      <w:r w:rsidR="006A28C6">
        <w:t xml:space="preserve">o specific guidance </w:t>
      </w:r>
      <w:r w:rsidR="00CD4CCB">
        <w:t xml:space="preserve">exists regarding </w:t>
      </w:r>
      <w:r w:rsidR="006A28C6">
        <w:t>installation only in high-use sockets (</w:t>
      </w:r>
      <w:r w:rsidR="00511C08">
        <w:t>e.g., protocols</w:t>
      </w:r>
      <w:r w:rsidR="00CD4CCB">
        <w:t xml:space="preserve"> </w:t>
      </w:r>
      <w:r w:rsidR="00511C08">
        <w:t>indicate</w:t>
      </w:r>
      <w:r w:rsidR="00CD4CCB">
        <w:t>:</w:t>
      </w:r>
      <w:r w:rsidR="006A28C6">
        <w:t xml:space="preserve"> “CFLs should be installed throughout the house in any suitable fixture”);</w:t>
      </w:r>
      <w:r w:rsidR="0097393D">
        <w:rPr>
          <w:rStyle w:val="FootnoteReference"/>
        </w:rPr>
        <w:footnoteReference w:id="17"/>
      </w:r>
      <w:r w:rsidR="006A28C6">
        <w:t xml:space="preserve"> </w:t>
      </w:r>
      <w:r w:rsidR="000146A5">
        <w:t xml:space="preserve">some </w:t>
      </w:r>
      <w:r w:rsidR="00CD4CCB">
        <w:t>similar program</w:t>
      </w:r>
      <w:r w:rsidR="00511C08">
        <w:t>s</w:t>
      </w:r>
      <w:r w:rsidR="00CD4CCB">
        <w:t xml:space="preserve"> </w:t>
      </w:r>
      <w:r w:rsidR="006A28C6">
        <w:t xml:space="preserve">restrict installation to high-use sockets (e.g., </w:t>
      </w:r>
      <w:r w:rsidR="00CD4CCB">
        <w:t>three</w:t>
      </w:r>
      <w:r w:rsidR="006A28C6">
        <w:t xml:space="preserve"> hours or more)</w:t>
      </w:r>
      <w:r w:rsidR="0097393D">
        <w:t>, ensur</w:t>
      </w:r>
      <w:r w:rsidR="00CD4CCB">
        <w:t>ing</w:t>
      </w:r>
      <w:r w:rsidR="0097393D">
        <w:t xml:space="preserve"> higher savings associated with higher HOU.</w:t>
      </w:r>
      <w:r w:rsidR="000146A5">
        <w:t xml:space="preserve"> It is likely that the directive to install CFLs in all available sockets stemmed from Connecticut’s goal of achieving high socket saturation</w:t>
      </w:r>
      <w:r w:rsidR="005F5E47">
        <w:t>s</w:t>
      </w:r>
      <w:r w:rsidR="000146A5">
        <w:t xml:space="preserve"> at the state level.</w:t>
      </w:r>
    </w:p>
    <w:p w:rsidR="00CF6FE5" w:rsidRDefault="00CF6FE5" w:rsidP="0029422F">
      <w:r>
        <w:t>A closer look at average savings based on the number of lighting installations per home reveals a decrease in average savings</w:t>
      </w:r>
      <w:r w:rsidR="00CD4CCB">
        <w:t>,</w:t>
      </w:r>
      <w:r>
        <w:t xml:space="preserve"> given an increase in installations. This trend may relate to </w:t>
      </w:r>
      <w:r w:rsidR="00CD4CCB">
        <w:t xml:space="preserve">HOU </w:t>
      </w:r>
      <w:r>
        <w:t>effect</w:t>
      </w:r>
      <w:r w:rsidR="00CD4CCB">
        <w:t>s</w:t>
      </w:r>
      <w:r>
        <w:t xml:space="preserve">, </w:t>
      </w:r>
      <w:r w:rsidR="00CD4CCB">
        <w:t xml:space="preserve">with </w:t>
      </w:r>
      <w:r>
        <w:t xml:space="preserve">few installations made into higher-use sockets (resulting in higher average savings), </w:t>
      </w:r>
      <w:r w:rsidR="00CD4CCB">
        <w:t xml:space="preserve">for </w:t>
      </w:r>
      <w:r>
        <w:t>an average decrease in HOU as the number of installations per home increase.</w:t>
      </w:r>
      <w:r w:rsidR="00F60646">
        <w:rPr>
          <w:rStyle w:val="FootnoteReference"/>
        </w:rPr>
        <w:footnoteReference w:id="18"/>
      </w:r>
      <w:r>
        <w:t xml:space="preserve"> </w:t>
      </w:r>
      <w:r w:rsidR="005C2163">
        <w:fldChar w:fldCharType="begin"/>
      </w:r>
      <w:r>
        <w:instrText xml:space="preserve"> REF _Ref388180196 \h </w:instrText>
      </w:r>
      <w:r w:rsidR="005C2163">
        <w:fldChar w:fldCharType="separate"/>
      </w:r>
      <w:r w:rsidR="00CD20CF">
        <w:t xml:space="preserve">Figure </w:t>
      </w:r>
      <w:r w:rsidR="00CD20CF">
        <w:rPr>
          <w:noProof/>
        </w:rPr>
        <w:t>3</w:t>
      </w:r>
      <w:r w:rsidR="005C2163">
        <w:fldChar w:fldCharType="end"/>
      </w:r>
      <w:r>
        <w:t xml:space="preserve"> </w:t>
      </w:r>
      <w:r w:rsidR="00CD4CCB">
        <w:t xml:space="preserve">illustrates </w:t>
      </w:r>
      <w:r>
        <w:t>this trend</w:t>
      </w:r>
      <w:r w:rsidR="00CD4CCB">
        <w:t>,</w:t>
      </w:r>
      <w:r>
        <w:t xml:space="preserve"> </w:t>
      </w:r>
      <w:r>
        <w:lastRenderedPageBreak/>
        <w:t xml:space="preserve">showing a decrease in lighting savings </w:t>
      </w:r>
      <w:r w:rsidR="003E6579">
        <w:t>based on the quantity installed (</w:t>
      </w:r>
      <w:r w:rsidR="00CD4CCB">
        <w:t xml:space="preserve">thus </w:t>
      </w:r>
      <w:r w:rsidR="003E6579">
        <w:t>increasing the number of lower-use sockets in the overall average).</w:t>
      </w:r>
      <w:r w:rsidR="003F0D99">
        <w:t xml:space="preserve"> Given that the realization rate is greater than 100% suggests that the strategy </w:t>
      </w:r>
      <w:r w:rsidR="003F0D99" w:rsidRPr="003153FA">
        <w:t xml:space="preserve">of </w:t>
      </w:r>
      <w:r w:rsidR="003F0D99">
        <w:t>getting bulbs into as many sockets as possible did not reduce savings overall, but it does suggest the need to update the savings assumptions</w:t>
      </w:r>
      <w:r w:rsidR="004117D5">
        <w:t xml:space="preserve"> or how the values are applied</w:t>
      </w:r>
      <w:r w:rsidR="003F0D99">
        <w:t>. The Evaluation Team’s understand</w:t>
      </w:r>
      <w:r w:rsidR="005F5E47">
        <w:t>s</w:t>
      </w:r>
      <w:r w:rsidR="003F0D99">
        <w:t xml:space="preserve"> that this update may already be underway, given the recent completion of the Regional Hours of Use study.</w:t>
      </w:r>
      <w:r w:rsidR="003F0D99">
        <w:rPr>
          <w:rStyle w:val="FootnoteReference"/>
        </w:rPr>
        <w:footnoteReference w:id="19"/>
      </w:r>
      <w:r w:rsidR="003F0D99">
        <w:t xml:space="preserve"> </w:t>
      </w:r>
    </w:p>
    <w:p w:rsidR="0097393D" w:rsidRDefault="0097393D" w:rsidP="0097393D">
      <w:pPr>
        <w:pStyle w:val="Caption"/>
      </w:pPr>
      <w:bookmarkStart w:id="59" w:name="_Ref388180196"/>
      <w:r>
        <w:t xml:space="preserve">Figure </w:t>
      </w:r>
      <w:r w:rsidR="002506E1">
        <w:fldChar w:fldCharType="begin"/>
      </w:r>
      <w:r w:rsidR="002506E1">
        <w:instrText xml:space="preserve"> SEQ Figure \* ARABIC </w:instrText>
      </w:r>
      <w:r w:rsidR="002506E1">
        <w:fldChar w:fldCharType="separate"/>
      </w:r>
      <w:r w:rsidR="00CD20CF">
        <w:rPr>
          <w:noProof/>
        </w:rPr>
        <w:t>3</w:t>
      </w:r>
      <w:r w:rsidR="002506E1">
        <w:rPr>
          <w:noProof/>
        </w:rPr>
        <w:fldChar w:fldCharType="end"/>
      </w:r>
      <w:bookmarkEnd w:id="59"/>
      <w:r>
        <w:t xml:space="preserve">. </w:t>
      </w:r>
      <w:r w:rsidR="00E00C84">
        <w:t>HES</w:t>
      </w:r>
      <w:r w:rsidR="00CD4CCB">
        <w:t>—</w:t>
      </w:r>
      <w:r w:rsidR="0029474C">
        <w:t xml:space="preserve">Per Unit Lighting Savings </w:t>
      </w:r>
      <w:r>
        <w:t xml:space="preserve">Based on Number of </w:t>
      </w:r>
      <w:r w:rsidR="003E6579">
        <w:t>Installations</w:t>
      </w:r>
    </w:p>
    <w:p w:rsidR="00600ABD" w:rsidRPr="00600ABD" w:rsidRDefault="00297A9C" w:rsidP="00297A9C">
      <w:pPr>
        <w:jc w:val="center"/>
      </w:pPr>
      <w:r>
        <w:rPr>
          <w:noProof/>
        </w:rPr>
        <w:drawing>
          <wp:inline distT="0" distB="0" distL="0" distR="0">
            <wp:extent cx="4584700" cy="27559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9422F" w:rsidRDefault="0029422F" w:rsidP="00FF26F8">
      <w:pPr>
        <w:pStyle w:val="NormalAfterTablesandFigures"/>
      </w:pPr>
    </w:p>
    <w:p w:rsidR="0029474C" w:rsidRDefault="002506E1" w:rsidP="00FF26F8">
      <w:r>
        <w:fldChar w:fldCharType="begin"/>
      </w:r>
      <w:r>
        <w:instrText xml:space="preserve"> REF _Ref388181362 \h  \* MERGEFORMAT </w:instrText>
      </w:r>
      <w:r>
        <w:fldChar w:fldCharType="separate"/>
      </w:r>
      <w:r w:rsidR="00CD20CF">
        <w:t xml:space="preserve">Table </w:t>
      </w:r>
      <w:r w:rsidR="00CD20CF">
        <w:rPr>
          <w:noProof/>
        </w:rPr>
        <w:t>19</w:t>
      </w:r>
      <w:r>
        <w:fldChar w:fldCharType="end"/>
      </w:r>
      <w:r w:rsidR="0029474C">
        <w:t xml:space="preserve"> presents additional details </w:t>
      </w:r>
      <w:r w:rsidR="00CD4CCB">
        <w:t xml:space="preserve">regarding </w:t>
      </w:r>
      <w:r w:rsidR="0029474C">
        <w:t xml:space="preserve">lighting installations by </w:t>
      </w:r>
      <w:r w:rsidR="005F5E47">
        <w:t xml:space="preserve">the </w:t>
      </w:r>
      <w:r w:rsidR="0029474C">
        <w:t xml:space="preserve">quantity received (binned in categories of 1 to 10, 11 to 20, and greater than 20 lighting installations). </w:t>
      </w:r>
      <w:r w:rsidR="003E3DA0">
        <w:t xml:space="preserve">As shown, average savings per bulb decrease within each category as more bulbs are installed per home. </w:t>
      </w:r>
    </w:p>
    <w:p w:rsidR="003E6579" w:rsidRDefault="003E6579" w:rsidP="003E6579">
      <w:pPr>
        <w:pStyle w:val="Caption"/>
      </w:pPr>
      <w:bookmarkStart w:id="60" w:name="_Ref388181362"/>
      <w:r>
        <w:t xml:space="preserve">Table </w:t>
      </w:r>
      <w:r w:rsidR="002506E1">
        <w:fldChar w:fldCharType="begin"/>
      </w:r>
      <w:r w:rsidR="002506E1">
        <w:instrText xml:space="preserve"> SEQ Table \* ARABIC </w:instrText>
      </w:r>
      <w:r w:rsidR="002506E1">
        <w:fldChar w:fldCharType="separate"/>
      </w:r>
      <w:r w:rsidR="00CD20CF">
        <w:rPr>
          <w:noProof/>
        </w:rPr>
        <w:t>19</w:t>
      </w:r>
      <w:r w:rsidR="002506E1">
        <w:rPr>
          <w:noProof/>
        </w:rPr>
        <w:fldChar w:fldCharType="end"/>
      </w:r>
      <w:bookmarkEnd w:id="60"/>
      <w:r w:rsidR="00E00C84">
        <w:t>. HES E</w:t>
      </w:r>
      <w:r>
        <w:t>nergy Savings Based on Lighting Quantity Installed</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92"/>
        <w:gridCol w:w="1192"/>
        <w:gridCol w:w="1192"/>
        <w:gridCol w:w="1192"/>
        <w:gridCol w:w="1192"/>
        <w:gridCol w:w="1193"/>
        <w:gridCol w:w="1193"/>
        <w:gridCol w:w="1230"/>
      </w:tblGrid>
      <w:tr w:rsidR="00E00C84" w:rsidRPr="00E00C84" w:rsidTr="00FF26F8">
        <w:tc>
          <w:tcPr>
            <w:tcW w:w="625" w:type="pct"/>
            <w:vMerge w:val="restart"/>
            <w:shd w:val="clear" w:color="000000" w:fill="005DAA"/>
            <w:vAlign w:val="center"/>
            <w:hideMark/>
          </w:tcPr>
          <w:p w:rsidR="00E00C84" w:rsidRPr="00E00C84" w:rsidRDefault="00E00C84" w:rsidP="005F5E47">
            <w:pPr>
              <w:spacing w:after="0"/>
              <w:jc w:val="center"/>
              <w:rPr>
                <w:rFonts w:ascii="Calibri" w:eastAsia="Times New Roman" w:hAnsi="Calibri" w:cs="Arial"/>
                <w:b/>
                <w:bCs/>
                <w:color w:val="FFFFFF"/>
              </w:rPr>
            </w:pPr>
            <w:r w:rsidRPr="00E00C84">
              <w:rPr>
                <w:rFonts w:ascii="Calibri" w:eastAsia="Times New Roman" w:hAnsi="Calibri" w:cs="Arial"/>
                <w:b/>
                <w:bCs/>
                <w:color w:val="FFFFFF"/>
              </w:rPr>
              <w:t>CFLs Received</w:t>
            </w:r>
          </w:p>
        </w:tc>
        <w:tc>
          <w:tcPr>
            <w:tcW w:w="625" w:type="pct"/>
            <w:vMerge w:val="restart"/>
            <w:shd w:val="clear" w:color="000000" w:fill="005DAA"/>
            <w:vAlign w:val="center"/>
            <w:hideMark/>
          </w:tcPr>
          <w:p w:rsidR="00E00C84" w:rsidRPr="00E00C84" w:rsidRDefault="00E00C84" w:rsidP="005F5E47">
            <w:pPr>
              <w:spacing w:after="0"/>
              <w:jc w:val="center"/>
              <w:rPr>
                <w:rFonts w:ascii="Calibri" w:eastAsia="Times New Roman" w:hAnsi="Calibri" w:cs="Arial"/>
                <w:b/>
                <w:bCs/>
                <w:color w:val="FFFFFF"/>
              </w:rPr>
            </w:pPr>
            <w:r w:rsidRPr="00E00C84">
              <w:rPr>
                <w:rFonts w:ascii="Calibri" w:eastAsia="Times New Roman" w:hAnsi="Calibri" w:cs="Arial"/>
                <w:b/>
                <w:bCs/>
                <w:color w:val="FFFFFF"/>
              </w:rPr>
              <w:t>Percent of Sample</w:t>
            </w:r>
          </w:p>
        </w:tc>
        <w:tc>
          <w:tcPr>
            <w:tcW w:w="625" w:type="pct"/>
            <w:vMerge w:val="restart"/>
            <w:shd w:val="clear" w:color="000000" w:fill="005DAA"/>
            <w:vAlign w:val="center"/>
            <w:hideMark/>
          </w:tcPr>
          <w:p w:rsidR="00E00C84" w:rsidRPr="00E00C84" w:rsidRDefault="00E00C84" w:rsidP="005F5E47">
            <w:pPr>
              <w:spacing w:after="0"/>
              <w:jc w:val="center"/>
              <w:rPr>
                <w:rFonts w:ascii="Calibri" w:eastAsia="Times New Roman" w:hAnsi="Calibri" w:cs="Arial"/>
                <w:b/>
                <w:bCs/>
                <w:color w:val="FFFFFF"/>
              </w:rPr>
            </w:pPr>
            <w:r w:rsidRPr="00E00C84">
              <w:rPr>
                <w:rFonts w:ascii="Calibri" w:eastAsia="Times New Roman" w:hAnsi="Calibri" w:cs="Arial"/>
                <w:b/>
                <w:bCs/>
                <w:color w:val="FFFFFF"/>
              </w:rPr>
              <w:t>Average CFLs Installed</w:t>
            </w:r>
          </w:p>
        </w:tc>
        <w:tc>
          <w:tcPr>
            <w:tcW w:w="1250" w:type="pct"/>
            <w:gridSpan w:val="2"/>
            <w:shd w:val="clear" w:color="000000" w:fill="005DAA"/>
            <w:vAlign w:val="center"/>
            <w:hideMark/>
          </w:tcPr>
          <w:p w:rsidR="00E00C84" w:rsidRPr="00E00C84" w:rsidRDefault="00E00C84" w:rsidP="005F5E47">
            <w:pPr>
              <w:spacing w:after="0"/>
              <w:jc w:val="center"/>
              <w:rPr>
                <w:rFonts w:ascii="Calibri" w:eastAsia="Times New Roman" w:hAnsi="Calibri" w:cs="Arial"/>
                <w:b/>
                <w:bCs/>
                <w:color w:val="FFFFFF"/>
              </w:rPr>
            </w:pPr>
            <w:r w:rsidRPr="00E00C84">
              <w:rPr>
                <w:rFonts w:ascii="Calibri" w:eastAsia="Times New Roman" w:hAnsi="Calibri" w:cs="Arial"/>
                <w:b/>
                <w:bCs/>
                <w:color w:val="FFFFFF"/>
              </w:rPr>
              <w:t>Gross Model Savings</w:t>
            </w:r>
          </w:p>
        </w:tc>
        <w:tc>
          <w:tcPr>
            <w:tcW w:w="1250" w:type="pct"/>
            <w:gridSpan w:val="2"/>
            <w:shd w:val="clear" w:color="000000" w:fill="005DAA"/>
            <w:vAlign w:val="center"/>
            <w:hideMark/>
          </w:tcPr>
          <w:p w:rsidR="00E00C84" w:rsidRPr="00E00C84" w:rsidRDefault="00E00C84" w:rsidP="005F5E47">
            <w:pPr>
              <w:spacing w:after="0"/>
              <w:jc w:val="center"/>
              <w:rPr>
                <w:rFonts w:ascii="Calibri" w:eastAsia="Times New Roman" w:hAnsi="Calibri" w:cs="Arial"/>
                <w:b/>
                <w:bCs/>
                <w:color w:val="FFFFFF"/>
              </w:rPr>
            </w:pPr>
            <w:r w:rsidRPr="00E00C84">
              <w:rPr>
                <w:rFonts w:ascii="Calibri" w:eastAsia="Times New Roman" w:hAnsi="Calibri" w:cs="Arial"/>
                <w:b/>
                <w:bCs/>
                <w:i/>
                <w:iCs/>
                <w:color w:val="FFFFFF"/>
              </w:rPr>
              <w:t>Ex Ante</w:t>
            </w:r>
            <w:r w:rsidRPr="00E00C84">
              <w:rPr>
                <w:rFonts w:ascii="Calibri" w:eastAsia="Times New Roman" w:hAnsi="Calibri" w:cs="Arial"/>
                <w:b/>
                <w:bCs/>
                <w:color w:val="FFFFFF"/>
              </w:rPr>
              <w:t xml:space="preserve"> Savings</w:t>
            </w:r>
          </w:p>
        </w:tc>
        <w:tc>
          <w:tcPr>
            <w:tcW w:w="625" w:type="pct"/>
            <w:vMerge w:val="restart"/>
            <w:shd w:val="clear" w:color="000000" w:fill="005DAA"/>
            <w:vAlign w:val="center"/>
            <w:hideMark/>
          </w:tcPr>
          <w:p w:rsidR="00E00C84" w:rsidRPr="00E00C84" w:rsidRDefault="00E00C84" w:rsidP="005F5E47">
            <w:pPr>
              <w:spacing w:after="0"/>
              <w:jc w:val="center"/>
              <w:rPr>
                <w:rFonts w:ascii="Calibri" w:eastAsia="Times New Roman" w:hAnsi="Calibri" w:cs="Arial"/>
                <w:b/>
                <w:bCs/>
                <w:color w:val="FFFFFF"/>
              </w:rPr>
            </w:pPr>
            <w:r w:rsidRPr="00E00C84">
              <w:rPr>
                <w:rFonts w:ascii="Calibri" w:eastAsia="Times New Roman" w:hAnsi="Calibri" w:cs="Arial"/>
                <w:b/>
                <w:bCs/>
                <w:color w:val="FFFFFF"/>
              </w:rPr>
              <w:t>Realization Rate</w:t>
            </w:r>
          </w:p>
        </w:tc>
      </w:tr>
      <w:tr w:rsidR="00E00C84" w:rsidRPr="00E00C84" w:rsidTr="00FF26F8">
        <w:tc>
          <w:tcPr>
            <w:tcW w:w="625" w:type="pct"/>
            <w:vMerge/>
            <w:vAlign w:val="center"/>
            <w:hideMark/>
          </w:tcPr>
          <w:p w:rsidR="00E00C84" w:rsidRPr="00E00C84" w:rsidRDefault="00E00C84" w:rsidP="005F5E47">
            <w:pPr>
              <w:spacing w:after="0"/>
              <w:rPr>
                <w:rFonts w:ascii="Calibri" w:eastAsia="Times New Roman" w:hAnsi="Calibri" w:cs="Arial"/>
                <w:b/>
                <w:bCs/>
                <w:color w:val="FFFFFF"/>
              </w:rPr>
            </w:pPr>
          </w:p>
        </w:tc>
        <w:tc>
          <w:tcPr>
            <w:tcW w:w="625" w:type="pct"/>
            <w:vMerge/>
            <w:vAlign w:val="center"/>
            <w:hideMark/>
          </w:tcPr>
          <w:p w:rsidR="00E00C84" w:rsidRPr="00E00C84" w:rsidRDefault="00E00C84" w:rsidP="005F5E47">
            <w:pPr>
              <w:spacing w:after="0"/>
              <w:rPr>
                <w:rFonts w:ascii="Calibri" w:eastAsia="Times New Roman" w:hAnsi="Calibri" w:cs="Arial"/>
                <w:b/>
                <w:bCs/>
                <w:color w:val="FFFFFF"/>
              </w:rPr>
            </w:pPr>
          </w:p>
        </w:tc>
        <w:tc>
          <w:tcPr>
            <w:tcW w:w="625" w:type="pct"/>
            <w:vMerge/>
            <w:vAlign w:val="center"/>
            <w:hideMark/>
          </w:tcPr>
          <w:p w:rsidR="00E00C84" w:rsidRPr="00E00C84" w:rsidRDefault="00E00C84" w:rsidP="005F5E47">
            <w:pPr>
              <w:spacing w:after="0"/>
              <w:rPr>
                <w:rFonts w:ascii="Calibri" w:eastAsia="Times New Roman" w:hAnsi="Calibri" w:cs="Arial"/>
                <w:b/>
                <w:bCs/>
                <w:color w:val="FFFFFF"/>
              </w:rPr>
            </w:pPr>
          </w:p>
        </w:tc>
        <w:tc>
          <w:tcPr>
            <w:tcW w:w="625" w:type="pct"/>
            <w:shd w:val="clear" w:color="000000" w:fill="005DAA"/>
            <w:vAlign w:val="center"/>
            <w:hideMark/>
          </w:tcPr>
          <w:p w:rsidR="00E00C84" w:rsidRPr="00E00C84" w:rsidRDefault="00E00C84" w:rsidP="005F5E47">
            <w:pPr>
              <w:spacing w:after="0"/>
              <w:jc w:val="center"/>
              <w:rPr>
                <w:rFonts w:ascii="Calibri" w:eastAsia="Times New Roman" w:hAnsi="Calibri" w:cs="Arial"/>
                <w:b/>
                <w:bCs/>
                <w:color w:val="FFFFFF"/>
              </w:rPr>
            </w:pPr>
            <w:r w:rsidRPr="00E00C84">
              <w:rPr>
                <w:rFonts w:ascii="Calibri" w:eastAsia="Times New Roman" w:hAnsi="Calibri" w:cs="Arial"/>
                <w:b/>
                <w:bCs/>
                <w:color w:val="FFFFFF"/>
              </w:rPr>
              <w:t>kWh/unit</w:t>
            </w:r>
          </w:p>
        </w:tc>
        <w:tc>
          <w:tcPr>
            <w:tcW w:w="625" w:type="pct"/>
            <w:shd w:val="clear" w:color="000000" w:fill="005DAA"/>
            <w:vAlign w:val="center"/>
            <w:hideMark/>
          </w:tcPr>
          <w:p w:rsidR="00E00C84" w:rsidRPr="00E00C84" w:rsidRDefault="00E00C84" w:rsidP="005F5E47">
            <w:pPr>
              <w:spacing w:after="0"/>
              <w:jc w:val="center"/>
              <w:rPr>
                <w:rFonts w:ascii="Calibri" w:eastAsia="Times New Roman" w:hAnsi="Calibri" w:cs="Arial"/>
                <w:b/>
                <w:bCs/>
                <w:color w:val="FFFFFF"/>
              </w:rPr>
            </w:pPr>
            <w:r w:rsidRPr="00E00C84">
              <w:rPr>
                <w:rFonts w:ascii="Calibri" w:eastAsia="Times New Roman" w:hAnsi="Calibri" w:cs="Arial"/>
                <w:b/>
                <w:bCs/>
                <w:color w:val="FFFFFF"/>
              </w:rPr>
              <w:t>kWh/</w:t>
            </w:r>
            <w:r w:rsidR="00CD4CCB">
              <w:rPr>
                <w:rFonts w:ascii="Calibri" w:eastAsia="Times New Roman" w:hAnsi="Calibri" w:cs="Arial"/>
                <w:b/>
                <w:bCs/>
                <w:color w:val="FFFFFF"/>
              </w:rPr>
              <w:t xml:space="preserve"> </w:t>
            </w:r>
            <w:r w:rsidRPr="00E00C84">
              <w:rPr>
                <w:rFonts w:ascii="Calibri" w:eastAsia="Times New Roman" w:hAnsi="Calibri" w:cs="Arial"/>
                <w:b/>
                <w:bCs/>
                <w:color w:val="FFFFFF"/>
              </w:rPr>
              <w:t>household</w:t>
            </w:r>
          </w:p>
        </w:tc>
        <w:tc>
          <w:tcPr>
            <w:tcW w:w="625" w:type="pct"/>
            <w:shd w:val="clear" w:color="000000" w:fill="005DAA"/>
            <w:vAlign w:val="center"/>
            <w:hideMark/>
          </w:tcPr>
          <w:p w:rsidR="00E00C84" w:rsidRPr="00E00C84" w:rsidRDefault="00E00C84" w:rsidP="005F5E47">
            <w:pPr>
              <w:spacing w:after="0"/>
              <w:jc w:val="center"/>
              <w:rPr>
                <w:rFonts w:ascii="Calibri" w:eastAsia="Times New Roman" w:hAnsi="Calibri" w:cs="Arial"/>
                <w:b/>
                <w:bCs/>
                <w:color w:val="FFFFFF"/>
              </w:rPr>
            </w:pPr>
            <w:r w:rsidRPr="00E00C84">
              <w:rPr>
                <w:rFonts w:ascii="Calibri" w:eastAsia="Times New Roman" w:hAnsi="Calibri" w:cs="Arial"/>
                <w:b/>
                <w:bCs/>
                <w:color w:val="FFFFFF"/>
              </w:rPr>
              <w:t>kWh/unit</w:t>
            </w:r>
          </w:p>
        </w:tc>
        <w:tc>
          <w:tcPr>
            <w:tcW w:w="625" w:type="pct"/>
            <w:shd w:val="clear" w:color="000000" w:fill="005DAA"/>
            <w:vAlign w:val="center"/>
            <w:hideMark/>
          </w:tcPr>
          <w:p w:rsidR="00E00C84" w:rsidRPr="00E00C84" w:rsidRDefault="00E00C84" w:rsidP="005F5E47">
            <w:pPr>
              <w:spacing w:after="0"/>
              <w:jc w:val="center"/>
              <w:rPr>
                <w:rFonts w:ascii="Calibri" w:eastAsia="Times New Roman" w:hAnsi="Calibri" w:cs="Arial"/>
                <w:b/>
                <w:bCs/>
                <w:color w:val="FFFFFF"/>
              </w:rPr>
            </w:pPr>
            <w:r w:rsidRPr="00E00C84">
              <w:rPr>
                <w:rFonts w:ascii="Calibri" w:eastAsia="Times New Roman" w:hAnsi="Calibri" w:cs="Arial"/>
                <w:b/>
                <w:bCs/>
                <w:color w:val="FFFFFF"/>
              </w:rPr>
              <w:t>kWh/ household</w:t>
            </w:r>
          </w:p>
        </w:tc>
        <w:tc>
          <w:tcPr>
            <w:tcW w:w="625" w:type="pct"/>
            <w:vMerge/>
            <w:vAlign w:val="center"/>
            <w:hideMark/>
          </w:tcPr>
          <w:p w:rsidR="00E00C84" w:rsidRPr="00E00C84" w:rsidRDefault="00E00C84" w:rsidP="005F5E47">
            <w:pPr>
              <w:spacing w:after="0"/>
              <w:jc w:val="center"/>
              <w:rPr>
                <w:rFonts w:ascii="Calibri" w:eastAsia="Times New Roman" w:hAnsi="Calibri" w:cs="Arial"/>
                <w:b/>
                <w:bCs/>
                <w:color w:val="FFFFFF"/>
              </w:rPr>
            </w:pPr>
          </w:p>
        </w:tc>
      </w:tr>
      <w:tr w:rsidR="00E00C84" w:rsidRPr="00E00C84" w:rsidTr="00FF26F8">
        <w:tc>
          <w:tcPr>
            <w:tcW w:w="625" w:type="pct"/>
            <w:shd w:val="clear" w:color="auto" w:fill="auto"/>
            <w:vAlign w:val="center"/>
            <w:hideMark/>
          </w:tcPr>
          <w:p w:rsidR="00E00C84" w:rsidRPr="00E00C84" w:rsidRDefault="00E00C84" w:rsidP="005F5E47">
            <w:pPr>
              <w:spacing w:after="0"/>
              <w:rPr>
                <w:rFonts w:ascii="Calibri" w:eastAsia="Times New Roman" w:hAnsi="Calibri" w:cs="Arial"/>
                <w:color w:val="000000"/>
                <w:sz w:val="20"/>
                <w:szCs w:val="20"/>
              </w:rPr>
            </w:pPr>
            <w:r w:rsidRPr="00E00C84">
              <w:rPr>
                <w:rFonts w:ascii="Calibri" w:eastAsia="Times New Roman" w:hAnsi="Calibri" w:cs="Arial"/>
                <w:color w:val="000000"/>
                <w:sz w:val="20"/>
                <w:szCs w:val="20"/>
              </w:rPr>
              <w:t>1-10</w:t>
            </w:r>
          </w:p>
        </w:tc>
        <w:tc>
          <w:tcPr>
            <w:tcW w:w="625" w:type="pct"/>
            <w:shd w:val="clear" w:color="auto" w:fill="auto"/>
            <w:vAlign w:val="center"/>
            <w:hideMark/>
          </w:tcPr>
          <w:p w:rsidR="00E00C84" w:rsidRPr="00E00C84" w:rsidRDefault="00E00C84" w:rsidP="005F5E47">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16%</w:t>
            </w:r>
          </w:p>
        </w:tc>
        <w:tc>
          <w:tcPr>
            <w:tcW w:w="625" w:type="pct"/>
            <w:shd w:val="clear" w:color="auto" w:fill="auto"/>
            <w:vAlign w:val="center"/>
            <w:hideMark/>
          </w:tcPr>
          <w:p w:rsidR="00E00C84" w:rsidRPr="00E00C84" w:rsidRDefault="00E00C84" w:rsidP="005F5E47">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7.1</w:t>
            </w:r>
          </w:p>
        </w:tc>
        <w:tc>
          <w:tcPr>
            <w:tcW w:w="625" w:type="pct"/>
            <w:shd w:val="clear" w:color="auto" w:fill="auto"/>
            <w:vAlign w:val="center"/>
            <w:hideMark/>
          </w:tcPr>
          <w:p w:rsidR="00E00C84" w:rsidRPr="00E00C84" w:rsidRDefault="00297A9C" w:rsidP="005F5E47">
            <w:pPr>
              <w:spacing w:after="0"/>
              <w:jc w:val="right"/>
              <w:rPr>
                <w:rFonts w:ascii="Calibri" w:eastAsia="Times New Roman" w:hAnsi="Calibri" w:cs="Arial"/>
                <w:color w:val="000000"/>
                <w:sz w:val="20"/>
                <w:szCs w:val="20"/>
              </w:rPr>
            </w:pPr>
            <w:r>
              <w:rPr>
                <w:rFonts w:ascii="Calibri" w:eastAsia="Times New Roman" w:hAnsi="Calibri" w:cs="Arial"/>
                <w:color w:val="000000"/>
                <w:sz w:val="20"/>
                <w:szCs w:val="20"/>
              </w:rPr>
              <w:t>100.3</w:t>
            </w:r>
          </w:p>
        </w:tc>
        <w:tc>
          <w:tcPr>
            <w:tcW w:w="625" w:type="pct"/>
            <w:shd w:val="clear" w:color="auto" w:fill="auto"/>
            <w:vAlign w:val="center"/>
            <w:hideMark/>
          </w:tcPr>
          <w:p w:rsidR="00E00C84" w:rsidRPr="00E00C84" w:rsidRDefault="00297A9C" w:rsidP="005F5E47">
            <w:pPr>
              <w:spacing w:after="0"/>
              <w:jc w:val="right"/>
              <w:rPr>
                <w:rFonts w:ascii="Calibri" w:eastAsia="Times New Roman" w:hAnsi="Calibri" w:cs="Arial"/>
                <w:color w:val="000000"/>
                <w:sz w:val="20"/>
                <w:szCs w:val="20"/>
              </w:rPr>
            </w:pPr>
            <w:r>
              <w:rPr>
                <w:rFonts w:ascii="Calibri" w:eastAsia="Times New Roman" w:hAnsi="Calibri" w:cs="Arial"/>
                <w:color w:val="000000"/>
                <w:sz w:val="20"/>
                <w:szCs w:val="20"/>
              </w:rPr>
              <w:t>716</w:t>
            </w:r>
          </w:p>
        </w:tc>
        <w:tc>
          <w:tcPr>
            <w:tcW w:w="625" w:type="pct"/>
            <w:shd w:val="clear" w:color="auto" w:fill="auto"/>
            <w:vAlign w:val="center"/>
            <w:hideMark/>
          </w:tcPr>
          <w:p w:rsidR="00E00C84" w:rsidRPr="00E00C84" w:rsidRDefault="00E00C84" w:rsidP="005F5E47">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34.7</w:t>
            </w:r>
          </w:p>
        </w:tc>
        <w:tc>
          <w:tcPr>
            <w:tcW w:w="625" w:type="pct"/>
            <w:shd w:val="clear" w:color="auto" w:fill="auto"/>
            <w:vAlign w:val="center"/>
            <w:hideMark/>
          </w:tcPr>
          <w:p w:rsidR="00E00C84" w:rsidRPr="00E00C84" w:rsidRDefault="00E00C84" w:rsidP="005F5E47">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248</w:t>
            </w:r>
          </w:p>
        </w:tc>
        <w:tc>
          <w:tcPr>
            <w:tcW w:w="625" w:type="pct"/>
            <w:shd w:val="clear" w:color="auto" w:fill="auto"/>
            <w:vAlign w:val="center"/>
            <w:hideMark/>
          </w:tcPr>
          <w:p w:rsidR="00E00C84" w:rsidRPr="00E00C84" w:rsidRDefault="00297A9C" w:rsidP="005F5E47">
            <w:pPr>
              <w:spacing w:after="0"/>
              <w:jc w:val="right"/>
              <w:rPr>
                <w:rFonts w:ascii="Calibri" w:eastAsia="Times New Roman" w:hAnsi="Calibri" w:cs="Arial"/>
                <w:color w:val="000000"/>
                <w:sz w:val="20"/>
                <w:szCs w:val="20"/>
              </w:rPr>
            </w:pPr>
            <w:r>
              <w:rPr>
                <w:rFonts w:ascii="Calibri" w:eastAsia="Times New Roman" w:hAnsi="Calibri" w:cs="Arial"/>
                <w:color w:val="000000"/>
                <w:sz w:val="20"/>
                <w:szCs w:val="20"/>
              </w:rPr>
              <w:t>289</w:t>
            </w:r>
            <w:r w:rsidR="00E00C84" w:rsidRPr="00E00C84">
              <w:rPr>
                <w:rFonts w:ascii="Calibri" w:eastAsia="Times New Roman" w:hAnsi="Calibri" w:cs="Arial"/>
                <w:color w:val="000000"/>
                <w:sz w:val="20"/>
                <w:szCs w:val="20"/>
              </w:rPr>
              <w:t>%</w:t>
            </w:r>
          </w:p>
        </w:tc>
      </w:tr>
      <w:tr w:rsidR="00E00C84" w:rsidRPr="00E00C84" w:rsidTr="00FF26F8">
        <w:tc>
          <w:tcPr>
            <w:tcW w:w="625" w:type="pct"/>
            <w:shd w:val="clear" w:color="auto" w:fill="auto"/>
            <w:vAlign w:val="center"/>
            <w:hideMark/>
          </w:tcPr>
          <w:p w:rsidR="00E00C84" w:rsidRPr="00E00C84" w:rsidRDefault="00E00C84" w:rsidP="005F5E47">
            <w:pPr>
              <w:spacing w:after="0"/>
              <w:rPr>
                <w:rFonts w:ascii="Calibri" w:eastAsia="Times New Roman" w:hAnsi="Calibri" w:cs="Arial"/>
                <w:color w:val="000000"/>
                <w:sz w:val="20"/>
                <w:szCs w:val="20"/>
              </w:rPr>
            </w:pPr>
            <w:r w:rsidRPr="00E00C84">
              <w:rPr>
                <w:rFonts w:ascii="Calibri" w:eastAsia="Times New Roman" w:hAnsi="Calibri" w:cs="Arial"/>
                <w:color w:val="000000"/>
                <w:sz w:val="20"/>
                <w:szCs w:val="20"/>
              </w:rPr>
              <w:t>11-20</w:t>
            </w:r>
          </w:p>
        </w:tc>
        <w:tc>
          <w:tcPr>
            <w:tcW w:w="625" w:type="pct"/>
            <w:shd w:val="clear" w:color="auto" w:fill="auto"/>
            <w:vAlign w:val="center"/>
            <w:hideMark/>
          </w:tcPr>
          <w:p w:rsidR="00E00C84" w:rsidRPr="00E00C84" w:rsidRDefault="00E00C84" w:rsidP="005F5E47">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35%</w:t>
            </w:r>
          </w:p>
        </w:tc>
        <w:tc>
          <w:tcPr>
            <w:tcW w:w="625" w:type="pct"/>
            <w:shd w:val="clear" w:color="auto" w:fill="auto"/>
            <w:vAlign w:val="center"/>
            <w:hideMark/>
          </w:tcPr>
          <w:p w:rsidR="00E00C84" w:rsidRPr="00E00C84" w:rsidRDefault="00E00C84" w:rsidP="005F5E47">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15.8</w:t>
            </w:r>
          </w:p>
        </w:tc>
        <w:tc>
          <w:tcPr>
            <w:tcW w:w="625" w:type="pct"/>
            <w:shd w:val="clear" w:color="auto" w:fill="auto"/>
            <w:vAlign w:val="center"/>
            <w:hideMark/>
          </w:tcPr>
          <w:p w:rsidR="00E00C84" w:rsidRPr="00E00C84" w:rsidRDefault="00297A9C" w:rsidP="005F5E47">
            <w:pPr>
              <w:spacing w:after="0"/>
              <w:jc w:val="right"/>
              <w:rPr>
                <w:rFonts w:ascii="Calibri" w:eastAsia="Times New Roman" w:hAnsi="Calibri" w:cs="Arial"/>
                <w:color w:val="000000"/>
                <w:sz w:val="20"/>
                <w:szCs w:val="20"/>
              </w:rPr>
            </w:pPr>
            <w:r>
              <w:rPr>
                <w:rFonts w:ascii="Calibri" w:eastAsia="Times New Roman" w:hAnsi="Calibri" w:cs="Arial"/>
                <w:color w:val="000000"/>
                <w:sz w:val="20"/>
                <w:szCs w:val="20"/>
              </w:rPr>
              <w:t>45.0</w:t>
            </w:r>
          </w:p>
        </w:tc>
        <w:tc>
          <w:tcPr>
            <w:tcW w:w="625" w:type="pct"/>
            <w:shd w:val="clear" w:color="auto" w:fill="auto"/>
            <w:vAlign w:val="center"/>
            <w:hideMark/>
          </w:tcPr>
          <w:p w:rsidR="00E00C84" w:rsidRPr="00E00C84" w:rsidRDefault="00297A9C" w:rsidP="005F5E47">
            <w:pPr>
              <w:spacing w:after="0"/>
              <w:jc w:val="right"/>
              <w:rPr>
                <w:rFonts w:ascii="Calibri" w:eastAsia="Times New Roman" w:hAnsi="Calibri" w:cs="Arial"/>
                <w:color w:val="000000"/>
                <w:sz w:val="20"/>
                <w:szCs w:val="20"/>
              </w:rPr>
            </w:pPr>
            <w:r>
              <w:rPr>
                <w:rFonts w:ascii="Calibri" w:eastAsia="Times New Roman" w:hAnsi="Calibri" w:cs="Arial"/>
                <w:color w:val="000000"/>
                <w:sz w:val="20"/>
                <w:szCs w:val="20"/>
              </w:rPr>
              <w:t>708</w:t>
            </w:r>
          </w:p>
        </w:tc>
        <w:tc>
          <w:tcPr>
            <w:tcW w:w="625" w:type="pct"/>
            <w:shd w:val="clear" w:color="auto" w:fill="auto"/>
            <w:vAlign w:val="center"/>
            <w:hideMark/>
          </w:tcPr>
          <w:p w:rsidR="00E00C84" w:rsidRPr="00E00C84" w:rsidRDefault="00E00C84" w:rsidP="005F5E47">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34.5</w:t>
            </w:r>
          </w:p>
        </w:tc>
        <w:tc>
          <w:tcPr>
            <w:tcW w:w="625" w:type="pct"/>
            <w:shd w:val="clear" w:color="auto" w:fill="auto"/>
            <w:vAlign w:val="center"/>
            <w:hideMark/>
          </w:tcPr>
          <w:p w:rsidR="00E00C84" w:rsidRPr="00E00C84" w:rsidRDefault="00E00C84" w:rsidP="005F5E47">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544</w:t>
            </w:r>
          </w:p>
        </w:tc>
        <w:tc>
          <w:tcPr>
            <w:tcW w:w="625" w:type="pct"/>
            <w:shd w:val="clear" w:color="auto" w:fill="auto"/>
            <w:vAlign w:val="center"/>
            <w:hideMark/>
          </w:tcPr>
          <w:p w:rsidR="00E00C84" w:rsidRPr="00E00C84" w:rsidRDefault="00297A9C" w:rsidP="005F5E47">
            <w:pPr>
              <w:spacing w:after="0"/>
              <w:jc w:val="right"/>
              <w:rPr>
                <w:rFonts w:ascii="Calibri" w:eastAsia="Times New Roman" w:hAnsi="Calibri" w:cs="Arial"/>
                <w:color w:val="000000"/>
                <w:sz w:val="20"/>
                <w:szCs w:val="20"/>
              </w:rPr>
            </w:pPr>
            <w:r>
              <w:rPr>
                <w:rFonts w:ascii="Calibri" w:eastAsia="Times New Roman" w:hAnsi="Calibri" w:cs="Arial"/>
                <w:color w:val="000000"/>
                <w:sz w:val="20"/>
                <w:szCs w:val="20"/>
              </w:rPr>
              <w:t>130</w:t>
            </w:r>
            <w:r w:rsidR="00E00C84" w:rsidRPr="00E00C84">
              <w:rPr>
                <w:rFonts w:ascii="Calibri" w:eastAsia="Times New Roman" w:hAnsi="Calibri" w:cs="Arial"/>
                <w:color w:val="000000"/>
                <w:sz w:val="20"/>
                <w:szCs w:val="20"/>
              </w:rPr>
              <w:t>%</w:t>
            </w:r>
          </w:p>
        </w:tc>
      </w:tr>
      <w:tr w:rsidR="00E00C84" w:rsidRPr="00E00C84" w:rsidTr="00FF26F8">
        <w:tc>
          <w:tcPr>
            <w:tcW w:w="625" w:type="pct"/>
            <w:shd w:val="clear" w:color="auto" w:fill="auto"/>
            <w:vAlign w:val="center"/>
            <w:hideMark/>
          </w:tcPr>
          <w:p w:rsidR="00E00C84" w:rsidRPr="00E00C84" w:rsidRDefault="00E00C84" w:rsidP="005F5E47">
            <w:pPr>
              <w:spacing w:after="0"/>
              <w:rPr>
                <w:rFonts w:ascii="Calibri" w:eastAsia="Times New Roman" w:hAnsi="Calibri" w:cs="Arial"/>
                <w:color w:val="000000"/>
                <w:sz w:val="20"/>
                <w:szCs w:val="20"/>
              </w:rPr>
            </w:pPr>
            <w:r w:rsidRPr="00E00C84">
              <w:rPr>
                <w:rFonts w:ascii="Calibri" w:eastAsia="Times New Roman" w:hAnsi="Calibri" w:cs="Arial"/>
                <w:color w:val="000000"/>
                <w:sz w:val="20"/>
                <w:szCs w:val="20"/>
              </w:rPr>
              <w:t>&gt;20</w:t>
            </w:r>
          </w:p>
        </w:tc>
        <w:tc>
          <w:tcPr>
            <w:tcW w:w="625" w:type="pct"/>
            <w:shd w:val="clear" w:color="auto" w:fill="auto"/>
            <w:vAlign w:val="center"/>
            <w:hideMark/>
          </w:tcPr>
          <w:p w:rsidR="00E00C84" w:rsidRPr="00E00C84" w:rsidRDefault="00E00C84" w:rsidP="005F5E47">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50%</w:t>
            </w:r>
          </w:p>
        </w:tc>
        <w:tc>
          <w:tcPr>
            <w:tcW w:w="625" w:type="pct"/>
            <w:shd w:val="clear" w:color="auto" w:fill="auto"/>
            <w:vAlign w:val="center"/>
            <w:hideMark/>
          </w:tcPr>
          <w:p w:rsidR="00E00C84" w:rsidRPr="00E00C84" w:rsidRDefault="00E00C84" w:rsidP="005F5E47">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24.4</w:t>
            </w:r>
          </w:p>
        </w:tc>
        <w:tc>
          <w:tcPr>
            <w:tcW w:w="625" w:type="pct"/>
            <w:shd w:val="clear" w:color="auto" w:fill="auto"/>
            <w:vAlign w:val="center"/>
            <w:hideMark/>
          </w:tcPr>
          <w:p w:rsidR="00E00C84" w:rsidRPr="00E00C84" w:rsidRDefault="00E00C84" w:rsidP="005F5E47">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3</w:t>
            </w:r>
            <w:r w:rsidR="00297A9C">
              <w:rPr>
                <w:rFonts w:ascii="Calibri" w:eastAsia="Times New Roman" w:hAnsi="Calibri" w:cs="Arial"/>
                <w:color w:val="000000"/>
                <w:sz w:val="20"/>
                <w:szCs w:val="20"/>
              </w:rPr>
              <w:t>5.1</w:t>
            </w:r>
          </w:p>
        </w:tc>
        <w:tc>
          <w:tcPr>
            <w:tcW w:w="625" w:type="pct"/>
            <w:shd w:val="clear" w:color="auto" w:fill="auto"/>
            <w:vAlign w:val="center"/>
            <w:hideMark/>
          </w:tcPr>
          <w:p w:rsidR="00E00C84" w:rsidRPr="00E00C84" w:rsidRDefault="00297A9C" w:rsidP="005F5E47">
            <w:pPr>
              <w:spacing w:after="0"/>
              <w:jc w:val="right"/>
              <w:rPr>
                <w:rFonts w:ascii="Calibri" w:eastAsia="Times New Roman" w:hAnsi="Calibri" w:cs="Arial"/>
                <w:color w:val="000000"/>
                <w:sz w:val="20"/>
                <w:szCs w:val="20"/>
              </w:rPr>
            </w:pPr>
            <w:r>
              <w:rPr>
                <w:rFonts w:ascii="Calibri" w:eastAsia="Times New Roman" w:hAnsi="Calibri" w:cs="Arial"/>
                <w:color w:val="000000"/>
                <w:sz w:val="20"/>
                <w:szCs w:val="20"/>
              </w:rPr>
              <w:t>855</w:t>
            </w:r>
          </w:p>
        </w:tc>
        <w:tc>
          <w:tcPr>
            <w:tcW w:w="625" w:type="pct"/>
            <w:shd w:val="clear" w:color="auto" w:fill="auto"/>
            <w:vAlign w:val="center"/>
            <w:hideMark/>
          </w:tcPr>
          <w:p w:rsidR="00E00C84" w:rsidRPr="00E00C84" w:rsidRDefault="00E00C84" w:rsidP="005F5E47">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35.3</w:t>
            </w:r>
          </w:p>
        </w:tc>
        <w:tc>
          <w:tcPr>
            <w:tcW w:w="625" w:type="pct"/>
            <w:shd w:val="clear" w:color="auto" w:fill="auto"/>
            <w:vAlign w:val="center"/>
            <w:hideMark/>
          </w:tcPr>
          <w:p w:rsidR="00E00C84" w:rsidRPr="00E00C84" w:rsidRDefault="00E00C84" w:rsidP="005F5E47">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860</w:t>
            </w:r>
          </w:p>
        </w:tc>
        <w:tc>
          <w:tcPr>
            <w:tcW w:w="625" w:type="pct"/>
            <w:shd w:val="clear" w:color="auto" w:fill="auto"/>
            <w:vAlign w:val="center"/>
            <w:hideMark/>
          </w:tcPr>
          <w:p w:rsidR="00E00C84" w:rsidRPr="00E00C84" w:rsidRDefault="00297A9C" w:rsidP="005F5E47">
            <w:pPr>
              <w:spacing w:after="0"/>
              <w:jc w:val="right"/>
              <w:rPr>
                <w:rFonts w:ascii="Calibri" w:eastAsia="Times New Roman" w:hAnsi="Calibri" w:cs="Arial"/>
                <w:color w:val="000000"/>
                <w:sz w:val="20"/>
                <w:szCs w:val="20"/>
              </w:rPr>
            </w:pPr>
            <w:r>
              <w:rPr>
                <w:rFonts w:ascii="Calibri" w:eastAsia="Times New Roman" w:hAnsi="Calibri" w:cs="Arial"/>
                <w:color w:val="000000"/>
                <w:sz w:val="20"/>
                <w:szCs w:val="20"/>
              </w:rPr>
              <w:t>99</w:t>
            </w:r>
            <w:r w:rsidR="00E00C84" w:rsidRPr="00E00C84">
              <w:rPr>
                <w:rFonts w:ascii="Calibri" w:eastAsia="Times New Roman" w:hAnsi="Calibri" w:cs="Arial"/>
                <w:color w:val="000000"/>
                <w:sz w:val="20"/>
                <w:szCs w:val="20"/>
              </w:rPr>
              <w:t>%</w:t>
            </w:r>
          </w:p>
        </w:tc>
      </w:tr>
      <w:tr w:rsidR="00E00C84" w:rsidRPr="00E00C84" w:rsidTr="00FF26F8">
        <w:tc>
          <w:tcPr>
            <w:tcW w:w="625" w:type="pct"/>
            <w:shd w:val="clear" w:color="auto" w:fill="auto"/>
            <w:vAlign w:val="center"/>
            <w:hideMark/>
          </w:tcPr>
          <w:p w:rsidR="00E00C84" w:rsidRPr="00E00C84" w:rsidRDefault="00E00C84" w:rsidP="005F5E47">
            <w:pPr>
              <w:spacing w:after="0"/>
              <w:rPr>
                <w:rFonts w:ascii="Calibri" w:eastAsia="Times New Roman" w:hAnsi="Calibri" w:cs="Arial"/>
                <w:color w:val="000000"/>
                <w:sz w:val="20"/>
                <w:szCs w:val="20"/>
              </w:rPr>
            </w:pPr>
            <w:r w:rsidRPr="00E00C84">
              <w:rPr>
                <w:rFonts w:ascii="Calibri" w:eastAsia="Times New Roman" w:hAnsi="Calibri" w:cs="Arial"/>
                <w:color w:val="000000"/>
                <w:sz w:val="20"/>
                <w:szCs w:val="20"/>
              </w:rPr>
              <w:t>Overall</w:t>
            </w:r>
          </w:p>
        </w:tc>
        <w:tc>
          <w:tcPr>
            <w:tcW w:w="625" w:type="pct"/>
            <w:shd w:val="clear" w:color="auto" w:fill="auto"/>
            <w:vAlign w:val="center"/>
            <w:hideMark/>
          </w:tcPr>
          <w:p w:rsidR="00E00C84" w:rsidRPr="00E00C84" w:rsidRDefault="00E00C84" w:rsidP="005F5E47">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100%</w:t>
            </w:r>
          </w:p>
        </w:tc>
        <w:tc>
          <w:tcPr>
            <w:tcW w:w="625" w:type="pct"/>
            <w:shd w:val="clear" w:color="auto" w:fill="auto"/>
            <w:vAlign w:val="center"/>
            <w:hideMark/>
          </w:tcPr>
          <w:p w:rsidR="00E00C84" w:rsidRPr="00E00C84" w:rsidRDefault="00E00C84" w:rsidP="005F5E47">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18.6</w:t>
            </w:r>
          </w:p>
        </w:tc>
        <w:tc>
          <w:tcPr>
            <w:tcW w:w="625" w:type="pct"/>
            <w:shd w:val="clear" w:color="auto" w:fill="auto"/>
            <w:vAlign w:val="center"/>
            <w:hideMark/>
          </w:tcPr>
          <w:p w:rsidR="00E00C84" w:rsidRPr="00E00C84" w:rsidRDefault="00297A9C" w:rsidP="005F5E47">
            <w:pPr>
              <w:spacing w:after="0"/>
              <w:jc w:val="right"/>
              <w:rPr>
                <w:rFonts w:ascii="Calibri" w:eastAsia="Times New Roman" w:hAnsi="Calibri" w:cs="Arial"/>
                <w:color w:val="000000"/>
                <w:sz w:val="20"/>
                <w:szCs w:val="20"/>
              </w:rPr>
            </w:pPr>
            <w:r>
              <w:rPr>
                <w:rFonts w:ascii="Calibri" w:eastAsia="Times New Roman" w:hAnsi="Calibri" w:cs="Arial"/>
                <w:color w:val="000000"/>
                <w:sz w:val="20"/>
                <w:szCs w:val="20"/>
              </w:rPr>
              <w:t>42.0</w:t>
            </w:r>
          </w:p>
        </w:tc>
        <w:tc>
          <w:tcPr>
            <w:tcW w:w="625" w:type="pct"/>
            <w:shd w:val="clear" w:color="auto" w:fill="auto"/>
            <w:vAlign w:val="center"/>
            <w:hideMark/>
          </w:tcPr>
          <w:p w:rsidR="00E00C84" w:rsidRPr="00E00C84" w:rsidRDefault="00297A9C" w:rsidP="005F5E47">
            <w:pPr>
              <w:spacing w:after="0"/>
              <w:jc w:val="right"/>
              <w:rPr>
                <w:rFonts w:ascii="Calibri" w:eastAsia="Times New Roman" w:hAnsi="Calibri" w:cs="Arial"/>
                <w:color w:val="000000"/>
                <w:sz w:val="20"/>
                <w:szCs w:val="20"/>
              </w:rPr>
            </w:pPr>
            <w:r>
              <w:rPr>
                <w:rFonts w:ascii="Calibri" w:eastAsia="Times New Roman" w:hAnsi="Calibri" w:cs="Arial"/>
                <w:color w:val="000000"/>
                <w:sz w:val="20"/>
                <w:szCs w:val="20"/>
              </w:rPr>
              <w:t>782</w:t>
            </w:r>
          </w:p>
        </w:tc>
        <w:tc>
          <w:tcPr>
            <w:tcW w:w="625" w:type="pct"/>
            <w:shd w:val="clear" w:color="auto" w:fill="auto"/>
            <w:vAlign w:val="center"/>
            <w:hideMark/>
          </w:tcPr>
          <w:p w:rsidR="00E00C84" w:rsidRPr="00E00C84" w:rsidRDefault="00E00C84" w:rsidP="005F5E47">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35.0</w:t>
            </w:r>
          </w:p>
        </w:tc>
        <w:tc>
          <w:tcPr>
            <w:tcW w:w="625" w:type="pct"/>
            <w:shd w:val="clear" w:color="auto" w:fill="auto"/>
            <w:vAlign w:val="center"/>
            <w:hideMark/>
          </w:tcPr>
          <w:p w:rsidR="00E00C84" w:rsidRPr="00E00C84" w:rsidRDefault="00E00C84" w:rsidP="005F5E47">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652</w:t>
            </w:r>
          </w:p>
        </w:tc>
        <w:tc>
          <w:tcPr>
            <w:tcW w:w="625" w:type="pct"/>
            <w:shd w:val="clear" w:color="auto" w:fill="auto"/>
            <w:vAlign w:val="center"/>
            <w:hideMark/>
          </w:tcPr>
          <w:p w:rsidR="00E00C84" w:rsidRPr="00E00C84" w:rsidRDefault="00297A9C" w:rsidP="005F5E47">
            <w:pPr>
              <w:spacing w:after="0"/>
              <w:jc w:val="right"/>
              <w:rPr>
                <w:rFonts w:ascii="Calibri" w:eastAsia="Times New Roman" w:hAnsi="Calibri" w:cs="Arial"/>
                <w:color w:val="000000"/>
                <w:sz w:val="20"/>
                <w:szCs w:val="20"/>
              </w:rPr>
            </w:pPr>
            <w:r>
              <w:rPr>
                <w:rFonts w:ascii="Calibri" w:eastAsia="Times New Roman" w:hAnsi="Calibri" w:cs="Arial"/>
                <w:color w:val="000000"/>
                <w:sz w:val="20"/>
                <w:szCs w:val="20"/>
              </w:rPr>
              <w:t>120</w:t>
            </w:r>
            <w:r w:rsidR="00E00C84" w:rsidRPr="00E00C84">
              <w:rPr>
                <w:rFonts w:ascii="Calibri" w:eastAsia="Times New Roman" w:hAnsi="Calibri" w:cs="Arial"/>
                <w:color w:val="000000"/>
                <w:sz w:val="20"/>
                <w:szCs w:val="20"/>
              </w:rPr>
              <w:t>%</w:t>
            </w:r>
          </w:p>
        </w:tc>
      </w:tr>
    </w:tbl>
    <w:p w:rsidR="003E6579" w:rsidRPr="0029422F" w:rsidRDefault="003E6579" w:rsidP="00FF26F8">
      <w:pPr>
        <w:pStyle w:val="NormalAfterTablesandFigures"/>
      </w:pPr>
    </w:p>
    <w:p w:rsidR="00D3146F" w:rsidRDefault="00D3146F" w:rsidP="00FF26F8">
      <w:pPr>
        <w:pStyle w:val="Heading4"/>
      </w:pPr>
      <w:r>
        <w:t>Shell Measures and Duct Sealing</w:t>
      </w:r>
    </w:p>
    <w:p w:rsidR="00A05648" w:rsidRDefault="00AF41A6" w:rsidP="00A05648">
      <w:r>
        <w:t>The Evaluation Team esti</w:t>
      </w:r>
      <w:r w:rsidR="00786323">
        <w:t>mated impacts for shell measures (</w:t>
      </w:r>
      <w:r>
        <w:t>including</w:t>
      </w:r>
      <w:r w:rsidR="00786323">
        <w:t xml:space="preserve"> </w:t>
      </w:r>
      <w:r w:rsidR="0077017F">
        <w:t>insulation</w:t>
      </w:r>
      <w:r w:rsidR="00082BA1">
        <w:t xml:space="preserve"> </w:t>
      </w:r>
      <w:r w:rsidR="0077017F">
        <w:t xml:space="preserve">and </w:t>
      </w:r>
      <w:r>
        <w:t>air sealing</w:t>
      </w:r>
      <w:r w:rsidR="00786323">
        <w:t>)</w:t>
      </w:r>
      <w:r>
        <w:t xml:space="preserve"> and duct</w:t>
      </w:r>
      <w:r w:rsidR="00CD4CCB">
        <w:t>-</w:t>
      </w:r>
      <w:r>
        <w:t xml:space="preserve">sealing measures </w:t>
      </w:r>
      <w:r w:rsidR="003009EA">
        <w:t xml:space="preserve">primarily </w:t>
      </w:r>
      <w:r>
        <w:t>using a combination of billing analysis and building sim</w:t>
      </w:r>
      <w:r w:rsidR="00786323">
        <w:t>ulation models</w:t>
      </w:r>
      <w:r w:rsidR="00A05648">
        <w:t>. Specifically, estimates for air sealing have been estimated using billing analysis, given precision estimates meet</w:t>
      </w:r>
      <w:r w:rsidR="00CD4CCB">
        <w:t>ing</w:t>
      </w:r>
      <w:r w:rsidR="00A05648">
        <w:t xml:space="preserve"> the </w:t>
      </w:r>
      <w:r w:rsidR="00CD4CCB">
        <w:t xml:space="preserve">study’s </w:t>
      </w:r>
      <w:r w:rsidR="00A05648">
        <w:t>threshold.</w:t>
      </w:r>
      <w:r w:rsidR="00082BA1">
        <w:t xml:space="preserve"> Impacts associated with window replacements have been </w:t>
      </w:r>
      <w:r w:rsidR="008017E5">
        <w:t>assessed</w:t>
      </w:r>
      <w:r w:rsidR="00082BA1">
        <w:t xml:space="preserve"> using engineering algorithms due to limited information provided in the </w:t>
      </w:r>
      <w:r w:rsidR="003009EA">
        <w:t xml:space="preserve">program </w:t>
      </w:r>
      <w:r w:rsidR="00082BA1">
        <w:t>tracking data.</w:t>
      </w:r>
    </w:p>
    <w:p w:rsidR="00A05648" w:rsidRDefault="00724458" w:rsidP="00A05648">
      <w:r>
        <w:t>Electric savings for these measures are associated with heating savings from electric heat sources, in addition to reductions in cooling and fan energy consumption (associated with reduced run time</w:t>
      </w:r>
      <w:r w:rsidR="00CD4CCB">
        <w:t>s</w:t>
      </w:r>
      <w:r>
        <w:t xml:space="preserve"> in homes with gas, oil, or propane heating). </w:t>
      </w:r>
    </w:p>
    <w:p w:rsidR="00A05648" w:rsidRDefault="00A05648" w:rsidP="00FF26F8">
      <w:pPr>
        <w:pStyle w:val="Heading5"/>
      </w:pPr>
      <w:r>
        <w:t>Billing Analysis Results</w:t>
      </w:r>
    </w:p>
    <w:p w:rsidR="00E24E45" w:rsidRDefault="00A05648" w:rsidP="00D02389">
      <w:r>
        <w:t xml:space="preserve">The Evaluation Team estimated air sealing </w:t>
      </w:r>
      <w:r w:rsidR="005F5E47">
        <w:t xml:space="preserve">impacts </w:t>
      </w:r>
      <w:r>
        <w:t xml:space="preserve">through the billing analysis, </w:t>
      </w:r>
      <w:r w:rsidR="009B75F2">
        <w:t>as</w:t>
      </w:r>
      <w:r>
        <w:t xml:space="preserve"> this measure achieved a precision </w:t>
      </w:r>
      <w:r w:rsidR="003E3609">
        <w:t>estimate of less than the study threshold</w:t>
      </w:r>
      <w:r>
        <w:t xml:space="preserve">. </w:t>
      </w:r>
      <w:r w:rsidR="005C2163">
        <w:fldChar w:fldCharType="begin"/>
      </w:r>
      <w:r w:rsidR="007C46AE">
        <w:instrText xml:space="preserve"> REF _Ref388437190 \h </w:instrText>
      </w:r>
      <w:r w:rsidR="005C2163">
        <w:fldChar w:fldCharType="separate"/>
      </w:r>
      <w:r w:rsidR="00CD20CF">
        <w:t xml:space="preserve">Table </w:t>
      </w:r>
      <w:r w:rsidR="00CD20CF">
        <w:rPr>
          <w:noProof/>
        </w:rPr>
        <w:t>20</w:t>
      </w:r>
      <w:r w:rsidR="005C2163">
        <w:fldChar w:fldCharType="end"/>
      </w:r>
      <w:r>
        <w:t xml:space="preserve"> presents the corresponding billing analysis model results. </w:t>
      </w:r>
    </w:p>
    <w:p w:rsidR="00896031" w:rsidRDefault="00896031" w:rsidP="00896031">
      <w:pPr>
        <w:pStyle w:val="Caption"/>
      </w:pPr>
      <w:bookmarkStart w:id="61" w:name="_Ref388437190"/>
      <w:r>
        <w:t xml:space="preserve">Table </w:t>
      </w:r>
      <w:r w:rsidR="002506E1">
        <w:fldChar w:fldCharType="begin"/>
      </w:r>
      <w:r w:rsidR="002506E1">
        <w:instrText xml:space="preserve"> SEQ Table \* ARABIC </w:instrText>
      </w:r>
      <w:r w:rsidR="002506E1">
        <w:fldChar w:fldCharType="separate"/>
      </w:r>
      <w:r w:rsidR="00CD20CF">
        <w:rPr>
          <w:noProof/>
        </w:rPr>
        <w:t>20</w:t>
      </w:r>
      <w:r w:rsidR="002506E1">
        <w:rPr>
          <w:noProof/>
        </w:rPr>
        <w:fldChar w:fldCharType="end"/>
      </w:r>
      <w:bookmarkEnd w:id="61"/>
      <w:r>
        <w:t xml:space="preserve">. HES Billing Analysis </w:t>
      </w:r>
      <w:r w:rsidR="003E3DA0">
        <w:t>Electric</w:t>
      </w:r>
      <w:r>
        <w:t xml:space="preserve"> Savings Results for </w:t>
      </w:r>
      <w:r w:rsidR="00042275">
        <w:t>Air Sealing</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38"/>
        <w:gridCol w:w="720"/>
        <w:gridCol w:w="1080"/>
        <w:gridCol w:w="1620"/>
        <w:gridCol w:w="2340"/>
        <w:gridCol w:w="2178"/>
      </w:tblGrid>
      <w:tr w:rsidR="00A05648" w:rsidRPr="00A05648" w:rsidTr="009B75F2">
        <w:tc>
          <w:tcPr>
            <w:tcW w:w="855" w:type="pct"/>
            <w:shd w:val="clear" w:color="000000" w:fill="005DAA"/>
            <w:vAlign w:val="center"/>
            <w:hideMark/>
          </w:tcPr>
          <w:p w:rsidR="00A05648" w:rsidRPr="00A05648" w:rsidRDefault="00A05648" w:rsidP="00FF26F8">
            <w:pPr>
              <w:spacing w:after="0"/>
              <w:jc w:val="center"/>
              <w:rPr>
                <w:rFonts w:ascii="Calibri" w:eastAsia="Times New Roman" w:hAnsi="Calibri" w:cs="Times New Roman"/>
                <w:b/>
                <w:bCs/>
                <w:color w:val="FFFFFF"/>
              </w:rPr>
            </w:pPr>
            <w:r w:rsidRPr="00A05648">
              <w:rPr>
                <w:rFonts w:ascii="Calibri" w:eastAsia="Times New Roman" w:hAnsi="Calibri" w:cs="Times New Roman"/>
                <w:b/>
                <w:bCs/>
                <w:color w:val="FFFFFF"/>
              </w:rPr>
              <w:t>Measure</w:t>
            </w:r>
          </w:p>
        </w:tc>
        <w:tc>
          <w:tcPr>
            <w:tcW w:w="376" w:type="pct"/>
            <w:shd w:val="clear" w:color="000000" w:fill="005DAA"/>
            <w:vAlign w:val="center"/>
            <w:hideMark/>
          </w:tcPr>
          <w:p w:rsidR="00A05648" w:rsidRPr="00A05648" w:rsidRDefault="00A05648" w:rsidP="00FF26F8">
            <w:pPr>
              <w:spacing w:after="0"/>
              <w:jc w:val="center"/>
              <w:rPr>
                <w:rFonts w:ascii="Calibri" w:eastAsia="Times New Roman" w:hAnsi="Calibri" w:cs="Times New Roman"/>
                <w:b/>
                <w:bCs/>
                <w:color w:val="FFFFFF"/>
              </w:rPr>
            </w:pPr>
            <w:r w:rsidRPr="00A05648">
              <w:rPr>
                <w:rFonts w:ascii="Calibri" w:eastAsia="Times New Roman" w:hAnsi="Calibri" w:cs="Times New Roman"/>
                <w:b/>
                <w:bCs/>
                <w:color w:val="FFFFFF"/>
              </w:rPr>
              <w:t>n</w:t>
            </w:r>
          </w:p>
        </w:tc>
        <w:tc>
          <w:tcPr>
            <w:tcW w:w="564" w:type="pct"/>
            <w:shd w:val="clear" w:color="000000" w:fill="005DAA"/>
            <w:vAlign w:val="center"/>
            <w:hideMark/>
          </w:tcPr>
          <w:p w:rsidR="00A05648" w:rsidRPr="00A05648" w:rsidRDefault="00A05648" w:rsidP="00FF26F8">
            <w:pPr>
              <w:spacing w:after="0"/>
              <w:jc w:val="center"/>
              <w:rPr>
                <w:rFonts w:ascii="Calibri" w:eastAsia="Times New Roman" w:hAnsi="Calibri" w:cs="Times New Roman"/>
                <w:b/>
                <w:bCs/>
                <w:color w:val="FFFFFF"/>
              </w:rPr>
            </w:pPr>
            <w:r w:rsidRPr="00A05648">
              <w:rPr>
                <w:rFonts w:ascii="Calibri" w:eastAsia="Times New Roman" w:hAnsi="Calibri" w:cs="Times New Roman"/>
                <w:b/>
                <w:bCs/>
                <w:color w:val="FFFFFF"/>
              </w:rPr>
              <w:t>PRENAC</w:t>
            </w:r>
          </w:p>
        </w:tc>
        <w:tc>
          <w:tcPr>
            <w:tcW w:w="846" w:type="pct"/>
            <w:shd w:val="clear" w:color="000000" w:fill="005DAA"/>
            <w:vAlign w:val="center"/>
            <w:hideMark/>
          </w:tcPr>
          <w:p w:rsidR="00A05648" w:rsidRPr="00A05648" w:rsidRDefault="00A05648" w:rsidP="00FF26F8">
            <w:pPr>
              <w:spacing w:after="0"/>
              <w:jc w:val="center"/>
              <w:rPr>
                <w:rFonts w:ascii="Calibri" w:eastAsia="Times New Roman" w:hAnsi="Calibri" w:cs="Times New Roman"/>
                <w:b/>
                <w:bCs/>
                <w:color w:val="FFFFFF"/>
              </w:rPr>
            </w:pPr>
            <w:r w:rsidRPr="00A05648">
              <w:rPr>
                <w:rFonts w:ascii="Calibri" w:eastAsia="Times New Roman" w:hAnsi="Calibri" w:cs="Times New Roman"/>
                <w:b/>
                <w:bCs/>
                <w:color w:val="FFFFFF"/>
              </w:rPr>
              <w:t>Model Savings (kWh)</w:t>
            </w:r>
          </w:p>
        </w:tc>
        <w:tc>
          <w:tcPr>
            <w:tcW w:w="1222" w:type="pct"/>
            <w:shd w:val="clear" w:color="000000" w:fill="005DAA"/>
            <w:vAlign w:val="center"/>
            <w:hideMark/>
          </w:tcPr>
          <w:p w:rsidR="00A05648" w:rsidRPr="00A05648" w:rsidRDefault="00A05648" w:rsidP="00FF26F8">
            <w:pPr>
              <w:spacing w:after="0"/>
              <w:jc w:val="center"/>
              <w:rPr>
                <w:rFonts w:ascii="Calibri" w:eastAsia="Times New Roman" w:hAnsi="Calibri" w:cs="Times New Roman"/>
                <w:b/>
                <w:bCs/>
                <w:color w:val="FFFFFF"/>
              </w:rPr>
            </w:pPr>
            <w:r w:rsidRPr="00A05648">
              <w:rPr>
                <w:rFonts w:ascii="Calibri" w:eastAsia="Times New Roman" w:hAnsi="Calibri" w:cs="Times New Roman"/>
                <w:b/>
                <w:bCs/>
                <w:color w:val="FFFFFF"/>
              </w:rPr>
              <w:t>Savings as Percent of Pre-Usage</w:t>
            </w:r>
          </w:p>
        </w:tc>
        <w:tc>
          <w:tcPr>
            <w:tcW w:w="1137" w:type="pct"/>
            <w:shd w:val="clear" w:color="000000" w:fill="005DAA"/>
            <w:vAlign w:val="center"/>
            <w:hideMark/>
          </w:tcPr>
          <w:p w:rsidR="00A05648" w:rsidRPr="00A05648" w:rsidRDefault="00A05648" w:rsidP="00FF26F8">
            <w:pPr>
              <w:spacing w:after="0"/>
              <w:jc w:val="center"/>
              <w:rPr>
                <w:rFonts w:ascii="Calibri" w:eastAsia="Times New Roman" w:hAnsi="Calibri" w:cs="Times New Roman"/>
                <w:b/>
                <w:bCs/>
                <w:color w:val="FFFFFF"/>
              </w:rPr>
            </w:pPr>
            <w:r w:rsidRPr="00A05648">
              <w:rPr>
                <w:rFonts w:ascii="Calibri" w:eastAsia="Times New Roman" w:hAnsi="Calibri" w:cs="Times New Roman"/>
                <w:b/>
                <w:bCs/>
                <w:color w:val="FFFFFF"/>
              </w:rPr>
              <w:t>Relative Precision at 90%</w:t>
            </w:r>
          </w:p>
        </w:tc>
      </w:tr>
      <w:tr w:rsidR="00A05648" w:rsidRPr="00A05648" w:rsidTr="009B75F2">
        <w:tc>
          <w:tcPr>
            <w:tcW w:w="855" w:type="pct"/>
            <w:shd w:val="clear" w:color="auto" w:fill="auto"/>
            <w:vAlign w:val="center"/>
            <w:hideMark/>
          </w:tcPr>
          <w:p w:rsidR="00A05648" w:rsidRPr="00A05648" w:rsidRDefault="00A05648" w:rsidP="00FF26F8">
            <w:pPr>
              <w:spacing w:after="0"/>
              <w:rPr>
                <w:rFonts w:ascii="Calibri" w:eastAsia="Times New Roman" w:hAnsi="Calibri" w:cs="Times New Roman"/>
                <w:color w:val="000000"/>
                <w:sz w:val="20"/>
                <w:szCs w:val="20"/>
              </w:rPr>
            </w:pPr>
            <w:r w:rsidRPr="00A05648">
              <w:rPr>
                <w:rFonts w:ascii="Calibri" w:eastAsia="Times New Roman" w:hAnsi="Calibri" w:cs="Times New Roman"/>
                <w:color w:val="000000"/>
                <w:sz w:val="20"/>
                <w:szCs w:val="20"/>
              </w:rPr>
              <w:t>Air Sealing</w:t>
            </w:r>
          </w:p>
        </w:tc>
        <w:tc>
          <w:tcPr>
            <w:tcW w:w="376" w:type="pct"/>
            <w:shd w:val="clear" w:color="auto" w:fill="auto"/>
            <w:vAlign w:val="center"/>
            <w:hideMark/>
          </w:tcPr>
          <w:p w:rsidR="00A05648" w:rsidRPr="00A05648" w:rsidRDefault="00A05648" w:rsidP="00FF26F8">
            <w:pPr>
              <w:spacing w:after="0"/>
              <w:jc w:val="right"/>
              <w:rPr>
                <w:rFonts w:ascii="Calibri" w:eastAsia="Times New Roman" w:hAnsi="Calibri" w:cs="Times New Roman"/>
                <w:color w:val="000000"/>
                <w:sz w:val="20"/>
                <w:szCs w:val="20"/>
              </w:rPr>
            </w:pPr>
            <w:r w:rsidRPr="00A05648">
              <w:rPr>
                <w:rFonts w:ascii="Calibri" w:eastAsia="Times New Roman" w:hAnsi="Calibri" w:cs="Times New Roman"/>
                <w:color w:val="000000"/>
                <w:sz w:val="20"/>
                <w:szCs w:val="20"/>
              </w:rPr>
              <w:t>8,201</w:t>
            </w:r>
          </w:p>
        </w:tc>
        <w:tc>
          <w:tcPr>
            <w:tcW w:w="564" w:type="pct"/>
            <w:shd w:val="clear" w:color="auto" w:fill="auto"/>
            <w:vAlign w:val="center"/>
            <w:hideMark/>
          </w:tcPr>
          <w:p w:rsidR="00A05648" w:rsidRPr="00A05648" w:rsidRDefault="00A05648" w:rsidP="00FF26F8">
            <w:pPr>
              <w:spacing w:after="0"/>
              <w:jc w:val="right"/>
              <w:rPr>
                <w:rFonts w:ascii="Calibri" w:eastAsia="Times New Roman" w:hAnsi="Calibri" w:cs="Times New Roman"/>
                <w:color w:val="000000"/>
                <w:sz w:val="20"/>
                <w:szCs w:val="20"/>
              </w:rPr>
            </w:pPr>
            <w:r w:rsidRPr="00A05648">
              <w:rPr>
                <w:rFonts w:ascii="Calibri" w:eastAsia="Times New Roman" w:hAnsi="Calibri" w:cs="Times New Roman"/>
                <w:color w:val="000000"/>
                <w:sz w:val="20"/>
                <w:szCs w:val="20"/>
              </w:rPr>
              <w:t>11,987</w:t>
            </w:r>
          </w:p>
        </w:tc>
        <w:tc>
          <w:tcPr>
            <w:tcW w:w="846" w:type="pct"/>
            <w:shd w:val="clear" w:color="auto" w:fill="auto"/>
            <w:vAlign w:val="center"/>
            <w:hideMark/>
          </w:tcPr>
          <w:p w:rsidR="00A05648" w:rsidRPr="00A05648" w:rsidRDefault="00786323" w:rsidP="00FF26F8">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269</w:t>
            </w:r>
          </w:p>
        </w:tc>
        <w:tc>
          <w:tcPr>
            <w:tcW w:w="1222" w:type="pct"/>
            <w:shd w:val="clear" w:color="auto" w:fill="auto"/>
            <w:vAlign w:val="center"/>
            <w:hideMark/>
          </w:tcPr>
          <w:p w:rsidR="00A05648" w:rsidRPr="00A05648" w:rsidRDefault="00A05648" w:rsidP="00FF26F8">
            <w:pPr>
              <w:spacing w:after="0"/>
              <w:jc w:val="right"/>
              <w:rPr>
                <w:rFonts w:ascii="Calibri" w:eastAsia="Times New Roman" w:hAnsi="Calibri" w:cs="Times New Roman"/>
                <w:color w:val="000000"/>
                <w:sz w:val="20"/>
                <w:szCs w:val="20"/>
              </w:rPr>
            </w:pPr>
            <w:r w:rsidRPr="00A05648">
              <w:rPr>
                <w:rFonts w:ascii="Calibri" w:eastAsia="Times New Roman" w:hAnsi="Calibri" w:cs="Times New Roman"/>
                <w:color w:val="000000"/>
                <w:sz w:val="20"/>
                <w:szCs w:val="20"/>
              </w:rPr>
              <w:t>2%</w:t>
            </w:r>
          </w:p>
        </w:tc>
        <w:tc>
          <w:tcPr>
            <w:tcW w:w="1137" w:type="pct"/>
            <w:shd w:val="clear" w:color="auto" w:fill="auto"/>
            <w:vAlign w:val="center"/>
            <w:hideMark/>
          </w:tcPr>
          <w:p w:rsidR="00A05648" w:rsidRPr="00A05648" w:rsidRDefault="0021453A" w:rsidP="0078632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A05648" w:rsidRPr="00A05648">
              <w:rPr>
                <w:rFonts w:ascii="Calibri" w:eastAsia="Times New Roman" w:hAnsi="Calibri" w:cs="Times New Roman"/>
                <w:color w:val="000000"/>
                <w:sz w:val="20"/>
                <w:szCs w:val="20"/>
              </w:rPr>
              <w:t>2</w:t>
            </w:r>
            <w:r w:rsidR="00786323">
              <w:rPr>
                <w:rFonts w:ascii="Calibri" w:eastAsia="Times New Roman" w:hAnsi="Calibri" w:cs="Times New Roman"/>
                <w:color w:val="000000"/>
                <w:sz w:val="20"/>
                <w:szCs w:val="20"/>
              </w:rPr>
              <w:t>1</w:t>
            </w:r>
            <w:r w:rsidR="00A05648" w:rsidRPr="00A05648">
              <w:rPr>
                <w:rFonts w:ascii="Calibri" w:eastAsia="Times New Roman" w:hAnsi="Calibri" w:cs="Times New Roman"/>
                <w:color w:val="000000"/>
                <w:sz w:val="20"/>
                <w:szCs w:val="20"/>
              </w:rPr>
              <w:t>%</w:t>
            </w:r>
          </w:p>
        </w:tc>
      </w:tr>
    </w:tbl>
    <w:p w:rsidR="00896031" w:rsidRDefault="00896031" w:rsidP="00FF26F8">
      <w:pPr>
        <w:pStyle w:val="NormalAfterTablesandFigures"/>
      </w:pPr>
    </w:p>
    <w:p w:rsidR="00896031" w:rsidRPr="000E6110" w:rsidRDefault="005C2163" w:rsidP="00896031">
      <w:r>
        <w:fldChar w:fldCharType="begin"/>
      </w:r>
      <w:r w:rsidR="007C46AE">
        <w:instrText xml:space="preserve"> REF _Ref388437203 \h </w:instrText>
      </w:r>
      <w:r>
        <w:fldChar w:fldCharType="separate"/>
      </w:r>
      <w:r w:rsidR="00CD20CF">
        <w:t xml:space="preserve">Table </w:t>
      </w:r>
      <w:r w:rsidR="00CD20CF">
        <w:rPr>
          <w:noProof/>
        </w:rPr>
        <w:t>21</w:t>
      </w:r>
      <w:r>
        <w:fldChar w:fldCharType="end"/>
      </w:r>
      <w:r w:rsidR="00896031">
        <w:t xml:space="preserve"> </w:t>
      </w:r>
      <w:r w:rsidR="00042275">
        <w:t xml:space="preserve">provides the realization rate, based on comparing the gross savings estimate from the billing analysis to the average </w:t>
      </w:r>
      <w:r w:rsidR="00042275" w:rsidRPr="004E7EA6">
        <w:rPr>
          <w:i/>
        </w:rPr>
        <w:t>ex ante</w:t>
      </w:r>
      <w:r w:rsidR="00042275">
        <w:t xml:space="preserve"> savings per household, demonstrating that electric savings associated with this measure </w:t>
      </w:r>
      <w:r w:rsidR="0021453A">
        <w:t>are</w:t>
      </w:r>
      <w:r w:rsidR="00042275">
        <w:t xml:space="preserve"> much higher than </w:t>
      </w:r>
      <w:r w:rsidR="0021453A">
        <w:t xml:space="preserve">the </w:t>
      </w:r>
      <w:r w:rsidR="00042275" w:rsidRPr="00042275">
        <w:rPr>
          <w:i/>
        </w:rPr>
        <w:t>ex ante</w:t>
      </w:r>
      <w:r w:rsidR="00042275">
        <w:t xml:space="preserve"> </w:t>
      </w:r>
      <w:r w:rsidR="0021453A">
        <w:t xml:space="preserve">savings </w:t>
      </w:r>
      <w:r w:rsidR="00042275">
        <w:t>would suggest.</w:t>
      </w:r>
    </w:p>
    <w:p w:rsidR="00896031" w:rsidRDefault="00896031" w:rsidP="00896031">
      <w:pPr>
        <w:pStyle w:val="Caption"/>
      </w:pPr>
      <w:bookmarkStart w:id="62" w:name="_Ref388437203"/>
      <w:r>
        <w:t xml:space="preserve">Table </w:t>
      </w:r>
      <w:r w:rsidR="002506E1">
        <w:fldChar w:fldCharType="begin"/>
      </w:r>
      <w:r w:rsidR="002506E1">
        <w:instrText xml:space="preserve"> SEQ Table \* ARABIC </w:instrText>
      </w:r>
      <w:r w:rsidR="002506E1">
        <w:fldChar w:fldCharType="separate"/>
      </w:r>
      <w:r w:rsidR="00CD20CF">
        <w:rPr>
          <w:noProof/>
        </w:rPr>
        <w:t>21</w:t>
      </w:r>
      <w:r w:rsidR="002506E1">
        <w:rPr>
          <w:noProof/>
        </w:rPr>
        <w:fldChar w:fldCharType="end"/>
      </w:r>
      <w:bookmarkEnd w:id="62"/>
      <w:r>
        <w:t xml:space="preserve">. HES Billing Analysis Realization Rate Summary for </w:t>
      </w:r>
      <w:r w:rsidR="00042275">
        <w:t>Air Sealing</w:t>
      </w:r>
    </w:p>
    <w:tbl>
      <w:tblPr>
        <w:tblW w:w="95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8"/>
        <w:gridCol w:w="2020"/>
        <w:gridCol w:w="1420"/>
        <w:gridCol w:w="1420"/>
        <w:gridCol w:w="1420"/>
        <w:gridCol w:w="1420"/>
        <w:gridCol w:w="1420"/>
        <w:gridCol w:w="358"/>
      </w:tblGrid>
      <w:tr w:rsidR="00A05648" w:rsidRPr="00A05648" w:rsidTr="005C2B81">
        <w:trPr>
          <w:gridBefore w:val="1"/>
          <w:gridAfter w:val="1"/>
          <w:wBefore w:w="98" w:type="dxa"/>
          <w:wAfter w:w="358" w:type="dxa"/>
        </w:trPr>
        <w:tc>
          <w:tcPr>
            <w:tcW w:w="2020" w:type="dxa"/>
            <w:shd w:val="clear" w:color="000000" w:fill="005DAA"/>
            <w:vAlign w:val="center"/>
            <w:hideMark/>
          </w:tcPr>
          <w:p w:rsidR="00A05648" w:rsidRPr="00A05648" w:rsidRDefault="00A05648" w:rsidP="005F5E47">
            <w:pPr>
              <w:spacing w:after="0"/>
              <w:jc w:val="center"/>
              <w:rPr>
                <w:rFonts w:ascii="Calibri" w:eastAsia="Times New Roman" w:hAnsi="Calibri" w:cs="Times New Roman"/>
                <w:b/>
                <w:bCs/>
                <w:color w:val="FFFFFF"/>
              </w:rPr>
            </w:pPr>
            <w:r w:rsidRPr="00A05648">
              <w:rPr>
                <w:rFonts w:ascii="Calibri" w:eastAsia="Times New Roman" w:hAnsi="Calibri" w:cs="Times New Roman"/>
                <w:b/>
                <w:bCs/>
                <w:color w:val="FFFFFF"/>
              </w:rPr>
              <w:t>Measure</w:t>
            </w:r>
          </w:p>
        </w:tc>
        <w:tc>
          <w:tcPr>
            <w:tcW w:w="1420" w:type="dxa"/>
            <w:shd w:val="clear" w:color="000000" w:fill="005DAA"/>
            <w:vAlign w:val="center"/>
            <w:hideMark/>
          </w:tcPr>
          <w:p w:rsidR="00A05648" w:rsidRPr="00A05648" w:rsidRDefault="00A05648" w:rsidP="005F5E47">
            <w:pPr>
              <w:spacing w:after="0"/>
              <w:jc w:val="center"/>
              <w:rPr>
                <w:rFonts w:ascii="Calibri" w:eastAsia="Times New Roman" w:hAnsi="Calibri" w:cs="Times New Roman"/>
                <w:b/>
                <w:bCs/>
                <w:color w:val="FFFFFF"/>
              </w:rPr>
            </w:pPr>
            <w:r w:rsidRPr="00A05648">
              <w:rPr>
                <w:rFonts w:ascii="Calibri" w:eastAsia="Times New Roman" w:hAnsi="Calibri" w:cs="Times New Roman"/>
                <w:b/>
                <w:bCs/>
                <w:color w:val="FFFFFF"/>
              </w:rPr>
              <w:t>Gross Model Savings (kWh)</w:t>
            </w:r>
          </w:p>
        </w:tc>
        <w:tc>
          <w:tcPr>
            <w:tcW w:w="1420" w:type="dxa"/>
            <w:shd w:val="clear" w:color="000000" w:fill="005DAA"/>
            <w:vAlign w:val="center"/>
            <w:hideMark/>
          </w:tcPr>
          <w:p w:rsidR="00A05648" w:rsidRPr="00A05648" w:rsidRDefault="00A05648" w:rsidP="005F5E47">
            <w:pPr>
              <w:spacing w:after="0"/>
              <w:jc w:val="center"/>
              <w:rPr>
                <w:rFonts w:ascii="Calibri" w:eastAsia="Times New Roman" w:hAnsi="Calibri" w:cs="Times New Roman"/>
                <w:b/>
                <w:bCs/>
                <w:color w:val="FFFFFF"/>
              </w:rPr>
            </w:pPr>
            <w:r w:rsidRPr="00A05648">
              <w:rPr>
                <w:rFonts w:ascii="Calibri" w:eastAsia="Times New Roman" w:hAnsi="Calibri" w:cs="Times New Roman"/>
                <w:b/>
                <w:bCs/>
                <w:color w:val="FFFFFF"/>
              </w:rPr>
              <w:t xml:space="preserve">Reported </w:t>
            </w:r>
            <w:r w:rsidRPr="00CF5867">
              <w:rPr>
                <w:rFonts w:ascii="Calibri" w:eastAsia="Times New Roman" w:hAnsi="Calibri" w:cs="Times New Roman"/>
                <w:b/>
                <w:bCs/>
                <w:i/>
                <w:color w:val="FFFFFF"/>
              </w:rPr>
              <w:t>Ex Ante</w:t>
            </w:r>
            <w:r w:rsidRPr="00A05648">
              <w:rPr>
                <w:rFonts w:ascii="Calibri" w:eastAsia="Times New Roman" w:hAnsi="Calibri" w:cs="Times New Roman"/>
                <w:b/>
                <w:bCs/>
                <w:color w:val="FFFFFF"/>
              </w:rPr>
              <w:t xml:space="preserve"> Savings (kWh)</w:t>
            </w:r>
            <w:r w:rsidR="005C2B81">
              <w:rPr>
                <w:rFonts w:ascii="Calibri" w:eastAsia="Times New Roman" w:hAnsi="Calibri" w:cs="Times New Roman"/>
                <w:b/>
                <w:bCs/>
                <w:color w:val="FFFFFF"/>
              </w:rPr>
              <w:t>*</w:t>
            </w:r>
          </w:p>
        </w:tc>
        <w:tc>
          <w:tcPr>
            <w:tcW w:w="1420" w:type="dxa"/>
            <w:shd w:val="clear" w:color="000000" w:fill="005DAA"/>
            <w:vAlign w:val="center"/>
            <w:hideMark/>
          </w:tcPr>
          <w:p w:rsidR="00A05648" w:rsidRPr="00A05648" w:rsidRDefault="00A05648" w:rsidP="005F5E47">
            <w:pPr>
              <w:spacing w:after="0"/>
              <w:jc w:val="center"/>
              <w:rPr>
                <w:rFonts w:ascii="Calibri" w:eastAsia="Times New Roman" w:hAnsi="Calibri" w:cs="Times New Roman"/>
                <w:b/>
                <w:bCs/>
                <w:color w:val="FFFFFF"/>
              </w:rPr>
            </w:pPr>
            <w:r w:rsidRPr="00A05648">
              <w:rPr>
                <w:rFonts w:ascii="Calibri" w:eastAsia="Times New Roman" w:hAnsi="Calibri" w:cs="Times New Roman"/>
                <w:b/>
                <w:bCs/>
                <w:color w:val="FFFFFF"/>
              </w:rPr>
              <w:t>Realization Rate</w:t>
            </w:r>
          </w:p>
        </w:tc>
        <w:tc>
          <w:tcPr>
            <w:tcW w:w="1420" w:type="dxa"/>
            <w:shd w:val="clear" w:color="000000" w:fill="005DAA"/>
            <w:vAlign w:val="center"/>
            <w:hideMark/>
          </w:tcPr>
          <w:p w:rsidR="00A05648" w:rsidRPr="00A05648" w:rsidRDefault="00A05648" w:rsidP="005F5E47">
            <w:pPr>
              <w:spacing w:after="0"/>
              <w:jc w:val="center"/>
              <w:rPr>
                <w:rFonts w:ascii="Calibri" w:eastAsia="Times New Roman" w:hAnsi="Calibri" w:cs="Times New Roman"/>
                <w:b/>
                <w:bCs/>
                <w:color w:val="FFFFFF"/>
              </w:rPr>
            </w:pPr>
            <w:r w:rsidRPr="00A05648">
              <w:rPr>
                <w:rFonts w:ascii="Calibri" w:eastAsia="Times New Roman" w:hAnsi="Calibri" w:cs="Times New Roman"/>
                <w:b/>
                <w:bCs/>
                <w:color w:val="FFFFFF"/>
              </w:rPr>
              <w:t>Model Savings as Percent of Pre-Usage</w:t>
            </w:r>
          </w:p>
        </w:tc>
        <w:tc>
          <w:tcPr>
            <w:tcW w:w="1420" w:type="dxa"/>
            <w:shd w:val="clear" w:color="000000" w:fill="005DAA"/>
            <w:vAlign w:val="center"/>
            <w:hideMark/>
          </w:tcPr>
          <w:p w:rsidR="00A05648" w:rsidRPr="00A05648" w:rsidRDefault="00A05648" w:rsidP="005F5E47">
            <w:pPr>
              <w:spacing w:after="0"/>
              <w:jc w:val="center"/>
              <w:rPr>
                <w:rFonts w:ascii="Calibri" w:eastAsia="Times New Roman" w:hAnsi="Calibri" w:cs="Times New Roman"/>
                <w:b/>
                <w:bCs/>
                <w:color w:val="FFFFFF"/>
              </w:rPr>
            </w:pPr>
            <w:r w:rsidRPr="00A05648">
              <w:rPr>
                <w:rFonts w:ascii="Calibri" w:eastAsia="Times New Roman" w:hAnsi="Calibri" w:cs="Times New Roman"/>
                <w:b/>
                <w:bCs/>
                <w:color w:val="FFFFFF"/>
              </w:rPr>
              <w:t xml:space="preserve">Reported </w:t>
            </w:r>
            <w:r w:rsidRPr="00CF5867">
              <w:rPr>
                <w:rFonts w:ascii="Calibri" w:eastAsia="Times New Roman" w:hAnsi="Calibri" w:cs="Times New Roman"/>
                <w:b/>
                <w:bCs/>
                <w:i/>
                <w:color w:val="FFFFFF"/>
              </w:rPr>
              <w:t>Ex Ante</w:t>
            </w:r>
            <w:r w:rsidRPr="00A05648">
              <w:rPr>
                <w:rFonts w:ascii="Calibri" w:eastAsia="Times New Roman" w:hAnsi="Calibri" w:cs="Times New Roman"/>
                <w:b/>
                <w:bCs/>
                <w:color w:val="FFFFFF"/>
              </w:rPr>
              <w:t xml:space="preserve"> Savings as Percent of Pre-Usage</w:t>
            </w:r>
          </w:p>
        </w:tc>
      </w:tr>
      <w:tr w:rsidR="00A05648" w:rsidRPr="00A05648" w:rsidTr="005C2B81">
        <w:trPr>
          <w:gridBefore w:val="1"/>
          <w:gridAfter w:val="1"/>
          <w:wBefore w:w="98" w:type="dxa"/>
          <w:wAfter w:w="358" w:type="dxa"/>
        </w:trPr>
        <w:tc>
          <w:tcPr>
            <w:tcW w:w="2020" w:type="dxa"/>
            <w:shd w:val="clear" w:color="auto" w:fill="auto"/>
            <w:vAlign w:val="center"/>
            <w:hideMark/>
          </w:tcPr>
          <w:p w:rsidR="00A05648" w:rsidRPr="00A05648" w:rsidRDefault="00A05648" w:rsidP="005F5E47">
            <w:pPr>
              <w:spacing w:after="0"/>
              <w:rPr>
                <w:rFonts w:ascii="Calibri" w:eastAsia="Times New Roman" w:hAnsi="Calibri" w:cs="Times New Roman"/>
                <w:color w:val="000000"/>
                <w:sz w:val="20"/>
                <w:szCs w:val="20"/>
              </w:rPr>
            </w:pPr>
            <w:r w:rsidRPr="00A05648">
              <w:rPr>
                <w:rFonts w:ascii="Calibri" w:eastAsia="Times New Roman" w:hAnsi="Calibri" w:cs="Times New Roman"/>
                <w:color w:val="000000"/>
                <w:sz w:val="20"/>
                <w:szCs w:val="20"/>
              </w:rPr>
              <w:t>Air Sealing</w:t>
            </w:r>
          </w:p>
        </w:tc>
        <w:tc>
          <w:tcPr>
            <w:tcW w:w="1420" w:type="dxa"/>
            <w:shd w:val="clear" w:color="auto" w:fill="auto"/>
            <w:vAlign w:val="center"/>
            <w:hideMark/>
          </w:tcPr>
          <w:p w:rsidR="00A05648" w:rsidRPr="00A05648" w:rsidRDefault="00A05648" w:rsidP="005F5E47">
            <w:pPr>
              <w:spacing w:after="0"/>
              <w:jc w:val="right"/>
              <w:rPr>
                <w:rFonts w:ascii="Calibri" w:eastAsia="Times New Roman" w:hAnsi="Calibri" w:cs="Times New Roman"/>
                <w:color w:val="000000"/>
                <w:sz w:val="20"/>
                <w:szCs w:val="20"/>
              </w:rPr>
            </w:pPr>
            <w:r w:rsidRPr="00A05648">
              <w:rPr>
                <w:rFonts w:ascii="Calibri" w:eastAsia="Times New Roman" w:hAnsi="Calibri" w:cs="Times New Roman"/>
                <w:color w:val="000000"/>
                <w:sz w:val="20"/>
                <w:szCs w:val="20"/>
              </w:rPr>
              <w:t>2</w:t>
            </w:r>
            <w:r w:rsidR="00786323">
              <w:rPr>
                <w:rFonts w:ascii="Calibri" w:eastAsia="Times New Roman" w:hAnsi="Calibri" w:cs="Times New Roman"/>
                <w:color w:val="000000"/>
                <w:sz w:val="20"/>
                <w:szCs w:val="20"/>
              </w:rPr>
              <w:t>69</w:t>
            </w:r>
          </w:p>
        </w:tc>
        <w:tc>
          <w:tcPr>
            <w:tcW w:w="1420" w:type="dxa"/>
            <w:shd w:val="clear" w:color="auto" w:fill="auto"/>
            <w:vAlign w:val="center"/>
            <w:hideMark/>
          </w:tcPr>
          <w:p w:rsidR="00A05648" w:rsidRPr="00A05648" w:rsidRDefault="00A05648" w:rsidP="005F5E47">
            <w:pPr>
              <w:spacing w:after="0"/>
              <w:jc w:val="right"/>
              <w:rPr>
                <w:rFonts w:ascii="Calibri" w:eastAsia="Times New Roman" w:hAnsi="Calibri" w:cs="Times New Roman"/>
                <w:color w:val="000000"/>
                <w:sz w:val="20"/>
                <w:szCs w:val="20"/>
              </w:rPr>
            </w:pPr>
            <w:r w:rsidRPr="00A05648">
              <w:rPr>
                <w:rFonts w:ascii="Calibri" w:eastAsia="Times New Roman" w:hAnsi="Calibri" w:cs="Times New Roman"/>
                <w:color w:val="000000"/>
                <w:sz w:val="20"/>
                <w:szCs w:val="20"/>
              </w:rPr>
              <w:t>154</w:t>
            </w:r>
          </w:p>
        </w:tc>
        <w:tc>
          <w:tcPr>
            <w:tcW w:w="1420" w:type="dxa"/>
            <w:shd w:val="clear" w:color="auto" w:fill="auto"/>
            <w:vAlign w:val="center"/>
            <w:hideMark/>
          </w:tcPr>
          <w:p w:rsidR="00A05648" w:rsidRPr="00A05648" w:rsidRDefault="00A05648" w:rsidP="005F5E47">
            <w:pPr>
              <w:spacing w:after="0"/>
              <w:jc w:val="right"/>
              <w:rPr>
                <w:rFonts w:ascii="Calibri" w:eastAsia="Times New Roman" w:hAnsi="Calibri" w:cs="Times New Roman"/>
                <w:color w:val="000000"/>
                <w:sz w:val="20"/>
                <w:szCs w:val="20"/>
              </w:rPr>
            </w:pPr>
            <w:r w:rsidRPr="00A05648">
              <w:rPr>
                <w:rFonts w:ascii="Calibri" w:eastAsia="Times New Roman" w:hAnsi="Calibri" w:cs="Times New Roman"/>
                <w:color w:val="000000"/>
                <w:sz w:val="20"/>
                <w:szCs w:val="20"/>
              </w:rPr>
              <w:t>17</w:t>
            </w:r>
            <w:r w:rsidR="00786323">
              <w:rPr>
                <w:rFonts w:ascii="Calibri" w:eastAsia="Times New Roman" w:hAnsi="Calibri" w:cs="Times New Roman"/>
                <w:color w:val="000000"/>
                <w:sz w:val="20"/>
                <w:szCs w:val="20"/>
              </w:rPr>
              <w:t>5</w:t>
            </w:r>
            <w:r w:rsidRPr="00A05648">
              <w:rPr>
                <w:rFonts w:ascii="Calibri" w:eastAsia="Times New Roman" w:hAnsi="Calibri" w:cs="Times New Roman"/>
                <w:color w:val="000000"/>
                <w:sz w:val="20"/>
                <w:szCs w:val="20"/>
              </w:rPr>
              <w:t>%</w:t>
            </w:r>
          </w:p>
        </w:tc>
        <w:tc>
          <w:tcPr>
            <w:tcW w:w="1420" w:type="dxa"/>
            <w:shd w:val="clear" w:color="auto" w:fill="auto"/>
            <w:vAlign w:val="center"/>
            <w:hideMark/>
          </w:tcPr>
          <w:p w:rsidR="00A05648" w:rsidRPr="00A05648" w:rsidRDefault="00A05648" w:rsidP="005F5E47">
            <w:pPr>
              <w:spacing w:after="0"/>
              <w:jc w:val="right"/>
              <w:rPr>
                <w:rFonts w:ascii="Calibri" w:eastAsia="Times New Roman" w:hAnsi="Calibri" w:cs="Times New Roman"/>
                <w:color w:val="000000"/>
                <w:sz w:val="20"/>
                <w:szCs w:val="20"/>
              </w:rPr>
            </w:pPr>
            <w:r w:rsidRPr="00A05648">
              <w:rPr>
                <w:rFonts w:ascii="Calibri" w:eastAsia="Times New Roman" w:hAnsi="Calibri" w:cs="Times New Roman"/>
                <w:color w:val="000000"/>
                <w:sz w:val="20"/>
                <w:szCs w:val="20"/>
              </w:rPr>
              <w:t>2%</w:t>
            </w:r>
          </w:p>
        </w:tc>
        <w:tc>
          <w:tcPr>
            <w:tcW w:w="1420" w:type="dxa"/>
            <w:shd w:val="clear" w:color="auto" w:fill="auto"/>
            <w:vAlign w:val="center"/>
            <w:hideMark/>
          </w:tcPr>
          <w:p w:rsidR="00A05648" w:rsidRPr="00A05648" w:rsidRDefault="00A05648" w:rsidP="005F5E47">
            <w:pPr>
              <w:spacing w:after="0"/>
              <w:jc w:val="right"/>
              <w:rPr>
                <w:rFonts w:ascii="Calibri" w:eastAsia="Times New Roman" w:hAnsi="Calibri" w:cs="Times New Roman"/>
                <w:color w:val="000000"/>
                <w:sz w:val="20"/>
                <w:szCs w:val="20"/>
              </w:rPr>
            </w:pPr>
            <w:r w:rsidRPr="00A05648">
              <w:rPr>
                <w:rFonts w:ascii="Calibri" w:eastAsia="Times New Roman" w:hAnsi="Calibri" w:cs="Times New Roman"/>
                <w:color w:val="000000"/>
                <w:sz w:val="20"/>
                <w:szCs w:val="20"/>
              </w:rPr>
              <w:t>1%</w:t>
            </w:r>
          </w:p>
        </w:tc>
      </w:tr>
      <w:tr w:rsidR="005C2B81" w:rsidRPr="00C46F61" w:rsidTr="005C2B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576" w:type="dxa"/>
            <w:gridSpan w:val="8"/>
            <w:tcBorders>
              <w:top w:val="nil"/>
              <w:left w:val="nil"/>
              <w:bottom w:val="nil"/>
              <w:right w:val="nil"/>
            </w:tcBorders>
            <w:shd w:val="clear" w:color="auto" w:fill="auto"/>
            <w:noWrap/>
            <w:vAlign w:val="center"/>
            <w:hideMark/>
          </w:tcPr>
          <w:p w:rsidR="005C2B81" w:rsidRPr="00C46F61" w:rsidRDefault="005C2B81" w:rsidP="00B920E7">
            <w:pPr>
              <w:spacing w:after="0" w:line="240" w:lineRule="auto"/>
              <w:ind w:left="90" w:hanging="90"/>
              <w:rPr>
                <w:rFonts w:ascii="Calibri" w:eastAsia="Times New Roman" w:hAnsi="Calibri" w:cs="Times New Roman"/>
                <w:color w:val="000000"/>
                <w:sz w:val="20"/>
                <w:szCs w:val="20"/>
              </w:rPr>
            </w:pPr>
            <w:r w:rsidRPr="00C46F61">
              <w:rPr>
                <w:rFonts w:ascii="Calibri" w:eastAsia="Times New Roman" w:hAnsi="Calibri" w:cs="Times New Roman"/>
                <w:color w:val="000000"/>
                <w:sz w:val="20"/>
                <w:szCs w:val="20"/>
              </w:rPr>
              <w:t>*</w:t>
            </w:r>
            <w:r>
              <w:rPr>
                <w:rFonts w:ascii="Calibri" w:eastAsia="Times New Roman" w:hAnsi="Calibri" w:cs="Times New Roman"/>
                <w:color w:val="000000"/>
                <w:sz w:val="20"/>
                <w:szCs w:val="20"/>
              </w:rPr>
              <w:t xml:space="preserve">Average </w:t>
            </w:r>
            <w:r w:rsidRPr="005C2B81">
              <w:rPr>
                <w:rFonts w:ascii="Calibri" w:eastAsia="Times New Roman" w:hAnsi="Calibri" w:cs="Times New Roman"/>
                <w:i/>
                <w:color w:val="000000"/>
                <w:sz w:val="20"/>
                <w:szCs w:val="20"/>
              </w:rPr>
              <w:t>ex ante</w:t>
            </w:r>
            <w:r>
              <w:rPr>
                <w:rFonts w:ascii="Calibri" w:eastAsia="Times New Roman" w:hAnsi="Calibri" w:cs="Times New Roman"/>
                <w:color w:val="000000"/>
                <w:sz w:val="20"/>
                <w:szCs w:val="20"/>
              </w:rPr>
              <w:t xml:space="preserve"> savings is based on the participant sample used in the billing analysis and may vary from averages based on the </w:t>
            </w:r>
            <w:r w:rsidR="00427C71">
              <w:rPr>
                <w:rFonts w:ascii="Calibri" w:eastAsia="Times New Roman" w:hAnsi="Calibri" w:cs="Times New Roman"/>
                <w:color w:val="000000"/>
                <w:sz w:val="20"/>
                <w:szCs w:val="20"/>
              </w:rPr>
              <w:t xml:space="preserve">program </w:t>
            </w:r>
            <w:r>
              <w:rPr>
                <w:rFonts w:ascii="Calibri" w:eastAsia="Times New Roman" w:hAnsi="Calibri" w:cs="Times New Roman"/>
                <w:color w:val="000000"/>
                <w:sz w:val="20"/>
                <w:szCs w:val="20"/>
              </w:rPr>
              <w:t>population.</w:t>
            </w:r>
          </w:p>
        </w:tc>
      </w:tr>
    </w:tbl>
    <w:p w:rsidR="00896031" w:rsidRDefault="00896031" w:rsidP="00696DD4">
      <w:pPr>
        <w:pStyle w:val="NormalAfterTablesandFigures"/>
      </w:pPr>
    </w:p>
    <w:p w:rsidR="00724458" w:rsidRDefault="00724458" w:rsidP="00696DD4">
      <w:pPr>
        <w:pStyle w:val="Heading5"/>
      </w:pPr>
      <w:r>
        <w:t>Simulation Modeling Results</w:t>
      </w:r>
    </w:p>
    <w:p w:rsidR="008C1C91" w:rsidRDefault="00CD2F98" w:rsidP="009B75F2">
      <w:pPr>
        <w:spacing w:after="120"/>
        <w:rPr>
          <w:lang w:eastAsia="ar-SA"/>
        </w:rPr>
      </w:pPr>
      <w:r>
        <w:t>T</w:t>
      </w:r>
      <w:r w:rsidR="00724458">
        <w:t xml:space="preserve">he Evaluation Team </w:t>
      </w:r>
      <w:r w:rsidR="00A076B4">
        <w:t xml:space="preserve">used detail provided in the utility tracking data (for each building type and heating fuel combination) to assess corresponding pre- and post-installation information for each measure analyzed using the calibrated simulation approach. </w:t>
      </w:r>
      <w:r w:rsidR="005C2163">
        <w:fldChar w:fldCharType="begin"/>
      </w:r>
      <w:r w:rsidR="008325F2">
        <w:instrText xml:space="preserve"> REF _Ref388778396 \h </w:instrText>
      </w:r>
      <w:r w:rsidR="005C2163">
        <w:fldChar w:fldCharType="separate"/>
      </w:r>
      <w:r w:rsidR="00CD20CF">
        <w:t xml:space="preserve">Table </w:t>
      </w:r>
      <w:r w:rsidR="00CD20CF">
        <w:rPr>
          <w:noProof/>
        </w:rPr>
        <w:t>22</w:t>
      </w:r>
      <w:r w:rsidR="005C2163">
        <w:fldChar w:fldCharType="end"/>
      </w:r>
      <w:r w:rsidR="008325F2">
        <w:t xml:space="preserve"> presents these details, including a</w:t>
      </w:r>
      <w:r w:rsidR="00A076B4">
        <w:t>verage pre- and post-installation insulation levels (weighted by square footage installed</w:t>
      </w:r>
      <w:r w:rsidR="00C46F61">
        <w:t xml:space="preserve">) </w:t>
      </w:r>
      <w:r w:rsidR="00082BA1">
        <w:t xml:space="preserve">and </w:t>
      </w:r>
      <w:r w:rsidR="00C46F61">
        <w:t>changes in air and duct</w:t>
      </w:r>
      <w:r w:rsidR="005F5E47">
        <w:t>-</w:t>
      </w:r>
      <w:r w:rsidR="00C46F61">
        <w:t>sealing levels</w:t>
      </w:r>
      <w:r w:rsidR="003338D6">
        <w:t xml:space="preserve"> (i.e., cubic feet per minute [CFM])</w:t>
      </w:r>
      <w:r w:rsidR="008325F2">
        <w:t>.</w:t>
      </w:r>
    </w:p>
    <w:p w:rsidR="008C1C91" w:rsidRDefault="008C1C91" w:rsidP="00D86620">
      <w:pPr>
        <w:pStyle w:val="Caption"/>
      </w:pPr>
      <w:bookmarkStart w:id="63" w:name="_Ref388778396"/>
      <w:r>
        <w:lastRenderedPageBreak/>
        <w:t xml:space="preserve">Table </w:t>
      </w:r>
      <w:r w:rsidR="002506E1">
        <w:fldChar w:fldCharType="begin"/>
      </w:r>
      <w:r w:rsidR="002506E1">
        <w:instrText xml:space="preserve"> SEQ Table \* ARABIC </w:instrText>
      </w:r>
      <w:r w:rsidR="002506E1">
        <w:fldChar w:fldCharType="separate"/>
      </w:r>
      <w:r w:rsidR="00CD20CF">
        <w:rPr>
          <w:noProof/>
        </w:rPr>
        <w:t>22</w:t>
      </w:r>
      <w:r w:rsidR="002506E1">
        <w:rPr>
          <w:noProof/>
        </w:rPr>
        <w:fldChar w:fldCharType="end"/>
      </w:r>
      <w:bookmarkEnd w:id="63"/>
      <w:r>
        <w:t>. HES Electric—</w:t>
      </w:r>
      <w:r w:rsidR="007B0D20">
        <w:t xml:space="preserve">Shell and Duct Sealing Measure </w:t>
      </w:r>
      <w:r>
        <w:t xml:space="preserve">Distribution and </w:t>
      </w:r>
      <w:r w:rsidR="007B0D20">
        <w:t>Installation Details</w:t>
      </w:r>
    </w:p>
    <w:tbl>
      <w:tblPr>
        <w:tblW w:w="5000" w:type="pct"/>
        <w:tblLook w:val="04A0" w:firstRow="1" w:lastRow="0" w:firstColumn="1" w:lastColumn="0" w:noHBand="0" w:noVBand="1"/>
      </w:tblPr>
      <w:tblGrid>
        <w:gridCol w:w="1548"/>
        <w:gridCol w:w="1440"/>
        <w:gridCol w:w="1440"/>
        <w:gridCol w:w="1440"/>
        <w:gridCol w:w="2467"/>
        <w:gridCol w:w="1241"/>
      </w:tblGrid>
      <w:tr w:rsidR="007F4D3D" w:rsidRPr="007F4D3D" w:rsidTr="00374F8B">
        <w:tc>
          <w:tcPr>
            <w:tcW w:w="808"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7F4D3D" w:rsidRPr="007F4D3D" w:rsidRDefault="007F4D3D" w:rsidP="00374F8B">
            <w:pPr>
              <w:keepNext/>
              <w:keepLines/>
              <w:spacing w:after="0"/>
              <w:jc w:val="center"/>
              <w:rPr>
                <w:rFonts w:ascii="Calibri" w:eastAsia="Times New Roman" w:hAnsi="Calibri" w:cs="Times New Roman"/>
                <w:b/>
                <w:bCs/>
                <w:color w:val="FFFFFF"/>
              </w:rPr>
            </w:pPr>
            <w:r w:rsidRPr="007F4D3D">
              <w:rPr>
                <w:rFonts w:ascii="Calibri" w:eastAsia="Times New Roman" w:hAnsi="Calibri" w:cs="Times New Roman"/>
                <w:b/>
                <w:bCs/>
                <w:color w:val="FFFFFF"/>
              </w:rPr>
              <w:t>Measure</w:t>
            </w:r>
          </w:p>
        </w:tc>
        <w:tc>
          <w:tcPr>
            <w:tcW w:w="752"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7F4D3D" w:rsidRPr="007F4D3D" w:rsidRDefault="007F4D3D" w:rsidP="00374F8B">
            <w:pPr>
              <w:keepNext/>
              <w:keepLines/>
              <w:spacing w:after="0"/>
              <w:jc w:val="center"/>
              <w:rPr>
                <w:rFonts w:ascii="Calibri" w:eastAsia="Times New Roman" w:hAnsi="Calibri" w:cs="Times New Roman"/>
                <w:b/>
                <w:bCs/>
                <w:color w:val="FFFFFF"/>
              </w:rPr>
            </w:pPr>
            <w:r w:rsidRPr="007F4D3D">
              <w:rPr>
                <w:rFonts w:ascii="Calibri" w:eastAsia="Times New Roman" w:hAnsi="Calibri" w:cs="Times New Roman"/>
                <w:b/>
                <w:bCs/>
                <w:color w:val="FFFFFF"/>
              </w:rPr>
              <w:t>Participants*</w:t>
            </w:r>
          </w:p>
        </w:tc>
        <w:tc>
          <w:tcPr>
            <w:tcW w:w="752"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7F4D3D" w:rsidRPr="007F4D3D" w:rsidRDefault="007F4D3D" w:rsidP="00374F8B">
            <w:pPr>
              <w:keepNext/>
              <w:keepLines/>
              <w:spacing w:after="0"/>
              <w:jc w:val="center"/>
              <w:rPr>
                <w:rFonts w:ascii="Calibri" w:eastAsia="Times New Roman" w:hAnsi="Calibri" w:cs="Times New Roman"/>
                <w:b/>
                <w:bCs/>
                <w:color w:val="FFFFFF"/>
              </w:rPr>
            </w:pPr>
            <w:r w:rsidRPr="007F4D3D">
              <w:rPr>
                <w:rFonts w:ascii="Calibri" w:eastAsia="Times New Roman" w:hAnsi="Calibri" w:cs="Times New Roman"/>
                <w:b/>
                <w:bCs/>
                <w:color w:val="FFFFFF"/>
              </w:rPr>
              <w:t>Pre-Condition</w:t>
            </w:r>
          </w:p>
        </w:tc>
        <w:tc>
          <w:tcPr>
            <w:tcW w:w="752"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7F4D3D" w:rsidRPr="007F4D3D" w:rsidRDefault="007F4D3D" w:rsidP="00374F8B">
            <w:pPr>
              <w:keepNext/>
              <w:keepLines/>
              <w:spacing w:after="0"/>
              <w:jc w:val="center"/>
              <w:rPr>
                <w:rFonts w:ascii="Calibri" w:eastAsia="Times New Roman" w:hAnsi="Calibri" w:cs="Times New Roman"/>
                <w:b/>
                <w:bCs/>
                <w:color w:val="FFFFFF"/>
              </w:rPr>
            </w:pPr>
            <w:r w:rsidRPr="007F4D3D">
              <w:rPr>
                <w:rFonts w:ascii="Calibri" w:eastAsia="Times New Roman" w:hAnsi="Calibri" w:cs="Times New Roman"/>
                <w:b/>
                <w:bCs/>
                <w:color w:val="FFFFFF"/>
              </w:rPr>
              <w:t>Post-Condition</w:t>
            </w:r>
          </w:p>
        </w:tc>
        <w:tc>
          <w:tcPr>
            <w:tcW w:w="1288"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7F4D3D" w:rsidRPr="007F4D3D" w:rsidRDefault="007F4D3D" w:rsidP="00374F8B">
            <w:pPr>
              <w:keepNext/>
              <w:keepLines/>
              <w:spacing w:after="0"/>
              <w:jc w:val="center"/>
              <w:rPr>
                <w:rFonts w:ascii="Calibri" w:eastAsia="Times New Roman" w:hAnsi="Calibri" w:cs="Times New Roman"/>
                <w:b/>
                <w:bCs/>
                <w:color w:val="FFFFFF"/>
              </w:rPr>
            </w:pPr>
            <w:r w:rsidRPr="007F4D3D">
              <w:rPr>
                <w:rFonts w:ascii="Calibri" w:eastAsia="Times New Roman" w:hAnsi="Calibri" w:cs="Times New Roman"/>
                <w:b/>
                <w:bCs/>
                <w:color w:val="FFFFFF"/>
              </w:rPr>
              <w:t>Average % Leakage Reduction</w:t>
            </w:r>
          </w:p>
        </w:tc>
        <w:tc>
          <w:tcPr>
            <w:tcW w:w="648"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7F4D3D" w:rsidRPr="007F4D3D" w:rsidRDefault="007F4D3D" w:rsidP="00374F8B">
            <w:pPr>
              <w:keepNext/>
              <w:keepLines/>
              <w:spacing w:after="0"/>
              <w:jc w:val="center"/>
              <w:rPr>
                <w:rFonts w:ascii="Calibri" w:eastAsia="Times New Roman" w:hAnsi="Calibri" w:cs="Times New Roman"/>
                <w:b/>
                <w:bCs/>
                <w:color w:val="FFFFFF"/>
              </w:rPr>
            </w:pPr>
            <w:r w:rsidRPr="007F4D3D">
              <w:rPr>
                <w:rFonts w:ascii="Calibri" w:eastAsia="Times New Roman" w:hAnsi="Calibri" w:cs="Times New Roman"/>
                <w:b/>
                <w:bCs/>
                <w:color w:val="FFFFFF"/>
              </w:rPr>
              <w:t>Units</w:t>
            </w:r>
          </w:p>
        </w:tc>
      </w:tr>
      <w:tr w:rsidR="007F4D3D" w:rsidRPr="007F4D3D" w:rsidTr="00374F8B">
        <w:tc>
          <w:tcPr>
            <w:tcW w:w="80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F4D3D" w:rsidRPr="007F4D3D" w:rsidRDefault="007F4D3D" w:rsidP="00B920E7">
            <w:pPr>
              <w:keepNext/>
              <w:keepLines/>
              <w:spacing w:after="0"/>
              <w:rPr>
                <w:rFonts w:ascii="Calibri" w:eastAsia="Times New Roman" w:hAnsi="Calibri" w:cs="Times New Roman"/>
                <w:color w:val="000000"/>
                <w:sz w:val="20"/>
                <w:szCs w:val="20"/>
              </w:rPr>
            </w:pPr>
            <w:r w:rsidRPr="007F4D3D">
              <w:rPr>
                <w:rFonts w:ascii="Calibri" w:eastAsia="Times New Roman" w:hAnsi="Calibri" w:cs="Times New Roman"/>
                <w:color w:val="000000"/>
                <w:sz w:val="20"/>
                <w:szCs w:val="20"/>
              </w:rPr>
              <w:t>Duct Sealing</w:t>
            </w:r>
          </w:p>
        </w:tc>
        <w:tc>
          <w:tcPr>
            <w:tcW w:w="752"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F4D3D" w:rsidRPr="007F4D3D" w:rsidRDefault="007F4D3D" w:rsidP="00B920E7">
            <w:pPr>
              <w:keepNext/>
              <w:keepLines/>
              <w:spacing w:after="0"/>
              <w:jc w:val="right"/>
              <w:rPr>
                <w:rFonts w:ascii="Calibri" w:eastAsia="Times New Roman" w:hAnsi="Calibri" w:cs="Times New Roman"/>
                <w:color w:val="000000"/>
                <w:sz w:val="20"/>
                <w:szCs w:val="20"/>
              </w:rPr>
            </w:pPr>
            <w:r w:rsidRPr="007F4D3D">
              <w:rPr>
                <w:rFonts w:ascii="Calibri" w:eastAsia="Times New Roman" w:hAnsi="Calibri" w:cs="Times New Roman"/>
                <w:color w:val="000000"/>
                <w:sz w:val="20"/>
                <w:szCs w:val="20"/>
              </w:rPr>
              <w:t>3,468</w:t>
            </w:r>
          </w:p>
        </w:tc>
        <w:tc>
          <w:tcPr>
            <w:tcW w:w="752"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F4D3D" w:rsidRPr="007F4D3D" w:rsidRDefault="007F4D3D" w:rsidP="00B920E7">
            <w:pPr>
              <w:keepNext/>
              <w:keepLines/>
              <w:spacing w:after="0"/>
              <w:jc w:val="right"/>
              <w:rPr>
                <w:rFonts w:ascii="Calibri" w:eastAsia="Times New Roman" w:hAnsi="Calibri" w:cs="Times New Roman"/>
                <w:color w:val="000000"/>
                <w:sz w:val="20"/>
                <w:szCs w:val="20"/>
              </w:rPr>
            </w:pPr>
            <w:r w:rsidRPr="007F4D3D">
              <w:rPr>
                <w:rFonts w:ascii="Calibri" w:eastAsia="Times New Roman" w:hAnsi="Calibri" w:cs="Times New Roman"/>
                <w:color w:val="000000"/>
                <w:sz w:val="20"/>
                <w:szCs w:val="20"/>
              </w:rPr>
              <w:t>410</w:t>
            </w:r>
          </w:p>
        </w:tc>
        <w:tc>
          <w:tcPr>
            <w:tcW w:w="752"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F4D3D" w:rsidRPr="007F4D3D" w:rsidRDefault="007F4D3D" w:rsidP="00B920E7">
            <w:pPr>
              <w:keepNext/>
              <w:keepLines/>
              <w:spacing w:after="0"/>
              <w:jc w:val="right"/>
              <w:rPr>
                <w:rFonts w:ascii="Calibri" w:eastAsia="Times New Roman" w:hAnsi="Calibri" w:cs="Times New Roman"/>
                <w:color w:val="000000"/>
                <w:sz w:val="20"/>
                <w:szCs w:val="20"/>
              </w:rPr>
            </w:pPr>
            <w:r w:rsidRPr="007F4D3D">
              <w:rPr>
                <w:rFonts w:ascii="Calibri" w:eastAsia="Times New Roman" w:hAnsi="Calibri" w:cs="Times New Roman"/>
                <w:color w:val="000000"/>
                <w:sz w:val="20"/>
                <w:szCs w:val="20"/>
              </w:rPr>
              <w:t>331</w:t>
            </w:r>
          </w:p>
        </w:tc>
        <w:tc>
          <w:tcPr>
            <w:tcW w:w="128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F4D3D" w:rsidRPr="007F4D3D" w:rsidRDefault="007F4D3D" w:rsidP="00B920E7">
            <w:pPr>
              <w:keepNext/>
              <w:keepLines/>
              <w:spacing w:after="0"/>
              <w:jc w:val="right"/>
              <w:rPr>
                <w:rFonts w:ascii="Calibri" w:eastAsia="Times New Roman" w:hAnsi="Calibri" w:cs="Times New Roman"/>
                <w:color w:val="000000"/>
                <w:sz w:val="20"/>
                <w:szCs w:val="20"/>
              </w:rPr>
            </w:pPr>
            <w:r w:rsidRPr="007F4D3D">
              <w:rPr>
                <w:rFonts w:ascii="Calibri" w:eastAsia="Times New Roman" w:hAnsi="Calibri" w:cs="Times New Roman"/>
                <w:color w:val="000000"/>
                <w:sz w:val="20"/>
                <w:szCs w:val="20"/>
              </w:rPr>
              <w:t>19%</w:t>
            </w:r>
          </w:p>
        </w:tc>
        <w:tc>
          <w:tcPr>
            <w:tcW w:w="64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F4D3D" w:rsidRPr="007F4D3D" w:rsidRDefault="007F4D3D" w:rsidP="00B920E7">
            <w:pPr>
              <w:keepNext/>
              <w:keepLines/>
              <w:spacing w:after="0"/>
              <w:jc w:val="right"/>
              <w:rPr>
                <w:rFonts w:ascii="Calibri" w:eastAsia="Times New Roman" w:hAnsi="Calibri" w:cs="Times New Roman"/>
                <w:color w:val="000000"/>
                <w:sz w:val="20"/>
                <w:szCs w:val="20"/>
              </w:rPr>
            </w:pPr>
            <w:r w:rsidRPr="007F4D3D">
              <w:rPr>
                <w:rFonts w:ascii="Calibri" w:eastAsia="Times New Roman" w:hAnsi="Calibri" w:cs="Times New Roman"/>
                <w:color w:val="000000"/>
                <w:sz w:val="20"/>
                <w:szCs w:val="20"/>
              </w:rPr>
              <w:t>CFM 25</w:t>
            </w:r>
          </w:p>
        </w:tc>
      </w:tr>
      <w:tr w:rsidR="007F4D3D" w:rsidRPr="007F4D3D" w:rsidTr="00374F8B">
        <w:tc>
          <w:tcPr>
            <w:tcW w:w="80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F4D3D" w:rsidRPr="007F4D3D" w:rsidRDefault="007F4D3D" w:rsidP="00B920E7">
            <w:pPr>
              <w:keepNext/>
              <w:keepLines/>
              <w:spacing w:after="0"/>
              <w:rPr>
                <w:rFonts w:ascii="Calibri" w:eastAsia="Times New Roman" w:hAnsi="Calibri" w:cs="Times New Roman"/>
                <w:color w:val="000000"/>
                <w:sz w:val="20"/>
                <w:szCs w:val="20"/>
              </w:rPr>
            </w:pPr>
            <w:r w:rsidRPr="007F4D3D">
              <w:rPr>
                <w:rFonts w:ascii="Calibri" w:eastAsia="Times New Roman" w:hAnsi="Calibri" w:cs="Times New Roman"/>
                <w:color w:val="000000"/>
                <w:sz w:val="20"/>
                <w:szCs w:val="20"/>
              </w:rPr>
              <w:t>Attic Insulation</w:t>
            </w:r>
          </w:p>
        </w:tc>
        <w:tc>
          <w:tcPr>
            <w:tcW w:w="752"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F4D3D" w:rsidRPr="007F4D3D" w:rsidRDefault="007F4D3D" w:rsidP="00B920E7">
            <w:pPr>
              <w:keepNext/>
              <w:keepLines/>
              <w:spacing w:after="0"/>
              <w:jc w:val="right"/>
              <w:rPr>
                <w:rFonts w:ascii="Calibri" w:eastAsia="Times New Roman" w:hAnsi="Calibri" w:cs="Times New Roman"/>
                <w:color w:val="000000"/>
                <w:sz w:val="20"/>
                <w:szCs w:val="20"/>
              </w:rPr>
            </w:pPr>
            <w:r w:rsidRPr="007F4D3D">
              <w:rPr>
                <w:rFonts w:ascii="Calibri" w:eastAsia="Times New Roman" w:hAnsi="Calibri" w:cs="Times New Roman"/>
                <w:color w:val="000000"/>
                <w:sz w:val="20"/>
                <w:szCs w:val="20"/>
              </w:rPr>
              <w:t>522</w:t>
            </w:r>
          </w:p>
        </w:tc>
        <w:tc>
          <w:tcPr>
            <w:tcW w:w="752"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F4D3D" w:rsidRPr="007F4D3D" w:rsidRDefault="007F4D3D" w:rsidP="00B920E7">
            <w:pPr>
              <w:keepNext/>
              <w:keepLines/>
              <w:spacing w:after="0"/>
              <w:jc w:val="right"/>
              <w:rPr>
                <w:rFonts w:ascii="Calibri" w:eastAsia="Times New Roman" w:hAnsi="Calibri" w:cs="Times New Roman"/>
                <w:color w:val="000000"/>
                <w:sz w:val="20"/>
                <w:szCs w:val="20"/>
              </w:rPr>
            </w:pPr>
            <w:r w:rsidRPr="007F4D3D">
              <w:rPr>
                <w:rFonts w:ascii="Calibri" w:eastAsia="Times New Roman" w:hAnsi="Calibri" w:cs="Times New Roman"/>
                <w:color w:val="000000"/>
                <w:sz w:val="20"/>
                <w:szCs w:val="20"/>
              </w:rPr>
              <w:t>R8</w:t>
            </w:r>
          </w:p>
        </w:tc>
        <w:tc>
          <w:tcPr>
            <w:tcW w:w="752"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F4D3D" w:rsidRPr="007F4D3D" w:rsidRDefault="007F4D3D" w:rsidP="00B920E7">
            <w:pPr>
              <w:keepNext/>
              <w:keepLines/>
              <w:spacing w:after="0"/>
              <w:jc w:val="right"/>
              <w:rPr>
                <w:rFonts w:ascii="Calibri" w:eastAsia="Times New Roman" w:hAnsi="Calibri" w:cs="Times New Roman"/>
                <w:color w:val="000000"/>
                <w:sz w:val="20"/>
                <w:szCs w:val="20"/>
              </w:rPr>
            </w:pPr>
            <w:r w:rsidRPr="007F4D3D">
              <w:rPr>
                <w:rFonts w:ascii="Calibri" w:eastAsia="Times New Roman" w:hAnsi="Calibri" w:cs="Times New Roman"/>
                <w:color w:val="000000"/>
                <w:sz w:val="20"/>
                <w:szCs w:val="20"/>
              </w:rPr>
              <w:t>R34</w:t>
            </w:r>
          </w:p>
        </w:tc>
        <w:tc>
          <w:tcPr>
            <w:tcW w:w="128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F4D3D" w:rsidRPr="007F4D3D" w:rsidRDefault="007F4D3D" w:rsidP="00B920E7">
            <w:pPr>
              <w:keepNext/>
              <w:keepLines/>
              <w:spacing w:after="0"/>
              <w:jc w:val="right"/>
              <w:rPr>
                <w:rFonts w:ascii="Calibri" w:eastAsia="Times New Roman" w:hAnsi="Calibri" w:cs="Times New Roman"/>
                <w:color w:val="000000"/>
                <w:sz w:val="20"/>
                <w:szCs w:val="20"/>
              </w:rPr>
            </w:pPr>
            <w:r w:rsidRPr="007F4D3D">
              <w:rPr>
                <w:rFonts w:ascii="Calibri" w:eastAsia="Times New Roman" w:hAnsi="Calibri" w:cs="Times New Roman"/>
                <w:color w:val="000000"/>
                <w:sz w:val="20"/>
                <w:szCs w:val="20"/>
              </w:rPr>
              <w:t>n/a</w:t>
            </w:r>
          </w:p>
        </w:tc>
        <w:tc>
          <w:tcPr>
            <w:tcW w:w="64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F4D3D" w:rsidRPr="007F4D3D" w:rsidRDefault="007F4D3D" w:rsidP="00B920E7">
            <w:pPr>
              <w:keepNext/>
              <w:keepLines/>
              <w:spacing w:after="0"/>
              <w:jc w:val="right"/>
              <w:rPr>
                <w:rFonts w:ascii="Calibri" w:eastAsia="Times New Roman" w:hAnsi="Calibri" w:cs="Times New Roman"/>
                <w:color w:val="000000"/>
                <w:sz w:val="20"/>
                <w:szCs w:val="20"/>
              </w:rPr>
            </w:pPr>
            <w:r w:rsidRPr="007F4D3D">
              <w:rPr>
                <w:rFonts w:ascii="Calibri" w:eastAsia="Times New Roman" w:hAnsi="Calibri" w:cs="Times New Roman"/>
                <w:color w:val="000000"/>
                <w:sz w:val="20"/>
                <w:szCs w:val="20"/>
              </w:rPr>
              <w:t>R-Value</w:t>
            </w:r>
          </w:p>
        </w:tc>
      </w:tr>
      <w:tr w:rsidR="007F4D3D" w:rsidRPr="007F4D3D" w:rsidTr="00374F8B">
        <w:tc>
          <w:tcPr>
            <w:tcW w:w="80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F4D3D" w:rsidRPr="007F4D3D" w:rsidRDefault="007F4D3D" w:rsidP="00B920E7">
            <w:pPr>
              <w:keepNext/>
              <w:keepLines/>
              <w:spacing w:after="0"/>
              <w:rPr>
                <w:rFonts w:ascii="Calibri" w:eastAsia="Times New Roman" w:hAnsi="Calibri" w:cs="Times New Roman"/>
                <w:color w:val="000000"/>
                <w:sz w:val="20"/>
                <w:szCs w:val="20"/>
              </w:rPr>
            </w:pPr>
            <w:r w:rsidRPr="007F4D3D">
              <w:rPr>
                <w:rFonts w:ascii="Calibri" w:eastAsia="Times New Roman" w:hAnsi="Calibri" w:cs="Times New Roman"/>
                <w:color w:val="000000"/>
                <w:sz w:val="20"/>
                <w:szCs w:val="20"/>
              </w:rPr>
              <w:t>Wall Insulation</w:t>
            </w:r>
          </w:p>
        </w:tc>
        <w:tc>
          <w:tcPr>
            <w:tcW w:w="752"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F4D3D" w:rsidRPr="007F4D3D" w:rsidRDefault="007F4D3D" w:rsidP="00B920E7">
            <w:pPr>
              <w:keepNext/>
              <w:keepLines/>
              <w:spacing w:after="0"/>
              <w:jc w:val="right"/>
              <w:rPr>
                <w:rFonts w:ascii="Calibri" w:eastAsia="Times New Roman" w:hAnsi="Calibri" w:cs="Times New Roman"/>
                <w:color w:val="000000"/>
                <w:sz w:val="20"/>
                <w:szCs w:val="20"/>
              </w:rPr>
            </w:pPr>
            <w:r w:rsidRPr="007F4D3D">
              <w:rPr>
                <w:rFonts w:ascii="Calibri" w:eastAsia="Times New Roman" w:hAnsi="Calibri" w:cs="Times New Roman"/>
                <w:color w:val="000000"/>
                <w:sz w:val="20"/>
                <w:szCs w:val="20"/>
              </w:rPr>
              <w:t>55</w:t>
            </w:r>
          </w:p>
        </w:tc>
        <w:tc>
          <w:tcPr>
            <w:tcW w:w="752"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F4D3D" w:rsidRPr="007F4D3D" w:rsidRDefault="007F4D3D" w:rsidP="00B920E7">
            <w:pPr>
              <w:keepNext/>
              <w:keepLines/>
              <w:spacing w:after="0"/>
              <w:jc w:val="right"/>
              <w:rPr>
                <w:rFonts w:ascii="Calibri" w:eastAsia="Times New Roman" w:hAnsi="Calibri" w:cs="Times New Roman"/>
                <w:color w:val="000000"/>
                <w:sz w:val="20"/>
                <w:szCs w:val="20"/>
              </w:rPr>
            </w:pPr>
            <w:r w:rsidRPr="007F4D3D">
              <w:rPr>
                <w:rFonts w:ascii="Calibri" w:eastAsia="Times New Roman" w:hAnsi="Calibri" w:cs="Times New Roman"/>
                <w:color w:val="000000"/>
                <w:sz w:val="20"/>
                <w:szCs w:val="20"/>
              </w:rPr>
              <w:t>R0.5</w:t>
            </w:r>
          </w:p>
        </w:tc>
        <w:tc>
          <w:tcPr>
            <w:tcW w:w="752"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F4D3D" w:rsidRPr="007F4D3D" w:rsidRDefault="007F4D3D" w:rsidP="00B920E7">
            <w:pPr>
              <w:keepNext/>
              <w:keepLines/>
              <w:spacing w:after="0"/>
              <w:jc w:val="right"/>
              <w:rPr>
                <w:rFonts w:ascii="Calibri" w:eastAsia="Times New Roman" w:hAnsi="Calibri" w:cs="Times New Roman"/>
                <w:color w:val="000000"/>
                <w:sz w:val="20"/>
                <w:szCs w:val="20"/>
              </w:rPr>
            </w:pPr>
            <w:r w:rsidRPr="007F4D3D">
              <w:rPr>
                <w:rFonts w:ascii="Calibri" w:eastAsia="Times New Roman" w:hAnsi="Calibri" w:cs="Times New Roman"/>
                <w:color w:val="000000"/>
                <w:sz w:val="20"/>
                <w:szCs w:val="20"/>
              </w:rPr>
              <w:t>R14</w:t>
            </w:r>
          </w:p>
        </w:tc>
        <w:tc>
          <w:tcPr>
            <w:tcW w:w="128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F4D3D" w:rsidRPr="007F4D3D" w:rsidRDefault="007F4D3D" w:rsidP="00B920E7">
            <w:pPr>
              <w:keepNext/>
              <w:keepLines/>
              <w:spacing w:after="0"/>
              <w:jc w:val="right"/>
              <w:rPr>
                <w:rFonts w:ascii="Calibri" w:eastAsia="Times New Roman" w:hAnsi="Calibri" w:cs="Times New Roman"/>
                <w:color w:val="000000"/>
                <w:sz w:val="20"/>
                <w:szCs w:val="20"/>
              </w:rPr>
            </w:pPr>
            <w:r w:rsidRPr="007F4D3D">
              <w:rPr>
                <w:rFonts w:ascii="Calibri" w:eastAsia="Times New Roman" w:hAnsi="Calibri" w:cs="Times New Roman"/>
                <w:color w:val="000000"/>
                <w:sz w:val="20"/>
                <w:szCs w:val="20"/>
              </w:rPr>
              <w:t>n/a</w:t>
            </w:r>
          </w:p>
        </w:tc>
        <w:tc>
          <w:tcPr>
            <w:tcW w:w="64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7F4D3D" w:rsidRPr="007F4D3D" w:rsidRDefault="007F4D3D" w:rsidP="00B920E7">
            <w:pPr>
              <w:keepNext/>
              <w:keepLines/>
              <w:spacing w:after="0"/>
              <w:jc w:val="right"/>
              <w:rPr>
                <w:rFonts w:ascii="Calibri" w:eastAsia="Times New Roman" w:hAnsi="Calibri" w:cs="Times New Roman"/>
                <w:color w:val="000000"/>
                <w:sz w:val="20"/>
                <w:szCs w:val="20"/>
              </w:rPr>
            </w:pPr>
            <w:r w:rsidRPr="007F4D3D">
              <w:rPr>
                <w:rFonts w:ascii="Calibri" w:eastAsia="Times New Roman" w:hAnsi="Calibri" w:cs="Times New Roman"/>
                <w:color w:val="000000"/>
                <w:sz w:val="20"/>
                <w:szCs w:val="20"/>
              </w:rPr>
              <w:t>R-Value</w:t>
            </w:r>
          </w:p>
        </w:tc>
      </w:tr>
      <w:tr w:rsidR="007F4D3D" w:rsidRPr="007F4D3D" w:rsidTr="00B920E7">
        <w:tc>
          <w:tcPr>
            <w:tcW w:w="4352" w:type="pct"/>
            <w:gridSpan w:val="5"/>
            <w:tcBorders>
              <w:top w:val="single" w:sz="4" w:space="0" w:color="BFBFBF"/>
              <w:left w:val="nil"/>
              <w:bottom w:val="nil"/>
              <w:right w:val="nil"/>
            </w:tcBorders>
            <w:shd w:val="clear" w:color="auto" w:fill="auto"/>
            <w:noWrap/>
            <w:vAlign w:val="center"/>
            <w:hideMark/>
          </w:tcPr>
          <w:p w:rsidR="007F4D3D" w:rsidRPr="007F4D3D" w:rsidRDefault="007F4D3D" w:rsidP="00B920E7">
            <w:pPr>
              <w:keepNext/>
              <w:keepLines/>
              <w:spacing w:after="0" w:line="240" w:lineRule="auto"/>
              <w:rPr>
                <w:rFonts w:ascii="Calibri" w:eastAsia="Times New Roman" w:hAnsi="Calibri" w:cs="Times New Roman"/>
                <w:color w:val="000000"/>
                <w:sz w:val="20"/>
                <w:szCs w:val="20"/>
              </w:rPr>
            </w:pPr>
            <w:r w:rsidRPr="007F4D3D">
              <w:rPr>
                <w:rFonts w:ascii="Calibri" w:eastAsia="Times New Roman" w:hAnsi="Calibri" w:cs="Times New Roman"/>
                <w:color w:val="000000"/>
                <w:sz w:val="20"/>
                <w:szCs w:val="20"/>
              </w:rPr>
              <w:t xml:space="preserve">*Count of participants reflects the number with </w:t>
            </w:r>
            <w:r w:rsidRPr="007F4D3D">
              <w:rPr>
                <w:rFonts w:ascii="Calibri" w:eastAsia="Times New Roman" w:hAnsi="Calibri" w:cs="Times New Roman"/>
                <w:i/>
                <w:iCs/>
                <w:color w:val="000000"/>
                <w:sz w:val="20"/>
                <w:szCs w:val="20"/>
              </w:rPr>
              <w:t>ex ante</w:t>
            </w:r>
            <w:r w:rsidRPr="007F4D3D">
              <w:rPr>
                <w:rFonts w:ascii="Calibri" w:eastAsia="Times New Roman" w:hAnsi="Calibri" w:cs="Times New Roman"/>
                <w:color w:val="000000"/>
                <w:sz w:val="20"/>
                <w:szCs w:val="20"/>
              </w:rPr>
              <w:t xml:space="preserve"> savings reported for a given measure.</w:t>
            </w:r>
          </w:p>
        </w:tc>
        <w:tc>
          <w:tcPr>
            <w:tcW w:w="648" w:type="pct"/>
            <w:tcBorders>
              <w:top w:val="single" w:sz="4" w:space="0" w:color="BFBFBF"/>
              <w:left w:val="nil"/>
              <w:bottom w:val="nil"/>
              <w:right w:val="nil"/>
            </w:tcBorders>
            <w:shd w:val="clear" w:color="auto" w:fill="auto"/>
            <w:noWrap/>
            <w:vAlign w:val="center"/>
            <w:hideMark/>
          </w:tcPr>
          <w:p w:rsidR="007F4D3D" w:rsidRPr="007F4D3D" w:rsidRDefault="007F4D3D" w:rsidP="00B920E7">
            <w:pPr>
              <w:keepNext/>
              <w:keepLines/>
              <w:spacing w:after="0" w:line="240" w:lineRule="auto"/>
              <w:rPr>
                <w:rFonts w:ascii="Calibri" w:eastAsia="Times New Roman" w:hAnsi="Calibri" w:cs="Times New Roman"/>
                <w:color w:val="000000"/>
              </w:rPr>
            </w:pPr>
          </w:p>
        </w:tc>
      </w:tr>
    </w:tbl>
    <w:p w:rsidR="00CD2F98" w:rsidRDefault="00CD2F98" w:rsidP="00B920E7">
      <w:pPr>
        <w:pStyle w:val="NormalAfterTablesandFigures"/>
      </w:pPr>
    </w:p>
    <w:p w:rsidR="00724458" w:rsidRDefault="00724458" w:rsidP="00696DD4">
      <w:r>
        <w:t xml:space="preserve">The Evaluation Team used the energy models to calculate the </w:t>
      </w:r>
      <w:r w:rsidR="00E76F95">
        <w:t xml:space="preserve">percent savings for each </w:t>
      </w:r>
      <w:r>
        <w:t>weather-sensitive measure</w:t>
      </w:r>
      <w:r w:rsidR="00E76F95">
        <w:t>. These percentages</w:t>
      </w:r>
      <w:r>
        <w:t xml:space="preserve"> were then ap</w:t>
      </w:r>
      <w:r w:rsidR="00C46F61">
        <w:t xml:space="preserve">plied to the pre-period </w:t>
      </w:r>
      <w:r w:rsidR="00AE0E68">
        <w:t xml:space="preserve">weather-sensitive </w:t>
      </w:r>
      <w:r>
        <w:t xml:space="preserve">usage for each model to calculate evaluated energy savings. </w:t>
      </w:r>
      <w:r w:rsidR="005C2163">
        <w:fldChar w:fldCharType="begin"/>
      </w:r>
      <w:r w:rsidR="007C46AE">
        <w:instrText xml:space="preserve"> REF _Ref388437229 \h </w:instrText>
      </w:r>
      <w:r w:rsidR="005C2163">
        <w:fldChar w:fldCharType="separate"/>
      </w:r>
      <w:r w:rsidR="00CD20CF">
        <w:t xml:space="preserve">Table </w:t>
      </w:r>
      <w:r w:rsidR="00CD20CF">
        <w:rPr>
          <w:noProof/>
        </w:rPr>
        <w:t>23</w:t>
      </w:r>
      <w:r w:rsidR="005C2163">
        <w:fldChar w:fldCharType="end"/>
      </w:r>
      <w:r>
        <w:t xml:space="preserve"> presents</w:t>
      </w:r>
      <w:r w:rsidR="00E918E4">
        <w:t>:</w:t>
      </w:r>
      <w:r>
        <w:t xml:space="preserve"> weighted</w:t>
      </w:r>
      <w:r w:rsidR="00E918E4">
        <w:t>,</w:t>
      </w:r>
      <w:r>
        <w:t xml:space="preserve"> household-level electric savings for each measure</w:t>
      </w:r>
      <w:r w:rsidR="00E918E4">
        <w:t>;</w:t>
      </w:r>
      <w:r>
        <w:t xml:space="preserve"> and realization rates compared to average </w:t>
      </w:r>
      <w:r w:rsidRPr="00CA48C9">
        <w:rPr>
          <w:i/>
        </w:rPr>
        <w:t>ex ante</w:t>
      </w:r>
      <w:r>
        <w:t xml:space="preserve"> savings, along with the savings percentages of weather-sensitive load</w:t>
      </w:r>
      <w:r w:rsidR="00E918E4">
        <w:t>s</w:t>
      </w:r>
      <w:r>
        <w:t>.</w:t>
      </w:r>
    </w:p>
    <w:p w:rsidR="00724458" w:rsidRPr="008325F2" w:rsidRDefault="00696DD4" w:rsidP="00786323">
      <w:pPr>
        <w:pStyle w:val="Caption"/>
      </w:pPr>
      <w:bookmarkStart w:id="64" w:name="_Ref388437229"/>
      <w:r>
        <w:t xml:space="preserve">Table </w:t>
      </w:r>
      <w:r w:rsidR="002506E1">
        <w:fldChar w:fldCharType="begin"/>
      </w:r>
      <w:r w:rsidR="002506E1">
        <w:instrText xml:space="preserve"> SEQ Table \* ARABIC </w:instrText>
      </w:r>
      <w:r w:rsidR="002506E1">
        <w:fldChar w:fldCharType="separate"/>
      </w:r>
      <w:r w:rsidR="00CD20CF">
        <w:rPr>
          <w:noProof/>
        </w:rPr>
        <w:t>23</w:t>
      </w:r>
      <w:r w:rsidR="002506E1">
        <w:rPr>
          <w:noProof/>
        </w:rPr>
        <w:fldChar w:fldCharType="end"/>
      </w:r>
      <w:bookmarkEnd w:id="64"/>
      <w:r>
        <w:t>.</w:t>
      </w:r>
      <w:r w:rsidR="00724458">
        <w:t xml:space="preserve"> HES Electric</w:t>
      </w:r>
      <w:r w:rsidR="00872874">
        <w:t>—</w:t>
      </w:r>
      <w:r w:rsidR="00724458">
        <w:t>Weighted Household Savings</w:t>
      </w:r>
      <w:r w:rsidR="008325F2" w:rsidRPr="007B0830">
        <w:t xml:space="preserve"> </w:t>
      </w:r>
      <w:r w:rsidR="008325F2">
        <w:t>for Shell and Duct Measures</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48"/>
        <w:gridCol w:w="1260"/>
        <w:gridCol w:w="2160"/>
        <w:gridCol w:w="1710"/>
        <w:gridCol w:w="1559"/>
        <w:gridCol w:w="1339"/>
      </w:tblGrid>
      <w:tr w:rsidR="00C46F61" w:rsidRPr="00C46F61" w:rsidTr="00B920E7">
        <w:tc>
          <w:tcPr>
            <w:tcW w:w="808" w:type="pct"/>
            <w:shd w:val="clear" w:color="000000" w:fill="005DAA"/>
            <w:vAlign w:val="center"/>
            <w:hideMark/>
          </w:tcPr>
          <w:p w:rsidR="00C46F61" w:rsidRPr="00C46F61" w:rsidRDefault="00C46F61" w:rsidP="00B920E7">
            <w:pPr>
              <w:keepNext/>
              <w:keepLines/>
              <w:spacing w:after="0"/>
              <w:jc w:val="center"/>
              <w:rPr>
                <w:rFonts w:ascii="Calibri" w:eastAsia="Times New Roman" w:hAnsi="Calibri" w:cs="Times New Roman"/>
                <w:b/>
                <w:bCs/>
                <w:color w:val="FFFFFF"/>
              </w:rPr>
            </w:pPr>
            <w:r w:rsidRPr="00C46F61">
              <w:rPr>
                <w:rFonts w:ascii="Calibri" w:eastAsia="Times New Roman" w:hAnsi="Calibri" w:cs="Times New Roman"/>
                <w:b/>
                <w:bCs/>
                <w:color w:val="FFFFFF"/>
              </w:rPr>
              <w:t>Measures</w:t>
            </w:r>
          </w:p>
        </w:tc>
        <w:tc>
          <w:tcPr>
            <w:tcW w:w="658" w:type="pct"/>
            <w:shd w:val="clear" w:color="000000" w:fill="005DAA"/>
            <w:vAlign w:val="center"/>
            <w:hideMark/>
          </w:tcPr>
          <w:p w:rsidR="00C46F61" w:rsidRPr="00C46F61" w:rsidRDefault="00C46F61" w:rsidP="00B920E7">
            <w:pPr>
              <w:keepNext/>
              <w:keepLines/>
              <w:spacing w:after="0"/>
              <w:jc w:val="center"/>
              <w:rPr>
                <w:rFonts w:ascii="Calibri" w:eastAsia="Times New Roman" w:hAnsi="Calibri" w:cs="Times New Roman"/>
                <w:b/>
                <w:bCs/>
                <w:color w:val="FFFFFF"/>
              </w:rPr>
            </w:pPr>
            <w:r w:rsidRPr="00C46F61">
              <w:rPr>
                <w:rFonts w:ascii="Calibri" w:eastAsia="Times New Roman" w:hAnsi="Calibri" w:cs="Times New Roman"/>
                <w:b/>
                <w:bCs/>
                <w:color w:val="FFFFFF"/>
              </w:rPr>
              <w:t xml:space="preserve">Average </w:t>
            </w:r>
            <w:r w:rsidRPr="00C46F61">
              <w:rPr>
                <w:rFonts w:ascii="Calibri" w:eastAsia="Times New Roman" w:hAnsi="Calibri" w:cs="Times New Roman"/>
                <w:b/>
                <w:bCs/>
                <w:i/>
                <w:iCs/>
                <w:color w:val="FFFFFF"/>
              </w:rPr>
              <w:t>Ex Ante</w:t>
            </w:r>
            <w:r w:rsidRPr="00C46F61">
              <w:rPr>
                <w:rFonts w:ascii="Calibri" w:eastAsia="Times New Roman" w:hAnsi="Calibri" w:cs="Times New Roman"/>
                <w:b/>
                <w:bCs/>
                <w:color w:val="FFFFFF"/>
              </w:rPr>
              <w:t xml:space="preserve"> Savings (kWh)</w:t>
            </w:r>
          </w:p>
        </w:tc>
        <w:tc>
          <w:tcPr>
            <w:tcW w:w="1128" w:type="pct"/>
            <w:shd w:val="clear" w:color="000000" w:fill="005DAA"/>
            <w:vAlign w:val="center"/>
            <w:hideMark/>
          </w:tcPr>
          <w:p w:rsidR="00C46F61" w:rsidRPr="00C46F61" w:rsidRDefault="00C46F61" w:rsidP="00B920E7">
            <w:pPr>
              <w:keepNext/>
              <w:keepLines/>
              <w:spacing w:after="0"/>
              <w:jc w:val="center"/>
              <w:rPr>
                <w:rFonts w:ascii="Calibri" w:eastAsia="Times New Roman" w:hAnsi="Calibri" w:cs="Times New Roman"/>
                <w:b/>
                <w:bCs/>
                <w:color w:val="FFFFFF"/>
              </w:rPr>
            </w:pPr>
            <w:r w:rsidRPr="00C46F61">
              <w:rPr>
                <w:rFonts w:ascii="Calibri" w:eastAsia="Times New Roman" w:hAnsi="Calibri" w:cs="Times New Roman"/>
                <w:b/>
                <w:bCs/>
                <w:color w:val="FFFFFF"/>
              </w:rPr>
              <w:t xml:space="preserve">Average Pre-Installation </w:t>
            </w:r>
            <w:r w:rsidR="00AE0E68">
              <w:rPr>
                <w:rFonts w:ascii="Calibri" w:eastAsia="Times New Roman" w:hAnsi="Calibri" w:cs="Times New Roman"/>
                <w:b/>
                <w:bCs/>
                <w:color w:val="FFFFFF"/>
              </w:rPr>
              <w:t>Weather-</w:t>
            </w:r>
            <w:r w:rsidRPr="00C46F61">
              <w:rPr>
                <w:rFonts w:ascii="Calibri" w:eastAsia="Times New Roman" w:hAnsi="Calibri" w:cs="Times New Roman"/>
                <w:b/>
                <w:bCs/>
                <w:color w:val="FFFFFF"/>
              </w:rPr>
              <w:t>Sensitive Consumption (kWh)</w:t>
            </w:r>
          </w:p>
        </w:tc>
        <w:tc>
          <w:tcPr>
            <w:tcW w:w="893" w:type="pct"/>
            <w:shd w:val="clear" w:color="000000" w:fill="005DAA"/>
            <w:vAlign w:val="center"/>
            <w:hideMark/>
          </w:tcPr>
          <w:p w:rsidR="00C46F61" w:rsidRPr="00C46F61" w:rsidRDefault="00C46F61" w:rsidP="00B920E7">
            <w:pPr>
              <w:keepNext/>
              <w:keepLines/>
              <w:spacing w:after="0"/>
              <w:jc w:val="center"/>
              <w:rPr>
                <w:rFonts w:ascii="Calibri" w:eastAsia="Times New Roman" w:hAnsi="Calibri" w:cs="Times New Roman"/>
                <w:b/>
                <w:bCs/>
                <w:color w:val="FFFFFF"/>
              </w:rPr>
            </w:pPr>
            <w:r w:rsidRPr="00C46F61">
              <w:rPr>
                <w:rFonts w:ascii="Calibri" w:eastAsia="Times New Roman" w:hAnsi="Calibri" w:cs="Times New Roman"/>
                <w:b/>
                <w:bCs/>
                <w:color w:val="FFFFFF"/>
              </w:rPr>
              <w:t>Savings as % of Weather-Sensitive Load</w:t>
            </w:r>
          </w:p>
        </w:tc>
        <w:tc>
          <w:tcPr>
            <w:tcW w:w="814" w:type="pct"/>
            <w:shd w:val="clear" w:color="000000" w:fill="005DAA"/>
            <w:vAlign w:val="center"/>
            <w:hideMark/>
          </w:tcPr>
          <w:p w:rsidR="00C46F61" w:rsidRPr="00C46F61" w:rsidRDefault="00C46F61" w:rsidP="00B920E7">
            <w:pPr>
              <w:keepNext/>
              <w:keepLines/>
              <w:spacing w:after="0"/>
              <w:jc w:val="center"/>
              <w:rPr>
                <w:rFonts w:ascii="Calibri" w:eastAsia="Times New Roman" w:hAnsi="Calibri" w:cs="Times New Roman"/>
                <w:b/>
                <w:bCs/>
                <w:color w:val="FFFFFF"/>
              </w:rPr>
            </w:pPr>
            <w:r w:rsidRPr="00C46F61">
              <w:rPr>
                <w:rFonts w:ascii="Calibri" w:eastAsia="Times New Roman" w:hAnsi="Calibri" w:cs="Times New Roman"/>
                <w:b/>
                <w:bCs/>
                <w:color w:val="FFFFFF"/>
              </w:rPr>
              <w:t>Average Evaluated Gross Savings (kWh)</w:t>
            </w:r>
          </w:p>
        </w:tc>
        <w:tc>
          <w:tcPr>
            <w:tcW w:w="699" w:type="pct"/>
            <w:shd w:val="clear" w:color="000000" w:fill="005DAA"/>
            <w:vAlign w:val="center"/>
            <w:hideMark/>
          </w:tcPr>
          <w:p w:rsidR="00C46F61" w:rsidRPr="00C46F61" w:rsidRDefault="00C46F61" w:rsidP="00B920E7">
            <w:pPr>
              <w:keepNext/>
              <w:keepLines/>
              <w:spacing w:after="0"/>
              <w:jc w:val="center"/>
              <w:rPr>
                <w:rFonts w:ascii="Calibri" w:eastAsia="Times New Roman" w:hAnsi="Calibri" w:cs="Times New Roman"/>
                <w:b/>
                <w:bCs/>
                <w:color w:val="FFFFFF"/>
              </w:rPr>
            </w:pPr>
            <w:r w:rsidRPr="00C46F61">
              <w:rPr>
                <w:rFonts w:ascii="Calibri" w:eastAsia="Times New Roman" w:hAnsi="Calibri" w:cs="Times New Roman"/>
                <w:b/>
                <w:bCs/>
                <w:color w:val="FFFFFF"/>
              </w:rPr>
              <w:t>Realization Rate</w:t>
            </w:r>
          </w:p>
        </w:tc>
      </w:tr>
      <w:tr w:rsidR="00C46F61" w:rsidRPr="00C46F61" w:rsidTr="00B920E7">
        <w:tc>
          <w:tcPr>
            <w:tcW w:w="808" w:type="pct"/>
            <w:shd w:val="clear" w:color="auto" w:fill="auto"/>
            <w:vAlign w:val="center"/>
            <w:hideMark/>
          </w:tcPr>
          <w:p w:rsidR="00C46F61" w:rsidRPr="00C46F61" w:rsidRDefault="00C46F61" w:rsidP="00B920E7">
            <w:pPr>
              <w:keepNext/>
              <w:keepLines/>
              <w:spacing w:after="0"/>
              <w:rPr>
                <w:rFonts w:ascii="Calibri" w:eastAsia="Times New Roman" w:hAnsi="Calibri" w:cs="Times New Roman"/>
                <w:color w:val="000000"/>
                <w:sz w:val="20"/>
                <w:szCs w:val="20"/>
              </w:rPr>
            </w:pPr>
            <w:r w:rsidRPr="00C46F61">
              <w:rPr>
                <w:rFonts w:ascii="Calibri" w:eastAsia="Times New Roman" w:hAnsi="Calibri" w:cs="Times New Roman"/>
                <w:color w:val="000000"/>
                <w:sz w:val="20"/>
                <w:szCs w:val="20"/>
              </w:rPr>
              <w:t>Duct Sealing</w:t>
            </w:r>
          </w:p>
        </w:tc>
        <w:tc>
          <w:tcPr>
            <w:tcW w:w="658" w:type="pct"/>
            <w:shd w:val="clear" w:color="auto" w:fill="auto"/>
            <w:vAlign w:val="center"/>
            <w:hideMark/>
          </w:tcPr>
          <w:p w:rsidR="00C46F61" w:rsidRPr="00C46F61" w:rsidRDefault="00C46F61" w:rsidP="00B920E7">
            <w:pPr>
              <w:keepNext/>
              <w:keepLines/>
              <w:spacing w:after="0"/>
              <w:jc w:val="right"/>
              <w:rPr>
                <w:rFonts w:ascii="Calibri" w:eastAsia="Times New Roman" w:hAnsi="Calibri" w:cs="Times New Roman"/>
                <w:color w:val="000000"/>
                <w:sz w:val="20"/>
                <w:szCs w:val="20"/>
              </w:rPr>
            </w:pPr>
            <w:r w:rsidRPr="00C46F61">
              <w:rPr>
                <w:rFonts w:ascii="Calibri" w:eastAsia="Times New Roman" w:hAnsi="Calibri" w:cs="Times New Roman"/>
                <w:color w:val="000000"/>
                <w:sz w:val="20"/>
                <w:szCs w:val="20"/>
              </w:rPr>
              <w:t>309</w:t>
            </w:r>
          </w:p>
        </w:tc>
        <w:tc>
          <w:tcPr>
            <w:tcW w:w="1128" w:type="pct"/>
            <w:shd w:val="clear" w:color="auto" w:fill="auto"/>
            <w:vAlign w:val="center"/>
            <w:hideMark/>
          </w:tcPr>
          <w:p w:rsidR="00C46F61" w:rsidRPr="00C46F61" w:rsidRDefault="00C46F61" w:rsidP="00B920E7">
            <w:pPr>
              <w:keepNext/>
              <w:keepLines/>
              <w:spacing w:after="0"/>
              <w:jc w:val="right"/>
              <w:rPr>
                <w:rFonts w:ascii="Calibri" w:eastAsia="Times New Roman" w:hAnsi="Calibri" w:cs="Times New Roman"/>
                <w:color w:val="000000"/>
                <w:sz w:val="20"/>
                <w:szCs w:val="20"/>
              </w:rPr>
            </w:pPr>
            <w:r w:rsidRPr="00C46F61">
              <w:rPr>
                <w:rFonts w:ascii="Calibri" w:eastAsia="Times New Roman" w:hAnsi="Calibri" w:cs="Times New Roman"/>
                <w:color w:val="000000"/>
                <w:sz w:val="20"/>
                <w:szCs w:val="20"/>
              </w:rPr>
              <w:t>3,942</w:t>
            </w:r>
          </w:p>
        </w:tc>
        <w:tc>
          <w:tcPr>
            <w:tcW w:w="893" w:type="pct"/>
            <w:shd w:val="clear" w:color="auto" w:fill="auto"/>
            <w:vAlign w:val="center"/>
            <w:hideMark/>
          </w:tcPr>
          <w:p w:rsidR="00C46F61" w:rsidRPr="00C46F61" w:rsidRDefault="00C46F61" w:rsidP="00B920E7">
            <w:pPr>
              <w:keepNext/>
              <w:keepLines/>
              <w:spacing w:after="0"/>
              <w:jc w:val="right"/>
              <w:rPr>
                <w:rFonts w:ascii="Calibri" w:eastAsia="Times New Roman" w:hAnsi="Calibri" w:cs="Times New Roman"/>
                <w:color w:val="000000"/>
                <w:sz w:val="20"/>
                <w:szCs w:val="20"/>
              </w:rPr>
            </w:pPr>
            <w:r w:rsidRPr="00C46F61">
              <w:rPr>
                <w:rFonts w:ascii="Calibri" w:eastAsia="Times New Roman" w:hAnsi="Calibri" w:cs="Times New Roman"/>
                <w:color w:val="000000"/>
                <w:sz w:val="20"/>
                <w:szCs w:val="20"/>
              </w:rPr>
              <w:t>2.6%</w:t>
            </w:r>
          </w:p>
        </w:tc>
        <w:tc>
          <w:tcPr>
            <w:tcW w:w="814" w:type="pct"/>
            <w:shd w:val="clear" w:color="auto" w:fill="auto"/>
            <w:vAlign w:val="center"/>
            <w:hideMark/>
          </w:tcPr>
          <w:p w:rsidR="00C46F61" w:rsidRPr="00C46F61" w:rsidRDefault="00C46F61" w:rsidP="00B920E7">
            <w:pPr>
              <w:keepNext/>
              <w:keepLines/>
              <w:spacing w:after="0"/>
              <w:jc w:val="right"/>
              <w:rPr>
                <w:rFonts w:ascii="Calibri" w:eastAsia="Times New Roman" w:hAnsi="Calibri" w:cs="Times New Roman"/>
                <w:color w:val="000000"/>
                <w:sz w:val="20"/>
                <w:szCs w:val="20"/>
              </w:rPr>
            </w:pPr>
            <w:r w:rsidRPr="00C46F61">
              <w:rPr>
                <w:rFonts w:ascii="Calibri" w:eastAsia="Times New Roman" w:hAnsi="Calibri" w:cs="Times New Roman"/>
                <w:color w:val="000000"/>
                <w:sz w:val="20"/>
                <w:szCs w:val="20"/>
              </w:rPr>
              <w:t>103</w:t>
            </w:r>
          </w:p>
        </w:tc>
        <w:tc>
          <w:tcPr>
            <w:tcW w:w="699" w:type="pct"/>
            <w:shd w:val="clear" w:color="auto" w:fill="auto"/>
            <w:vAlign w:val="center"/>
            <w:hideMark/>
          </w:tcPr>
          <w:p w:rsidR="00C46F61" w:rsidRPr="00C46F61" w:rsidRDefault="00C46F61" w:rsidP="00B920E7">
            <w:pPr>
              <w:keepNext/>
              <w:keepLines/>
              <w:spacing w:after="0"/>
              <w:jc w:val="right"/>
              <w:rPr>
                <w:rFonts w:ascii="Calibri" w:eastAsia="Times New Roman" w:hAnsi="Calibri" w:cs="Times New Roman"/>
                <w:color w:val="000000"/>
                <w:sz w:val="20"/>
                <w:szCs w:val="20"/>
              </w:rPr>
            </w:pPr>
            <w:r w:rsidRPr="00C46F61">
              <w:rPr>
                <w:rFonts w:ascii="Calibri" w:eastAsia="Times New Roman" w:hAnsi="Calibri" w:cs="Times New Roman"/>
                <w:color w:val="000000"/>
                <w:sz w:val="20"/>
                <w:szCs w:val="20"/>
              </w:rPr>
              <w:t>33%</w:t>
            </w:r>
          </w:p>
        </w:tc>
      </w:tr>
      <w:tr w:rsidR="00C46F61" w:rsidRPr="00C46F61" w:rsidTr="00B920E7">
        <w:tc>
          <w:tcPr>
            <w:tcW w:w="808" w:type="pct"/>
            <w:shd w:val="clear" w:color="auto" w:fill="auto"/>
            <w:vAlign w:val="center"/>
            <w:hideMark/>
          </w:tcPr>
          <w:p w:rsidR="00C46F61" w:rsidRPr="00C46F61" w:rsidRDefault="00C46F61" w:rsidP="00B920E7">
            <w:pPr>
              <w:keepNext/>
              <w:keepLines/>
              <w:spacing w:after="0"/>
              <w:rPr>
                <w:rFonts w:ascii="Calibri" w:eastAsia="Times New Roman" w:hAnsi="Calibri" w:cs="Times New Roman"/>
                <w:color w:val="000000"/>
                <w:sz w:val="20"/>
                <w:szCs w:val="20"/>
              </w:rPr>
            </w:pPr>
            <w:r w:rsidRPr="00C46F61">
              <w:rPr>
                <w:rFonts w:ascii="Calibri" w:eastAsia="Times New Roman" w:hAnsi="Calibri" w:cs="Times New Roman"/>
                <w:color w:val="000000"/>
                <w:sz w:val="20"/>
                <w:szCs w:val="20"/>
              </w:rPr>
              <w:t>Attic Insulation</w:t>
            </w:r>
          </w:p>
        </w:tc>
        <w:tc>
          <w:tcPr>
            <w:tcW w:w="658" w:type="pct"/>
            <w:shd w:val="clear" w:color="auto" w:fill="auto"/>
            <w:vAlign w:val="center"/>
            <w:hideMark/>
          </w:tcPr>
          <w:p w:rsidR="00C46F61" w:rsidRPr="00C46F61" w:rsidRDefault="00C46F61" w:rsidP="00B920E7">
            <w:pPr>
              <w:keepNext/>
              <w:keepLines/>
              <w:spacing w:after="0"/>
              <w:jc w:val="right"/>
              <w:rPr>
                <w:rFonts w:ascii="Calibri" w:eastAsia="Times New Roman" w:hAnsi="Calibri" w:cs="Times New Roman"/>
                <w:color w:val="000000"/>
                <w:sz w:val="20"/>
                <w:szCs w:val="20"/>
              </w:rPr>
            </w:pPr>
            <w:r w:rsidRPr="00C46F61">
              <w:rPr>
                <w:rFonts w:ascii="Calibri" w:eastAsia="Times New Roman" w:hAnsi="Calibri" w:cs="Times New Roman"/>
                <w:color w:val="000000"/>
                <w:sz w:val="20"/>
                <w:szCs w:val="20"/>
              </w:rPr>
              <w:t>708</w:t>
            </w:r>
          </w:p>
        </w:tc>
        <w:tc>
          <w:tcPr>
            <w:tcW w:w="1128" w:type="pct"/>
            <w:shd w:val="clear" w:color="auto" w:fill="auto"/>
            <w:vAlign w:val="center"/>
            <w:hideMark/>
          </w:tcPr>
          <w:p w:rsidR="00C46F61" w:rsidRPr="00C46F61" w:rsidRDefault="00C46F61" w:rsidP="00B920E7">
            <w:pPr>
              <w:keepNext/>
              <w:keepLines/>
              <w:spacing w:after="0"/>
              <w:jc w:val="right"/>
              <w:rPr>
                <w:rFonts w:ascii="Calibri" w:eastAsia="Times New Roman" w:hAnsi="Calibri" w:cs="Times New Roman"/>
                <w:color w:val="000000"/>
                <w:sz w:val="20"/>
                <w:szCs w:val="20"/>
              </w:rPr>
            </w:pPr>
            <w:r w:rsidRPr="00C46F61">
              <w:rPr>
                <w:rFonts w:ascii="Calibri" w:eastAsia="Times New Roman" w:hAnsi="Calibri" w:cs="Times New Roman"/>
                <w:color w:val="000000"/>
                <w:sz w:val="20"/>
                <w:szCs w:val="20"/>
              </w:rPr>
              <w:t>3,395</w:t>
            </w:r>
          </w:p>
        </w:tc>
        <w:tc>
          <w:tcPr>
            <w:tcW w:w="893" w:type="pct"/>
            <w:shd w:val="clear" w:color="auto" w:fill="auto"/>
            <w:vAlign w:val="center"/>
            <w:hideMark/>
          </w:tcPr>
          <w:p w:rsidR="00C46F61" w:rsidRPr="00C46F61" w:rsidRDefault="00C46F61" w:rsidP="00B920E7">
            <w:pPr>
              <w:keepNext/>
              <w:keepLines/>
              <w:spacing w:after="0"/>
              <w:jc w:val="right"/>
              <w:rPr>
                <w:rFonts w:ascii="Calibri" w:eastAsia="Times New Roman" w:hAnsi="Calibri" w:cs="Times New Roman"/>
                <w:color w:val="000000"/>
                <w:sz w:val="20"/>
                <w:szCs w:val="20"/>
              </w:rPr>
            </w:pPr>
            <w:r w:rsidRPr="00C46F61">
              <w:rPr>
                <w:rFonts w:ascii="Calibri" w:eastAsia="Times New Roman" w:hAnsi="Calibri" w:cs="Times New Roman"/>
                <w:color w:val="000000"/>
                <w:sz w:val="20"/>
                <w:szCs w:val="20"/>
              </w:rPr>
              <w:t>14.2%</w:t>
            </w:r>
          </w:p>
        </w:tc>
        <w:tc>
          <w:tcPr>
            <w:tcW w:w="814" w:type="pct"/>
            <w:shd w:val="clear" w:color="auto" w:fill="auto"/>
            <w:vAlign w:val="center"/>
            <w:hideMark/>
          </w:tcPr>
          <w:p w:rsidR="00C46F61" w:rsidRPr="00C46F61" w:rsidRDefault="00C46F61" w:rsidP="00B920E7">
            <w:pPr>
              <w:keepNext/>
              <w:keepLines/>
              <w:spacing w:after="0"/>
              <w:jc w:val="right"/>
              <w:rPr>
                <w:rFonts w:ascii="Calibri" w:eastAsia="Times New Roman" w:hAnsi="Calibri" w:cs="Times New Roman"/>
                <w:color w:val="000000"/>
                <w:sz w:val="20"/>
                <w:szCs w:val="20"/>
              </w:rPr>
            </w:pPr>
            <w:r w:rsidRPr="00C46F61">
              <w:rPr>
                <w:rFonts w:ascii="Calibri" w:eastAsia="Times New Roman" w:hAnsi="Calibri" w:cs="Times New Roman"/>
                <w:color w:val="000000"/>
                <w:sz w:val="20"/>
                <w:szCs w:val="20"/>
              </w:rPr>
              <w:t>481</w:t>
            </w:r>
          </w:p>
        </w:tc>
        <w:tc>
          <w:tcPr>
            <w:tcW w:w="699" w:type="pct"/>
            <w:shd w:val="clear" w:color="auto" w:fill="auto"/>
            <w:vAlign w:val="center"/>
            <w:hideMark/>
          </w:tcPr>
          <w:p w:rsidR="00C46F61" w:rsidRPr="00C46F61" w:rsidRDefault="00C46F61" w:rsidP="00B920E7">
            <w:pPr>
              <w:keepNext/>
              <w:keepLines/>
              <w:spacing w:after="0"/>
              <w:jc w:val="right"/>
              <w:rPr>
                <w:rFonts w:ascii="Calibri" w:eastAsia="Times New Roman" w:hAnsi="Calibri" w:cs="Times New Roman"/>
                <w:color w:val="000000"/>
                <w:sz w:val="20"/>
                <w:szCs w:val="20"/>
              </w:rPr>
            </w:pPr>
            <w:r w:rsidRPr="00C46F61">
              <w:rPr>
                <w:rFonts w:ascii="Calibri" w:eastAsia="Times New Roman" w:hAnsi="Calibri" w:cs="Times New Roman"/>
                <w:color w:val="000000"/>
                <w:sz w:val="20"/>
                <w:szCs w:val="20"/>
              </w:rPr>
              <w:t>68%</w:t>
            </w:r>
          </w:p>
        </w:tc>
      </w:tr>
      <w:tr w:rsidR="00C46F61" w:rsidRPr="00C46F61" w:rsidTr="00B920E7">
        <w:tc>
          <w:tcPr>
            <w:tcW w:w="808" w:type="pct"/>
            <w:shd w:val="clear" w:color="auto" w:fill="auto"/>
            <w:vAlign w:val="center"/>
            <w:hideMark/>
          </w:tcPr>
          <w:p w:rsidR="00C46F61" w:rsidRPr="00C46F61" w:rsidRDefault="00C46F61" w:rsidP="00B920E7">
            <w:pPr>
              <w:keepNext/>
              <w:keepLines/>
              <w:spacing w:after="0"/>
              <w:rPr>
                <w:rFonts w:ascii="Calibri" w:eastAsia="Times New Roman" w:hAnsi="Calibri" w:cs="Times New Roman"/>
                <w:color w:val="000000"/>
                <w:sz w:val="20"/>
                <w:szCs w:val="20"/>
              </w:rPr>
            </w:pPr>
            <w:r w:rsidRPr="00C46F61">
              <w:rPr>
                <w:rFonts w:ascii="Calibri" w:eastAsia="Times New Roman" w:hAnsi="Calibri" w:cs="Times New Roman"/>
                <w:color w:val="000000"/>
                <w:sz w:val="20"/>
                <w:szCs w:val="20"/>
              </w:rPr>
              <w:t>Wall Insulation</w:t>
            </w:r>
          </w:p>
        </w:tc>
        <w:tc>
          <w:tcPr>
            <w:tcW w:w="658" w:type="pct"/>
            <w:shd w:val="clear" w:color="auto" w:fill="auto"/>
            <w:vAlign w:val="center"/>
            <w:hideMark/>
          </w:tcPr>
          <w:p w:rsidR="00C46F61" w:rsidRPr="00C46F61" w:rsidRDefault="00C46F61" w:rsidP="00B920E7">
            <w:pPr>
              <w:keepNext/>
              <w:keepLines/>
              <w:spacing w:after="0"/>
              <w:jc w:val="right"/>
              <w:rPr>
                <w:rFonts w:ascii="Calibri" w:eastAsia="Times New Roman" w:hAnsi="Calibri" w:cs="Times New Roman"/>
                <w:color w:val="000000"/>
                <w:sz w:val="20"/>
                <w:szCs w:val="20"/>
              </w:rPr>
            </w:pPr>
            <w:r w:rsidRPr="00C46F61">
              <w:rPr>
                <w:rFonts w:ascii="Calibri" w:eastAsia="Times New Roman" w:hAnsi="Calibri" w:cs="Times New Roman"/>
                <w:color w:val="000000"/>
                <w:sz w:val="20"/>
                <w:szCs w:val="20"/>
              </w:rPr>
              <w:t>1,876</w:t>
            </w:r>
          </w:p>
        </w:tc>
        <w:tc>
          <w:tcPr>
            <w:tcW w:w="1128" w:type="pct"/>
            <w:shd w:val="clear" w:color="auto" w:fill="auto"/>
            <w:vAlign w:val="center"/>
            <w:hideMark/>
          </w:tcPr>
          <w:p w:rsidR="00C46F61" w:rsidRPr="00C46F61" w:rsidRDefault="00C46F61" w:rsidP="00B920E7">
            <w:pPr>
              <w:keepNext/>
              <w:keepLines/>
              <w:spacing w:after="0"/>
              <w:jc w:val="right"/>
              <w:rPr>
                <w:rFonts w:ascii="Calibri" w:eastAsia="Times New Roman" w:hAnsi="Calibri" w:cs="Times New Roman"/>
                <w:color w:val="000000"/>
                <w:sz w:val="20"/>
                <w:szCs w:val="20"/>
              </w:rPr>
            </w:pPr>
            <w:r w:rsidRPr="00C46F61">
              <w:rPr>
                <w:rFonts w:ascii="Calibri" w:eastAsia="Times New Roman" w:hAnsi="Calibri" w:cs="Times New Roman"/>
                <w:color w:val="000000"/>
                <w:sz w:val="20"/>
                <w:szCs w:val="20"/>
              </w:rPr>
              <w:t>7,243</w:t>
            </w:r>
          </w:p>
        </w:tc>
        <w:tc>
          <w:tcPr>
            <w:tcW w:w="893" w:type="pct"/>
            <w:shd w:val="clear" w:color="auto" w:fill="auto"/>
            <w:vAlign w:val="center"/>
            <w:hideMark/>
          </w:tcPr>
          <w:p w:rsidR="00C46F61" w:rsidRPr="00C46F61" w:rsidRDefault="00C46F61" w:rsidP="00B920E7">
            <w:pPr>
              <w:keepNext/>
              <w:keepLines/>
              <w:spacing w:after="0"/>
              <w:jc w:val="right"/>
              <w:rPr>
                <w:rFonts w:ascii="Calibri" w:eastAsia="Times New Roman" w:hAnsi="Calibri" w:cs="Times New Roman"/>
                <w:color w:val="000000"/>
                <w:sz w:val="20"/>
                <w:szCs w:val="20"/>
              </w:rPr>
            </w:pPr>
            <w:r w:rsidRPr="00C46F61">
              <w:rPr>
                <w:rFonts w:ascii="Calibri" w:eastAsia="Times New Roman" w:hAnsi="Calibri" w:cs="Times New Roman"/>
                <w:color w:val="000000"/>
                <w:sz w:val="20"/>
                <w:szCs w:val="20"/>
              </w:rPr>
              <w:t>21.7%</w:t>
            </w:r>
          </w:p>
        </w:tc>
        <w:tc>
          <w:tcPr>
            <w:tcW w:w="814" w:type="pct"/>
            <w:shd w:val="clear" w:color="auto" w:fill="auto"/>
            <w:vAlign w:val="center"/>
            <w:hideMark/>
          </w:tcPr>
          <w:p w:rsidR="00C46F61" w:rsidRPr="00C46F61" w:rsidRDefault="00C46F61" w:rsidP="00B920E7">
            <w:pPr>
              <w:keepNext/>
              <w:keepLines/>
              <w:spacing w:after="0"/>
              <w:jc w:val="right"/>
              <w:rPr>
                <w:rFonts w:ascii="Calibri" w:eastAsia="Times New Roman" w:hAnsi="Calibri" w:cs="Times New Roman"/>
                <w:color w:val="000000"/>
                <w:sz w:val="20"/>
                <w:szCs w:val="20"/>
              </w:rPr>
            </w:pPr>
            <w:r w:rsidRPr="00C46F61">
              <w:rPr>
                <w:rFonts w:ascii="Calibri" w:eastAsia="Times New Roman" w:hAnsi="Calibri" w:cs="Times New Roman"/>
                <w:color w:val="000000"/>
                <w:sz w:val="20"/>
                <w:szCs w:val="20"/>
              </w:rPr>
              <w:t>1,575</w:t>
            </w:r>
          </w:p>
        </w:tc>
        <w:tc>
          <w:tcPr>
            <w:tcW w:w="699" w:type="pct"/>
            <w:shd w:val="clear" w:color="auto" w:fill="auto"/>
            <w:vAlign w:val="center"/>
            <w:hideMark/>
          </w:tcPr>
          <w:p w:rsidR="00C46F61" w:rsidRPr="00C46F61" w:rsidRDefault="00C46F61" w:rsidP="00B920E7">
            <w:pPr>
              <w:keepNext/>
              <w:keepLines/>
              <w:spacing w:after="0"/>
              <w:jc w:val="right"/>
              <w:rPr>
                <w:rFonts w:ascii="Calibri" w:eastAsia="Times New Roman" w:hAnsi="Calibri" w:cs="Times New Roman"/>
                <w:color w:val="000000"/>
                <w:sz w:val="20"/>
                <w:szCs w:val="20"/>
              </w:rPr>
            </w:pPr>
            <w:r w:rsidRPr="00C46F61">
              <w:rPr>
                <w:rFonts w:ascii="Calibri" w:eastAsia="Times New Roman" w:hAnsi="Calibri" w:cs="Times New Roman"/>
                <w:color w:val="000000"/>
                <w:sz w:val="20"/>
                <w:szCs w:val="20"/>
              </w:rPr>
              <w:t>84%</w:t>
            </w:r>
          </w:p>
        </w:tc>
      </w:tr>
    </w:tbl>
    <w:p w:rsidR="00A05648" w:rsidRDefault="00A05648" w:rsidP="00696DD4">
      <w:pPr>
        <w:pStyle w:val="NormalAfterTablesandFigures"/>
        <w:rPr>
          <w:rFonts w:asciiTheme="minorHAnsi" w:hAnsiTheme="minorHAnsi"/>
          <w:sz w:val="22"/>
        </w:rPr>
      </w:pPr>
    </w:p>
    <w:p w:rsidR="001F30C0" w:rsidRDefault="001F30C0" w:rsidP="001F30C0">
      <w:pPr>
        <w:spacing w:after="120"/>
      </w:pPr>
      <w:r>
        <w:t>D</w:t>
      </w:r>
      <w:r w:rsidRPr="00760A99">
        <w:t xml:space="preserve">ifferences in calculation approaches </w:t>
      </w:r>
      <w:r>
        <w:t>(</w:t>
      </w:r>
      <w:r w:rsidRPr="00760A99">
        <w:t>including specific simulation modeling assumption</w:t>
      </w:r>
      <w:r>
        <w:t>s and algorithm inputs) likely drove d</w:t>
      </w:r>
      <w:r w:rsidRPr="00760A99">
        <w:t>ifferences in evaluated savings</w:t>
      </w:r>
      <w:r>
        <w:t xml:space="preserve">, </w:t>
      </w:r>
      <w:r w:rsidRPr="00760A99">
        <w:t xml:space="preserve">compared to </w:t>
      </w:r>
      <w:r w:rsidRPr="008C76DC">
        <w:rPr>
          <w:i/>
        </w:rPr>
        <w:t>ex ante</w:t>
      </w:r>
      <w:r w:rsidRPr="00760A99">
        <w:t xml:space="preserve"> savings. For example, REM/Rate models from 2008 were used to estimate savings for air</w:t>
      </w:r>
      <w:r>
        <w:t>-</w:t>
      </w:r>
      <w:r w:rsidRPr="00760A99">
        <w:t xml:space="preserve"> and duct</w:t>
      </w:r>
      <w:r>
        <w:t>-</w:t>
      </w:r>
      <w:r w:rsidRPr="00760A99">
        <w:t xml:space="preserve">sealing in the PSD (performed by C&amp;LM Planning team, Northeast Utilities). </w:t>
      </w:r>
      <w:r>
        <w:t>D</w:t>
      </w:r>
      <w:r w:rsidRPr="00760A99">
        <w:t xml:space="preserve">ifferences that </w:t>
      </w:r>
      <w:r>
        <w:t xml:space="preserve">could </w:t>
      </w:r>
      <w:r w:rsidRPr="00760A99">
        <w:t xml:space="preserve">account for </w:t>
      </w:r>
      <w:r>
        <w:t xml:space="preserve">such </w:t>
      </w:r>
      <w:r w:rsidRPr="00760A99">
        <w:t>variation</w:t>
      </w:r>
      <w:r>
        <w:t>s</w:t>
      </w:r>
      <w:r w:rsidRPr="00760A99">
        <w:t xml:space="preserve"> include</w:t>
      </w:r>
      <w:r>
        <w:t xml:space="preserve"> the following</w:t>
      </w:r>
      <w:r w:rsidRPr="00760A99">
        <w:t xml:space="preserve">: </w:t>
      </w:r>
    </w:p>
    <w:p w:rsidR="001F30C0" w:rsidRDefault="001F30C0" w:rsidP="001F30C0">
      <w:pPr>
        <w:pStyle w:val="ListParagraph"/>
        <w:numPr>
          <w:ilvl w:val="0"/>
          <w:numId w:val="25"/>
        </w:numPr>
        <w:spacing w:after="60"/>
        <w:contextualSpacing w:val="0"/>
      </w:pPr>
      <w:r>
        <w:t>D</w:t>
      </w:r>
      <w:r w:rsidRPr="00760A99">
        <w:t>ifferences in building prototypes modeled, specific assumptions associated with existing conditions (e.g., duct location</w:t>
      </w:r>
      <w:r>
        <w:t>s</w:t>
      </w:r>
      <w:r w:rsidRPr="00760A99">
        <w:t>)</w:t>
      </w:r>
      <w:r>
        <w:t>,</w:t>
      </w:r>
      <w:r w:rsidRPr="00760A99">
        <w:t xml:space="preserve"> and square footage (for each prototype and measure to be modeled); </w:t>
      </w:r>
      <w:r>
        <w:t>and</w:t>
      </w:r>
    </w:p>
    <w:p w:rsidR="001F30C0" w:rsidRPr="00760A99" w:rsidRDefault="001F30C0" w:rsidP="001F30C0">
      <w:pPr>
        <w:pStyle w:val="ListParagraph"/>
        <w:numPr>
          <w:ilvl w:val="0"/>
          <w:numId w:val="25"/>
        </w:numPr>
        <w:contextualSpacing w:val="0"/>
      </w:pPr>
      <w:r>
        <w:t>W</w:t>
      </w:r>
      <w:r w:rsidRPr="00760A99">
        <w:t>hether the simulation models were calibrated to pre-period billing data, and</w:t>
      </w:r>
      <w:r>
        <w:t>,</w:t>
      </w:r>
      <w:r w:rsidRPr="00760A99">
        <w:t xml:space="preserve"> if so, whether </w:t>
      </w:r>
      <w:r>
        <w:t xml:space="preserve">these models were </w:t>
      </w:r>
      <w:r w:rsidRPr="00760A99">
        <w:t xml:space="preserve">based on average customer usage, average participant-specific usage, or usage associated with specific participants for each prototype. </w:t>
      </w:r>
    </w:p>
    <w:p w:rsidR="001F30C0" w:rsidRDefault="001F30C0" w:rsidP="001F30C0">
      <w:r w:rsidRPr="00760A99">
        <w:t xml:space="preserve">Using </w:t>
      </w:r>
      <w:r>
        <w:t>a</w:t>
      </w:r>
      <w:r w:rsidRPr="00760A99">
        <w:t xml:space="preserve"> modeling approach </w:t>
      </w:r>
      <w:r>
        <w:t xml:space="preserve">that </w:t>
      </w:r>
      <w:r w:rsidRPr="00760A99">
        <w:t>calculat</w:t>
      </w:r>
      <w:r>
        <w:t>ed</w:t>
      </w:r>
      <w:r w:rsidRPr="00760A99">
        <w:t xml:space="preserve"> savings as a percentage of energy use limit</w:t>
      </w:r>
      <w:r>
        <w:t>ed</w:t>
      </w:r>
      <w:r w:rsidRPr="00760A99">
        <w:t xml:space="preserve"> the potential to overestimate savings on a per-measure basis. For example, evaluated estimates of air</w:t>
      </w:r>
      <w:r>
        <w:t>-</w:t>
      </w:r>
      <w:r w:rsidRPr="00760A99">
        <w:t>sealing and duct</w:t>
      </w:r>
      <w:r>
        <w:t>-</w:t>
      </w:r>
      <w:r w:rsidRPr="00760A99">
        <w:t>sealing measures account</w:t>
      </w:r>
      <w:r>
        <w:t>ed</w:t>
      </w:r>
      <w:r w:rsidRPr="00760A99">
        <w:t xml:space="preserve"> for the overall</w:t>
      </w:r>
      <w:r>
        <w:t>, feasible</w:t>
      </w:r>
      <w:r w:rsidRPr="00760A99">
        <w:t xml:space="preserve"> reduction in air leakage, ensuring these estimates </w:t>
      </w:r>
      <w:r>
        <w:t xml:space="preserve">remained </w:t>
      </w:r>
      <w:r w:rsidRPr="00760A99">
        <w:t xml:space="preserve">relative to overall consumption (and </w:t>
      </w:r>
      <w:r>
        <w:t xml:space="preserve">did </w:t>
      </w:r>
      <w:r w:rsidRPr="00760A99">
        <w:t>not overestimat</w:t>
      </w:r>
      <w:r>
        <w:t>e</w:t>
      </w:r>
      <w:r w:rsidRPr="00760A99">
        <w:t xml:space="preserve"> the combined impact).</w:t>
      </w:r>
    </w:p>
    <w:p w:rsidR="00082BA1" w:rsidRDefault="00082BA1" w:rsidP="00082BA1">
      <w:pPr>
        <w:pStyle w:val="Heading5"/>
      </w:pPr>
      <w:r>
        <w:lastRenderedPageBreak/>
        <w:t>Engineering Algorithm Results</w:t>
      </w:r>
    </w:p>
    <w:p w:rsidR="00936DA1" w:rsidRDefault="00724458" w:rsidP="00696DD4">
      <w:r>
        <w:t>For window replacements, pre</w:t>
      </w:r>
      <w:r w:rsidR="00FC25A1">
        <w:t>-</w:t>
      </w:r>
      <w:r>
        <w:t xml:space="preserve"> and post</w:t>
      </w:r>
      <w:r w:rsidR="00FC25A1">
        <w:t>-</w:t>
      </w:r>
      <w:r>
        <w:t xml:space="preserve">installation data </w:t>
      </w:r>
      <w:r w:rsidR="00FC25A1">
        <w:t>were</w:t>
      </w:r>
      <w:r>
        <w:t xml:space="preserve"> not available to incorporate into the modeling.</w:t>
      </w:r>
      <w:r w:rsidR="00DE1457">
        <w:t xml:space="preserve"> </w:t>
      </w:r>
      <w:r w:rsidR="00FC25A1">
        <w:t xml:space="preserve">Consequently, </w:t>
      </w:r>
      <w:r w:rsidR="00AB1499">
        <w:t>the Evaluation Team</w:t>
      </w:r>
      <w:r>
        <w:t xml:space="preserve"> made assumptions </w:t>
      </w:r>
      <w:r w:rsidR="00FC25A1">
        <w:t>regarding</w:t>
      </w:r>
      <w:r>
        <w:t xml:space="preserve"> window efficiencies</w:t>
      </w:r>
      <w:r w:rsidR="00936DA1">
        <w:t xml:space="preserve"> and square footage installed</w:t>
      </w:r>
      <w:r>
        <w:t>.</w:t>
      </w:r>
      <w:r w:rsidR="00C408F7">
        <w:rPr>
          <w:rStyle w:val="FootnoteReference"/>
        </w:rPr>
        <w:footnoteReference w:id="20"/>
      </w:r>
      <w:r w:rsidR="00C408F7">
        <w:t xml:space="preserve"> </w:t>
      </w:r>
      <w:r w:rsidR="005C2163">
        <w:fldChar w:fldCharType="begin"/>
      </w:r>
      <w:r w:rsidR="00C408F7">
        <w:instrText xml:space="preserve"> REF _Ref388864615 \h </w:instrText>
      </w:r>
      <w:r w:rsidR="005C2163">
        <w:fldChar w:fldCharType="separate"/>
      </w:r>
      <w:r w:rsidR="00CD20CF">
        <w:t xml:space="preserve">Table </w:t>
      </w:r>
      <w:r w:rsidR="00CD20CF">
        <w:rPr>
          <w:noProof/>
        </w:rPr>
        <w:t>24</w:t>
      </w:r>
      <w:r w:rsidR="005C2163">
        <w:fldChar w:fldCharType="end"/>
      </w:r>
      <w:r w:rsidR="00C408F7">
        <w:t xml:space="preserve"> lists the participation, average installed units, average household savings, and realization rates of window measure installations.</w:t>
      </w:r>
    </w:p>
    <w:p w:rsidR="00C408F7" w:rsidRDefault="00C408F7" w:rsidP="00C408F7">
      <w:pPr>
        <w:pStyle w:val="Caption"/>
      </w:pPr>
      <w:bookmarkStart w:id="65" w:name="_Ref388864615"/>
      <w:r>
        <w:t xml:space="preserve">Table </w:t>
      </w:r>
      <w:r w:rsidR="002506E1">
        <w:fldChar w:fldCharType="begin"/>
      </w:r>
      <w:r w:rsidR="002506E1">
        <w:instrText xml:space="preserve"> SEQ Table \* ARABIC </w:instrText>
      </w:r>
      <w:r w:rsidR="002506E1">
        <w:fldChar w:fldCharType="separate"/>
      </w:r>
      <w:r w:rsidR="00CD20CF">
        <w:rPr>
          <w:noProof/>
        </w:rPr>
        <w:t>24</w:t>
      </w:r>
      <w:r w:rsidR="002506E1">
        <w:rPr>
          <w:noProof/>
        </w:rPr>
        <w:fldChar w:fldCharType="end"/>
      </w:r>
      <w:bookmarkEnd w:id="65"/>
      <w:r>
        <w:t>. HES Electric—Evaluated Window Savings</w:t>
      </w:r>
    </w:p>
    <w:tbl>
      <w:tblPr>
        <w:tblW w:w="5000" w:type="pct"/>
        <w:tblLook w:val="04A0" w:firstRow="1" w:lastRow="0" w:firstColumn="1" w:lastColumn="0" w:noHBand="0" w:noVBand="1"/>
      </w:tblPr>
      <w:tblGrid>
        <w:gridCol w:w="1185"/>
        <w:gridCol w:w="1399"/>
        <w:gridCol w:w="1399"/>
        <w:gridCol w:w="1399"/>
        <w:gridCol w:w="1398"/>
        <w:gridCol w:w="1398"/>
        <w:gridCol w:w="1398"/>
      </w:tblGrid>
      <w:tr w:rsidR="00C408F7" w:rsidRPr="00C408F7" w:rsidTr="00C408F7">
        <w:trPr>
          <w:trHeight w:val="915"/>
        </w:trPr>
        <w:tc>
          <w:tcPr>
            <w:tcW w:w="618" w:type="pct"/>
            <w:tcBorders>
              <w:top w:val="single" w:sz="8" w:space="0" w:color="BFBFBF"/>
              <w:left w:val="single" w:sz="8" w:space="0" w:color="BFBFBF"/>
              <w:bottom w:val="single" w:sz="8" w:space="0" w:color="BFBFBF"/>
              <w:right w:val="single" w:sz="8" w:space="0" w:color="BFBFBF"/>
            </w:tcBorders>
            <w:shd w:val="clear" w:color="000000" w:fill="005DAA"/>
            <w:vAlign w:val="center"/>
            <w:hideMark/>
          </w:tcPr>
          <w:p w:rsidR="00C408F7" w:rsidRPr="00C408F7" w:rsidRDefault="00C408F7" w:rsidP="00C408F7">
            <w:pPr>
              <w:spacing w:after="0" w:line="240" w:lineRule="auto"/>
              <w:jc w:val="center"/>
              <w:rPr>
                <w:rFonts w:ascii="Calibri" w:eastAsia="Times New Roman" w:hAnsi="Calibri" w:cs="Times New Roman"/>
                <w:b/>
                <w:bCs/>
                <w:color w:val="FFFFFF"/>
              </w:rPr>
            </w:pPr>
            <w:r w:rsidRPr="00C408F7">
              <w:rPr>
                <w:rFonts w:ascii="Calibri" w:eastAsia="Times New Roman" w:hAnsi="Calibri" w:cs="Times New Roman"/>
                <w:b/>
                <w:bCs/>
                <w:color w:val="FFFFFF"/>
              </w:rPr>
              <w:t>Measure</w:t>
            </w:r>
          </w:p>
        </w:tc>
        <w:tc>
          <w:tcPr>
            <w:tcW w:w="730" w:type="pct"/>
            <w:tcBorders>
              <w:top w:val="single" w:sz="8" w:space="0" w:color="BFBFBF"/>
              <w:left w:val="nil"/>
              <w:bottom w:val="single" w:sz="8" w:space="0" w:color="BFBFBF"/>
              <w:right w:val="single" w:sz="8" w:space="0" w:color="BFBFBF"/>
            </w:tcBorders>
            <w:shd w:val="clear" w:color="000000" w:fill="005DAA"/>
            <w:vAlign w:val="center"/>
            <w:hideMark/>
          </w:tcPr>
          <w:p w:rsidR="00C408F7" w:rsidRPr="00C408F7" w:rsidRDefault="00C408F7" w:rsidP="00C408F7">
            <w:pPr>
              <w:spacing w:after="0" w:line="240" w:lineRule="auto"/>
              <w:jc w:val="center"/>
              <w:rPr>
                <w:rFonts w:ascii="Calibri" w:eastAsia="Times New Roman" w:hAnsi="Calibri" w:cs="Times New Roman"/>
                <w:b/>
                <w:bCs/>
                <w:color w:val="FFFFFF"/>
              </w:rPr>
            </w:pPr>
            <w:r w:rsidRPr="00C408F7">
              <w:rPr>
                <w:rFonts w:ascii="Calibri" w:eastAsia="Times New Roman" w:hAnsi="Calibri" w:cs="Times New Roman"/>
                <w:b/>
                <w:bCs/>
                <w:color w:val="FFFFFF"/>
              </w:rPr>
              <w:t>Total Participants</w:t>
            </w:r>
          </w:p>
        </w:tc>
        <w:tc>
          <w:tcPr>
            <w:tcW w:w="730" w:type="pct"/>
            <w:tcBorders>
              <w:top w:val="single" w:sz="8" w:space="0" w:color="BFBFBF"/>
              <w:left w:val="nil"/>
              <w:bottom w:val="single" w:sz="8" w:space="0" w:color="BFBFBF"/>
              <w:right w:val="single" w:sz="8" w:space="0" w:color="BFBFBF"/>
            </w:tcBorders>
            <w:shd w:val="clear" w:color="000000" w:fill="005DAA"/>
            <w:vAlign w:val="center"/>
            <w:hideMark/>
          </w:tcPr>
          <w:p w:rsidR="00C408F7" w:rsidRPr="00C408F7" w:rsidRDefault="00C408F7" w:rsidP="00C408F7">
            <w:pPr>
              <w:spacing w:after="0" w:line="240" w:lineRule="auto"/>
              <w:jc w:val="center"/>
              <w:rPr>
                <w:rFonts w:ascii="Calibri" w:eastAsia="Times New Roman" w:hAnsi="Calibri" w:cs="Times New Roman"/>
                <w:b/>
                <w:bCs/>
                <w:color w:val="FFFFFF"/>
              </w:rPr>
            </w:pPr>
            <w:r w:rsidRPr="00C408F7">
              <w:rPr>
                <w:rFonts w:ascii="Calibri" w:eastAsia="Times New Roman" w:hAnsi="Calibri" w:cs="Times New Roman"/>
                <w:b/>
                <w:bCs/>
                <w:color w:val="FFFFFF"/>
              </w:rPr>
              <w:t>Average Installed Units</w:t>
            </w:r>
          </w:p>
        </w:tc>
        <w:tc>
          <w:tcPr>
            <w:tcW w:w="730" w:type="pct"/>
            <w:tcBorders>
              <w:top w:val="single" w:sz="8" w:space="0" w:color="BFBFBF"/>
              <w:left w:val="nil"/>
              <w:bottom w:val="single" w:sz="8" w:space="0" w:color="BFBFBF"/>
              <w:right w:val="single" w:sz="8" w:space="0" w:color="BFBFBF"/>
            </w:tcBorders>
            <w:shd w:val="clear" w:color="000000" w:fill="005DAA"/>
            <w:vAlign w:val="center"/>
            <w:hideMark/>
          </w:tcPr>
          <w:p w:rsidR="00C408F7" w:rsidRPr="00C408F7" w:rsidRDefault="003009EA" w:rsidP="00C408F7">
            <w:pPr>
              <w:spacing w:after="0" w:line="240" w:lineRule="auto"/>
              <w:jc w:val="center"/>
              <w:rPr>
                <w:rFonts w:ascii="Calibri" w:eastAsia="Times New Roman" w:hAnsi="Calibri" w:cs="Times New Roman"/>
                <w:b/>
                <w:bCs/>
                <w:color w:val="FFFFFF"/>
              </w:rPr>
            </w:pPr>
            <w:r>
              <w:rPr>
                <w:rFonts w:ascii="Calibri" w:eastAsia="Times New Roman" w:hAnsi="Calibri" w:cs="Times New Roman"/>
                <w:b/>
                <w:bCs/>
                <w:color w:val="FFFFFF"/>
              </w:rPr>
              <w:t>Evaluated Gross</w:t>
            </w:r>
            <w:r w:rsidR="00C408F7" w:rsidRPr="00C408F7">
              <w:rPr>
                <w:rFonts w:ascii="Calibri" w:eastAsia="Times New Roman" w:hAnsi="Calibri" w:cs="Times New Roman"/>
                <w:b/>
                <w:bCs/>
                <w:color w:val="FFFFFF"/>
              </w:rPr>
              <w:t xml:space="preserve"> Unit Savings (kWh)</w:t>
            </w:r>
          </w:p>
        </w:tc>
        <w:tc>
          <w:tcPr>
            <w:tcW w:w="730" w:type="pct"/>
            <w:tcBorders>
              <w:top w:val="single" w:sz="8" w:space="0" w:color="BFBFBF"/>
              <w:left w:val="nil"/>
              <w:bottom w:val="single" w:sz="8" w:space="0" w:color="BFBFBF"/>
              <w:right w:val="single" w:sz="8" w:space="0" w:color="BFBFBF"/>
            </w:tcBorders>
            <w:shd w:val="clear" w:color="000000" w:fill="005DAA"/>
            <w:vAlign w:val="center"/>
            <w:hideMark/>
          </w:tcPr>
          <w:p w:rsidR="00C408F7" w:rsidRPr="00C408F7" w:rsidRDefault="00C408F7" w:rsidP="00C408F7">
            <w:pPr>
              <w:spacing w:after="0" w:line="240" w:lineRule="auto"/>
              <w:jc w:val="center"/>
              <w:rPr>
                <w:rFonts w:ascii="Calibri" w:eastAsia="Times New Roman" w:hAnsi="Calibri" w:cs="Times New Roman"/>
                <w:b/>
                <w:bCs/>
                <w:color w:val="FFFFFF"/>
              </w:rPr>
            </w:pPr>
            <w:r w:rsidRPr="00C408F7">
              <w:rPr>
                <w:rFonts w:ascii="Calibri" w:eastAsia="Times New Roman" w:hAnsi="Calibri" w:cs="Times New Roman"/>
                <w:b/>
                <w:bCs/>
                <w:color w:val="FFFFFF"/>
              </w:rPr>
              <w:t>Ex-Ante Household Savings (kWh)</w:t>
            </w:r>
          </w:p>
        </w:tc>
        <w:tc>
          <w:tcPr>
            <w:tcW w:w="730" w:type="pct"/>
            <w:tcBorders>
              <w:top w:val="single" w:sz="8" w:space="0" w:color="BFBFBF"/>
              <w:left w:val="nil"/>
              <w:bottom w:val="single" w:sz="8" w:space="0" w:color="BFBFBF"/>
              <w:right w:val="single" w:sz="8" w:space="0" w:color="BFBFBF"/>
            </w:tcBorders>
            <w:shd w:val="clear" w:color="000000" w:fill="005DAA"/>
            <w:vAlign w:val="center"/>
            <w:hideMark/>
          </w:tcPr>
          <w:p w:rsidR="00C408F7" w:rsidRPr="00C408F7" w:rsidRDefault="00C408F7" w:rsidP="00C408F7">
            <w:pPr>
              <w:spacing w:after="0" w:line="240" w:lineRule="auto"/>
              <w:jc w:val="center"/>
              <w:rPr>
                <w:rFonts w:ascii="Calibri" w:eastAsia="Times New Roman" w:hAnsi="Calibri" w:cs="Times New Roman"/>
                <w:b/>
                <w:bCs/>
                <w:color w:val="FFFFFF"/>
              </w:rPr>
            </w:pPr>
            <w:r w:rsidRPr="00C408F7">
              <w:rPr>
                <w:rFonts w:ascii="Calibri" w:eastAsia="Times New Roman" w:hAnsi="Calibri" w:cs="Times New Roman"/>
                <w:b/>
                <w:bCs/>
                <w:color w:val="FFFFFF"/>
              </w:rPr>
              <w:t>Evaluated Gross Household Savings (kWh)</w:t>
            </w:r>
          </w:p>
        </w:tc>
        <w:tc>
          <w:tcPr>
            <w:tcW w:w="730" w:type="pct"/>
            <w:tcBorders>
              <w:top w:val="single" w:sz="8" w:space="0" w:color="BFBFBF"/>
              <w:left w:val="nil"/>
              <w:bottom w:val="single" w:sz="8" w:space="0" w:color="BFBFBF"/>
              <w:right w:val="single" w:sz="8" w:space="0" w:color="BFBFBF"/>
            </w:tcBorders>
            <w:shd w:val="clear" w:color="000000" w:fill="005DAA"/>
            <w:vAlign w:val="center"/>
            <w:hideMark/>
          </w:tcPr>
          <w:p w:rsidR="00C408F7" w:rsidRPr="00C408F7" w:rsidRDefault="00C408F7" w:rsidP="00C408F7">
            <w:pPr>
              <w:spacing w:after="0" w:line="240" w:lineRule="auto"/>
              <w:jc w:val="center"/>
              <w:rPr>
                <w:rFonts w:ascii="Calibri" w:eastAsia="Times New Roman" w:hAnsi="Calibri" w:cs="Times New Roman"/>
                <w:b/>
                <w:bCs/>
                <w:color w:val="FFFFFF"/>
              </w:rPr>
            </w:pPr>
            <w:r w:rsidRPr="00C408F7">
              <w:rPr>
                <w:rFonts w:ascii="Calibri" w:eastAsia="Times New Roman" w:hAnsi="Calibri" w:cs="Times New Roman"/>
                <w:b/>
                <w:bCs/>
                <w:color w:val="FFFFFF"/>
              </w:rPr>
              <w:t>Realization Rate</w:t>
            </w:r>
          </w:p>
        </w:tc>
      </w:tr>
      <w:tr w:rsidR="00C408F7" w:rsidRPr="00C408F7" w:rsidTr="00C408F7">
        <w:trPr>
          <w:trHeight w:val="315"/>
        </w:trPr>
        <w:tc>
          <w:tcPr>
            <w:tcW w:w="618" w:type="pct"/>
            <w:tcBorders>
              <w:top w:val="nil"/>
              <w:left w:val="single" w:sz="8" w:space="0" w:color="BFBFBF"/>
              <w:bottom w:val="single" w:sz="8" w:space="0" w:color="BFBFBF"/>
              <w:right w:val="single" w:sz="8" w:space="0" w:color="BFBFBF"/>
            </w:tcBorders>
            <w:shd w:val="clear" w:color="auto" w:fill="auto"/>
            <w:vAlign w:val="center"/>
            <w:hideMark/>
          </w:tcPr>
          <w:p w:rsidR="00C408F7" w:rsidRPr="00C408F7" w:rsidRDefault="00C408F7" w:rsidP="00C408F7">
            <w:pPr>
              <w:spacing w:after="0" w:line="240" w:lineRule="auto"/>
              <w:rPr>
                <w:rFonts w:ascii="Calibri" w:eastAsia="Times New Roman" w:hAnsi="Calibri" w:cs="Times New Roman"/>
                <w:color w:val="000000"/>
                <w:sz w:val="20"/>
                <w:szCs w:val="20"/>
              </w:rPr>
            </w:pPr>
            <w:r w:rsidRPr="00C408F7">
              <w:rPr>
                <w:rFonts w:ascii="Calibri" w:eastAsia="Times New Roman" w:hAnsi="Calibri" w:cs="Times New Roman"/>
                <w:color w:val="000000"/>
                <w:sz w:val="20"/>
                <w:szCs w:val="20"/>
              </w:rPr>
              <w:t>Windows</w:t>
            </w:r>
          </w:p>
        </w:tc>
        <w:tc>
          <w:tcPr>
            <w:tcW w:w="730" w:type="pct"/>
            <w:tcBorders>
              <w:top w:val="nil"/>
              <w:left w:val="nil"/>
              <w:bottom w:val="single" w:sz="8" w:space="0" w:color="BFBFBF"/>
              <w:right w:val="single" w:sz="8" w:space="0" w:color="BFBFBF"/>
            </w:tcBorders>
            <w:shd w:val="clear" w:color="auto" w:fill="auto"/>
            <w:vAlign w:val="center"/>
            <w:hideMark/>
          </w:tcPr>
          <w:p w:rsidR="00C408F7" w:rsidRPr="00C408F7" w:rsidRDefault="00C408F7" w:rsidP="00C408F7">
            <w:pPr>
              <w:spacing w:after="0" w:line="240" w:lineRule="auto"/>
              <w:jc w:val="right"/>
              <w:rPr>
                <w:rFonts w:ascii="Calibri" w:eastAsia="Times New Roman" w:hAnsi="Calibri" w:cs="Times New Roman"/>
                <w:color w:val="000000"/>
                <w:sz w:val="20"/>
                <w:szCs w:val="20"/>
              </w:rPr>
            </w:pPr>
            <w:r w:rsidRPr="00C408F7">
              <w:rPr>
                <w:rFonts w:ascii="Calibri" w:eastAsia="Times New Roman" w:hAnsi="Calibri" w:cs="Times New Roman"/>
                <w:color w:val="000000"/>
                <w:sz w:val="20"/>
                <w:szCs w:val="20"/>
              </w:rPr>
              <w:t>14</w:t>
            </w:r>
          </w:p>
        </w:tc>
        <w:tc>
          <w:tcPr>
            <w:tcW w:w="730" w:type="pct"/>
            <w:tcBorders>
              <w:top w:val="nil"/>
              <w:left w:val="nil"/>
              <w:bottom w:val="single" w:sz="8" w:space="0" w:color="BFBFBF"/>
              <w:right w:val="single" w:sz="8" w:space="0" w:color="BFBFBF"/>
            </w:tcBorders>
            <w:shd w:val="clear" w:color="auto" w:fill="auto"/>
            <w:vAlign w:val="center"/>
            <w:hideMark/>
          </w:tcPr>
          <w:p w:rsidR="00C408F7" w:rsidRPr="00C408F7" w:rsidRDefault="00C408F7" w:rsidP="003009EA">
            <w:pPr>
              <w:spacing w:after="0" w:line="240" w:lineRule="auto"/>
              <w:jc w:val="right"/>
              <w:rPr>
                <w:rFonts w:ascii="Calibri" w:eastAsia="Times New Roman" w:hAnsi="Calibri" w:cs="Times New Roman"/>
                <w:color w:val="000000"/>
                <w:sz w:val="20"/>
                <w:szCs w:val="20"/>
              </w:rPr>
            </w:pPr>
            <w:r w:rsidRPr="00C408F7">
              <w:rPr>
                <w:rFonts w:ascii="Calibri" w:eastAsia="Times New Roman" w:hAnsi="Calibri" w:cs="Times New Roman"/>
                <w:color w:val="000000"/>
                <w:sz w:val="20"/>
                <w:szCs w:val="20"/>
              </w:rPr>
              <w:t>1</w:t>
            </w:r>
            <w:r w:rsidR="003009EA">
              <w:rPr>
                <w:rFonts w:ascii="Calibri" w:eastAsia="Times New Roman" w:hAnsi="Calibri" w:cs="Times New Roman"/>
                <w:color w:val="000000"/>
                <w:sz w:val="20"/>
                <w:szCs w:val="20"/>
              </w:rPr>
              <w:t>3.71</w:t>
            </w:r>
          </w:p>
        </w:tc>
        <w:tc>
          <w:tcPr>
            <w:tcW w:w="730" w:type="pct"/>
            <w:tcBorders>
              <w:top w:val="nil"/>
              <w:left w:val="nil"/>
              <w:bottom w:val="single" w:sz="8" w:space="0" w:color="BFBFBF"/>
              <w:right w:val="single" w:sz="8" w:space="0" w:color="BFBFBF"/>
            </w:tcBorders>
            <w:shd w:val="clear" w:color="auto" w:fill="auto"/>
            <w:vAlign w:val="center"/>
            <w:hideMark/>
          </w:tcPr>
          <w:p w:rsidR="00C408F7" w:rsidRPr="00C408F7" w:rsidRDefault="00C408F7" w:rsidP="00C408F7">
            <w:pPr>
              <w:spacing w:after="0" w:line="240" w:lineRule="auto"/>
              <w:jc w:val="right"/>
              <w:rPr>
                <w:rFonts w:ascii="Calibri" w:eastAsia="Times New Roman" w:hAnsi="Calibri" w:cs="Times New Roman"/>
                <w:color w:val="000000"/>
                <w:sz w:val="20"/>
                <w:szCs w:val="20"/>
              </w:rPr>
            </w:pPr>
            <w:r w:rsidRPr="00C408F7">
              <w:rPr>
                <w:rFonts w:ascii="Calibri" w:eastAsia="Times New Roman" w:hAnsi="Calibri" w:cs="Times New Roman"/>
                <w:color w:val="000000"/>
                <w:sz w:val="20"/>
                <w:szCs w:val="20"/>
              </w:rPr>
              <w:t>233</w:t>
            </w:r>
          </w:p>
        </w:tc>
        <w:tc>
          <w:tcPr>
            <w:tcW w:w="730" w:type="pct"/>
            <w:tcBorders>
              <w:top w:val="nil"/>
              <w:left w:val="nil"/>
              <w:bottom w:val="single" w:sz="8" w:space="0" w:color="BFBFBF"/>
              <w:right w:val="single" w:sz="8" w:space="0" w:color="BFBFBF"/>
            </w:tcBorders>
            <w:shd w:val="clear" w:color="auto" w:fill="auto"/>
            <w:vAlign w:val="center"/>
            <w:hideMark/>
          </w:tcPr>
          <w:p w:rsidR="00C408F7" w:rsidRPr="00C408F7" w:rsidRDefault="00C408F7" w:rsidP="00C408F7">
            <w:pPr>
              <w:spacing w:after="0" w:line="240" w:lineRule="auto"/>
              <w:jc w:val="right"/>
              <w:rPr>
                <w:rFonts w:ascii="Calibri" w:eastAsia="Times New Roman" w:hAnsi="Calibri" w:cs="Times New Roman"/>
                <w:color w:val="000000"/>
                <w:sz w:val="20"/>
                <w:szCs w:val="20"/>
              </w:rPr>
            </w:pPr>
            <w:r w:rsidRPr="00C408F7">
              <w:rPr>
                <w:rFonts w:ascii="Calibri" w:eastAsia="Times New Roman" w:hAnsi="Calibri" w:cs="Times New Roman"/>
                <w:color w:val="000000"/>
                <w:sz w:val="20"/>
                <w:szCs w:val="20"/>
              </w:rPr>
              <w:t>3,190</w:t>
            </w:r>
          </w:p>
        </w:tc>
        <w:tc>
          <w:tcPr>
            <w:tcW w:w="730" w:type="pct"/>
            <w:tcBorders>
              <w:top w:val="nil"/>
              <w:left w:val="nil"/>
              <w:bottom w:val="single" w:sz="8" w:space="0" w:color="BFBFBF"/>
              <w:right w:val="single" w:sz="8" w:space="0" w:color="BFBFBF"/>
            </w:tcBorders>
            <w:shd w:val="clear" w:color="auto" w:fill="auto"/>
            <w:vAlign w:val="center"/>
            <w:hideMark/>
          </w:tcPr>
          <w:p w:rsidR="00C408F7" w:rsidRPr="00C408F7" w:rsidRDefault="00C408F7" w:rsidP="00C408F7">
            <w:pPr>
              <w:spacing w:after="0" w:line="240" w:lineRule="auto"/>
              <w:jc w:val="right"/>
              <w:rPr>
                <w:rFonts w:ascii="Calibri" w:eastAsia="Times New Roman" w:hAnsi="Calibri" w:cs="Times New Roman"/>
                <w:color w:val="000000"/>
                <w:sz w:val="20"/>
                <w:szCs w:val="20"/>
              </w:rPr>
            </w:pPr>
            <w:r w:rsidRPr="00C408F7">
              <w:rPr>
                <w:rFonts w:ascii="Calibri" w:eastAsia="Times New Roman" w:hAnsi="Calibri" w:cs="Times New Roman"/>
                <w:color w:val="000000"/>
                <w:sz w:val="20"/>
                <w:szCs w:val="20"/>
              </w:rPr>
              <w:t>3,196</w:t>
            </w:r>
          </w:p>
        </w:tc>
        <w:tc>
          <w:tcPr>
            <w:tcW w:w="730" w:type="pct"/>
            <w:tcBorders>
              <w:top w:val="nil"/>
              <w:left w:val="nil"/>
              <w:bottom w:val="single" w:sz="8" w:space="0" w:color="BFBFBF"/>
              <w:right w:val="single" w:sz="8" w:space="0" w:color="BFBFBF"/>
            </w:tcBorders>
            <w:shd w:val="clear" w:color="auto" w:fill="auto"/>
            <w:vAlign w:val="center"/>
            <w:hideMark/>
          </w:tcPr>
          <w:p w:rsidR="00C408F7" w:rsidRPr="00C408F7" w:rsidRDefault="00C408F7" w:rsidP="00C408F7">
            <w:pPr>
              <w:spacing w:after="0" w:line="240" w:lineRule="auto"/>
              <w:jc w:val="right"/>
              <w:rPr>
                <w:rFonts w:ascii="Calibri" w:eastAsia="Times New Roman" w:hAnsi="Calibri" w:cs="Times New Roman"/>
                <w:color w:val="000000"/>
                <w:sz w:val="20"/>
                <w:szCs w:val="20"/>
              </w:rPr>
            </w:pPr>
            <w:r w:rsidRPr="00C408F7">
              <w:rPr>
                <w:rFonts w:ascii="Calibri" w:eastAsia="Times New Roman" w:hAnsi="Calibri" w:cs="Times New Roman"/>
                <w:color w:val="000000"/>
                <w:sz w:val="20"/>
                <w:szCs w:val="20"/>
              </w:rPr>
              <w:t>100%</w:t>
            </w:r>
          </w:p>
        </w:tc>
      </w:tr>
    </w:tbl>
    <w:p w:rsidR="00724458" w:rsidRPr="0070346A" w:rsidRDefault="00724458" w:rsidP="00B920E7">
      <w:pPr>
        <w:pStyle w:val="NormalAfterTablesandFigures"/>
        <w:rPr>
          <w:lang w:eastAsia="ar-SA"/>
        </w:rPr>
      </w:pPr>
    </w:p>
    <w:p w:rsidR="0096060F" w:rsidRDefault="00D3164D" w:rsidP="00696DD4">
      <w:pPr>
        <w:pStyle w:val="Heading4"/>
      </w:pPr>
      <w:r>
        <w:t>Domestic Hot Water</w:t>
      </w:r>
    </w:p>
    <w:p w:rsidR="00493D1A" w:rsidRDefault="00493D1A" w:rsidP="00696DD4">
      <w:r>
        <w:t xml:space="preserve">The Evaluation Team </w:t>
      </w:r>
      <w:r w:rsidR="00FC25A1">
        <w:t xml:space="preserve">used the billing analysis to </w:t>
      </w:r>
      <w:r>
        <w:t>estimate impacts for a combined DHW measure bundle (including showerheads, faucet aerators, and pipe insulation).</w:t>
      </w:r>
      <w:r w:rsidR="000E6110">
        <w:t xml:space="preserve"> </w:t>
      </w:r>
      <w:r w:rsidR="002506E1">
        <w:fldChar w:fldCharType="begin"/>
      </w:r>
      <w:r w:rsidR="002506E1">
        <w:instrText xml:space="preserve"> REF _Ref388173763 \h  \* MERGEFORMAT </w:instrText>
      </w:r>
      <w:r w:rsidR="002506E1">
        <w:fldChar w:fldCharType="separate"/>
      </w:r>
      <w:r w:rsidR="00CD20CF">
        <w:t xml:space="preserve">Table </w:t>
      </w:r>
      <w:r w:rsidR="00CD20CF">
        <w:rPr>
          <w:noProof/>
        </w:rPr>
        <w:t>25</w:t>
      </w:r>
      <w:r w:rsidR="002506E1">
        <w:fldChar w:fldCharType="end"/>
      </w:r>
      <w:r w:rsidR="000E6110">
        <w:t xml:space="preserve"> presents the billing analysis model res</w:t>
      </w:r>
      <w:r w:rsidR="004E7EA6">
        <w:t xml:space="preserve">ults for the DHW measure bundle, which achieved a precision </w:t>
      </w:r>
      <w:r w:rsidR="003E3609">
        <w:t xml:space="preserve">estimate </w:t>
      </w:r>
      <w:r w:rsidR="00DA2ED6">
        <w:t xml:space="preserve">below </w:t>
      </w:r>
      <w:r w:rsidR="003E3609">
        <w:t>the study threshold</w:t>
      </w:r>
      <w:r w:rsidR="004E7EA6">
        <w:t xml:space="preserve">. </w:t>
      </w:r>
    </w:p>
    <w:p w:rsidR="00493D1A" w:rsidRDefault="000E6110" w:rsidP="00FC25A1">
      <w:pPr>
        <w:pStyle w:val="Caption"/>
        <w:keepLines w:val="0"/>
      </w:pPr>
      <w:bookmarkStart w:id="66" w:name="_Ref388173763"/>
      <w:r>
        <w:t xml:space="preserve">Table </w:t>
      </w:r>
      <w:r w:rsidR="002506E1">
        <w:fldChar w:fldCharType="begin"/>
      </w:r>
      <w:r w:rsidR="002506E1">
        <w:instrText xml:space="preserve"> SEQ Table \* ARABIC </w:instrText>
      </w:r>
      <w:r w:rsidR="002506E1">
        <w:fldChar w:fldCharType="separate"/>
      </w:r>
      <w:r w:rsidR="00CD20CF">
        <w:rPr>
          <w:noProof/>
        </w:rPr>
        <w:t>25</w:t>
      </w:r>
      <w:r w:rsidR="002506E1">
        <w:rPr>
          <w:noProof/>
        </w:rPr>
        <w:fldChar w:fldCharType="end"/>
      </w:r>
      <w:bookmarkEnd w:id="66"/>
      <w:r>
        <w:t xml:space="preserve">. </w:t>
      </w:r>
      <w:r w:rsidR="00896031">
        <w:t xml:space="preserve">HES </w:t>
      </w:r>
      <w:r>
        <w:t xml:space="preserve">Billing Analysis </w:t>
      </w:r>
      <w:r w:rsidR="003E3DA0">
        <w:t xml:space="preserve">Electric </w:t>
      </w:r>
      <w:r>
        <w:t>Savings Results for Electric DHW Measures</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58"/>
        <w:gridCol w:w="672"/>
        <w:gridCol w:w="1128"/>
        <w:gridCol w:w="1800"/>
        <w:gridCol w:w="2430"/>
        <w:gridCol w:w="2088"/>
      </w:tblGrid>
      <w:tr w:rsidR="00AF41A6" w:rsidRPr="00AF41A6" w:rsidTr="00FC25A1">
        <w:tc>
          <w:tcPr>
            <w:tcW w:w="761" w:type="pct"/>
            <w:shd w:val="clear" w:color="000000" w:fill="005DAA"/>
            <w:vAlign w:val="center"/>
            <w:hideMark/>
          </w:tcPr>
          <w:p w:rsidR="00AF41A6" w:rsidRPr="00AF41A6" w:rsidRDefault="00AF41A6" w:rsidP="00696DD4">
            <w:pPr>
              <w:spacing w:after="0"/>
              <w:jc w:val="center"/>
              <w:rPr>
                <w:rFonts w:ascii="Calibri" w:eastAsia="Times New Roman" w:hAnsi="Calibri" w:cs="Times New Roman"/>
                <w:b/>
                <w:bCs/>
                <w:color w:val="FFFFFF"/>
              </w:rPr>
            </w:pPr>
            <w:r w:rsidRPr="00AF41A6">
              <w:rPr>
                <w:rFonts w:ascii="Calibri" w:eastAsia="Times New Roman" w:hAnsi="Calibri" w:cs="Times New Roman"/>
                <w:b/>
                <w:bCs/>
                <w:color w:val="FFFFFF"/>
              </w:rPr>
              <w:t>Measure</w:t>
            </w:r>
          </w:p>
        </w:tc>
        <w:tc>
          <w:tcPr>
            <w:tcW w:w="351" w:type="pct"/>
            <w:shd w:val="clear" w:color="000000" w:fill="005DAA"/>
            <w:vAlign w:val="center"/>
            <w:hideMark/>
          </w:tcPr>
          <w:p w:rsidR="00AF41A6" w:rsidRPr="00AF41A6" w:rsidRDefault="00AF41A6" w:rsidP="00696DD4">
            <w:pPr>
              <w:spacing w:after="0"/>
              <w:jc w:val="center"/>
              <w:rPr>
                <w:rFonts w:ascii="Calibri" w:eastAsia="Times New Roman" w:hAnsi="Calibri" w:cs="Times New Roman"/>
                <w:b/>
                <w:bCs/>
                <w:color w:val="FFFFFF"/>
              </w:rPr>
            </w:pPr>
            <w:r w:rsidRPr="00AF41A6">
              <w:rPr>
                <w:rFonts w:ascii="Calibri" w:eastAsia="Times New Roman" w:hAnsi="Calibri" w:cs="Times New Roman"/>
                <w:b/>
                <w:bCs/>
                <w:color w:val="FFFFFF"/>
              </w:rPr>
              <w:t>n</w:t>
            </w:r>
          </w:p>
        </w:tc>
        <w:tc>
          <w:tcPr>
            <w:tcW w:w="589" w:type="pct"/>
            <w:shd w:val="clear" w:color="000000" w:fill="005DAA"/>
            <w:vAlign w:val="center"/>
            <w:hideMark/>
          </w:tcPr>
          <w:p w:rsidR="00AF41A6" w:rsidRPr="00AF41A6" w:rsidRDefault="00AF41A6" w:rsidP="00696DD4">
            <w:pPr>
              <w:spacing w:after="0"/>
              <w:jc w:val="center"/>
              <w:rPr>
                <w:rFonts w:ascii="Calibri" w:eastAsia="Times New Roman" w:hAnsi="Calibri" w:cs="Times New Roman"/>
                <w:b/>
                <w:bCs/>
                <w:color w:val="FFFFFF"/>
              </w:rPr>
            </w:pPr>
            <w:r w:rsidRPr="00AF41A6">
              <w:rPr>
                <w:rFonts w:ascii="Calibri" w:eastAsia="Times New Roman" w:hAnsi="Calibri" w:cs="Times New Roman"/>
                <w:b/>
                <w:bCs/>
                <w:color w:val="FFFFFF"/>
              </w:rPr>
              <w:t>PRENAC</w:t>
            </w:r>
          </w:p>
        </w:tc>
        <w:tc>
          <w:tcPr>
            <w:tcW w:w="940" w:type="pct"/>
            <w:shd w:val="clear" w:color="000000" w:fill="005DAA"/>
            <w:vAlign w:val="center"/>
            <w:hideMark/>
          </w:tcPr>
          <w:p w:rsidR="00AF41A6" w:rsidRPr="00AF41A6" w:rsidRDefault="00AF41A6" w:rsidP="00696DD4">
            <w:pPr>
              <w:spacing w:after="0"/>
              <w:jc w:val="center"/>
              <w:rPr>
                <w:rFonts w:ascii="Calibri" w:eastAsia="Times New Roman" w:hAnsi="Calibri" w:cs="Times New Roman"/>
                <w:b/>
                <w:bCs/>
                <w:color w:val="FFFFFF"/>
              </w:rPr>
            </w:pPr>
            <w:r w:rsidRPr="00AF41A6">
              <w:rPr>
                <w:rFonts w:ascii="Calibri" w:eastAsia="Times New Roman" w:hAnsi="Calibri" w:cs="Times New Roman"/>
                <w:b/>
                <w:bCs/>
                <w:color w:val="FFFFFF"/>
              </w:rPr>
              <w:t>Model Savings (kWh)</w:t>
            </w:r>
          </w:p>
        </w:tc>
        <w:tc>
          <w:tcPr>
            <w:tcW w:w="1269" w:type="pct"/>
            <w:shd w:val="clear" w:color="000000" w:fill="005DAA"/>
            <w:vAlign w:val="center"/>
            <w:hideMark/>
          </w:tcPr>
          <w:p w:rsidR="00AF41A6" w:rsidRPr="00AF41A6" w:rsidRDefault="00AF41A6" w:rsidP="00696DD4">
            <w:pPr>
              <w:spacing w:after="0"/>
              <w:jc w:val="center"/>
              <w:rPr>
                <w:rFonts w:ascii="Calibri" w:eastAsia="Times New Roman" w:hAnsi="Calibri" w:cs="Times New Roman"/>
                <w:b/>
                <w:bCs/>
                <w:color w:val="FFFFFF"/>
              </w:rPr>
            </w:pPr>
            <w:r w:rsidRPr="00AF41A6">
              <w:rPr>
                <w:rFonts w:ascii="Calibri" w:eastAsia="Times New Roman" w:hAnsi="Calibri" w:cs="Times New Roman"/>
                <w:b/>
                <w:bCs/>
                <w:color w:val="FFFFFF"/>
              </w:rPr>
              <w:t>Savings as Percent of Pre-Usage</w:t>
            </w:r>
          </w:p>
        </w:tc>
        <w:tc>
          <w:tcPr>
            <w:tcW w:w="1090" w:type="pct"/>
            <w:shd w:val="clear" w:color="000000" w:fill="005DAA"/>
            <w:vAlign w:val="center"/>
            <w:hideMark/>
          </w:tcPr>
          <w:p w:rsidR="00AF41A6" w:rsidRPr="00AF41A6" w:rsidRDefault="00AF41A6" w:rsidP="00696DD4">
            <w:pPr>
              <w:spacing w:after="0"/>
              <w:jc w:val="center"/>
              <w:rPr>
                <w:rFonts w:ascii="Calibri" w:eastAsia="Times New Roman" w:hAnsi="Calibri" w:cs="Times New Roman"/>
                <w:b/>
                <w:bCs/>
                <w:color w:val="FFFFFF"/>
              </w:rPr>
            </w:pPr>
            <w:r w:rsidRPr="00AF41A6">
              <w:rPr>
                <w:rFonts w:ascii="Calibri" w:eastAsia="Times New Roman" w:hAnsi="Calibri" w:cs="Times New Roman"/>
                <w:b/>
                <w:bCs/>
                <w:color w:val="FFFFFF"/>
              </w:rPr>
              <w:t>Relative Precision at 90%</w:t>
            </w:r>
          </w:p>
        </w:tc>
      </w:tr>
      <w:tr w:rsidR="00AF41A6" w:rsidRPr="00AF41A6" w:rsidTr="00FC25A1">
        <w:tc>
          <w:tcPr>
            <w:tcW w:w="761" w:type="pct"/>
            <w:shd w:val="clear" w:color="auto" w:fill="auto"/>
            <w:vAlign w:val="center"/>
            <w:hideMark/>
          </w:tcPr>
          <w:p w:rsidR="00AF41A6" w:rsidRPr="00AF41A6" w:rsidRDefault="00AF41A6" w:rsidP="00696DD4">
            <w:pPr>
              <w:spacing w:after="0"/>
              <w:rPr>
                <w:rFonts w:ascii="Calibri" w:eastAsia="Times New Roman" w:hAnsi="Calibri" w:cs="Times New Roman"/>
                <w:color w:val="000000"/>
                <w:sz w:val="20"/>
                <w:szCs w:val="20"/>
              </w:rPr>
            </w:pPr>
            <w:r w:rsidRPr="00AF41A6">
              <w:rPr>
                <w:rFonts w:ascii="Calibri" w:eastAsia="Times New Roman" w:hAnsi="Calibri" w:cs="Times New Roman"/>
                <w:color w:val="000000"/>
                <w:sz w:val="20"/>
                <w:szCs w:val="20"/>
              </w:rPr>
              <w:t>DHW Bundle</w:t>
            </w:r>
          </w:p>
        </w:tc>
        <w:tc>
          <w:tcPr>
            <w:tcW w:w="351" w:type="pct"/>
            <w:shd w:val="clear" w:color="auto" w:fill="auto"/>
            <w:vAlign w:val="center"/>
            <w:hideMark/>
          </w:tcPr>
          <w:p w:rsidR="00AF41A6" w:rsidRPr="00AF41A6" w:rsidRDefault="00AF41A6" w:rsidP="00696DD4">
            <w:pPr>
              <w:spacing w:after="0"/>
              <w:jc w:val="right"/>
              <w:rPr>
                <w:rFonts w:ascii="Calibri" w:eastAsia="Times New Roman" w:hAnsi="Calibri" w:cs="Times New Roman"/>
                <w:color w:val="000000"/>
                <w:sz w:val="20"/>
                <w:szCs w:val="20"/>
              </w:rPr>
            </w:pPr>
            <w:r w:rsidRPr="00AF41A6">
              <w:rPr>
                <w:rFonts w:ascii="Calibri" w:eastAsia="Times New Roman" w:hAnsi="Calibri" w:cs="Times New Roman"/>
                <w:color w:val="000000"/>
                <w:sz w:val="20"/>
                <w:szCs w:val="20"/>
              </w:rPr>
              <w:t>1,578</w:t>
            </w:r>
          </w:p>
        </w:tc>
        <w:tc>
          <w:tcPr>
            <w:tcW w:w="589" w:type="pct"/>
            <w:shd w:val="clear" w:color="auto" w:fill="auto"/>
            <w:vAlign w:val="center"/>
            <w:hideMark/>
          </w:tcPr>
          <w:p w:rsidR="00AF41A6" w:rsidRPr="00AF41A6" w:rsidRDefault="00AF41A6" w:rsidP="00B0299C">
            <w:pPr>
              <w:spacing w:after="0"/>
              <w:jc w:val="right"/>
              <w:rPr>
                <w:rFonts w:ascii="Calibri" w:eastAsia="Times New Roman" w:hAnsi="Calibri" w:cs="Times New Roman"/>
                <w:color w:val="000000"/>
                <w:sz w:val="20"/>
                <w:szCs w:val="20"/>
              </w:rPr>
            </w:pPr>
            <w:r w:rsidRPr="00AF41A6">
              <w:rPr>
                <w:rFonts w:ascii="Calibri" w:eastAsia="Times New Roman" w:hAnsi="Calibri" w:cs="Times New Roman"/>
                <w:color w:val="000000"/>
                <w:sz w:val="20"/>
                <w:szCs w:val="20"/>
              </w:rPr>
              <w:t>14,</w:t>
            </w:r>
            <w:r w:rsidR="00B0299C">
              <w:rPr>
                <w:rFonts w:ascii="Calibri" w:eastAsia="Times New Roman" w:hAnsi="Calibri" w:cs="Times New Roman"/>
                <w:color w:val="000000"/>
                <w:sz w:val="20"/>
                <w:szCs w:val="20"/>
              </w:rPr>
              <w:t>669</w:t>
            </w:r>
          </w:p>
        </w:tc>
        <w:tc>
          <w:tcPr>
            <w:tcW w:w="940" w:type="pct"/>
            <w:shd w:val="clear" w:color="auto" w:fill="auto"/>
            <w:vAlign w:val="center"/>
            <w:hideMark/>
          </w:tcPr>
          <w:p w:rsidR="00AF41A6" w:rsidRPr="00AF41A6" w:rsidRDefault="00AF41A6" w:rsidP="00696DD4">
            <w:pPr>
              <w:spacing w:after="0"/>
              <w:jc w:val="right"/>
              <w:rPr>
                <w:rFonts w:ascii="Calibri" w:eastAsia="Times New Roman" w:hAnsi="Calibri" w:cs="Times New Roman"/>
                <w:color w:val="000000"/>
                <w:sz w:val="20"/>
                <w:szCs w:val="20"/>
              </w:rPr>
            </w:pPr>
            <w:r w:rsidRPr="00AF41A6">
              <w:rPr>
                <w:rFonts w:ascii="Calibri" w:eastAsia="Times New Roman" w:hAnsi="Calibri" w:cs="Times New Roman"/>
                <w:color w:val="000000"/>
                <w:sz w:val="20"/>
                <w:szCs w:val="20"/>
              </w:rPr>
              <w:t>395</w:t>
            </w:r>
          </w:p>
        </w:tc>
        <w:tc>
          <w:tcPr>
            <w:tcW w:w="1269" w:type="pct"/>
            <w:shd w:val="clear" w:color="auto" w:fill="auto"/>
            <w:vAlign w:val="center"/>
            <w:hideMark/>
          </w:tcPr>
          <w:p w:rsidR="00AF41A6" w:rsidRPr="00AF41A6" w:rsidRDefault="00AF41A6" w:rsidP="00696DD4">
            <w:pPr>
              <w:spacing w:after="0"/>
              <w:jc w:val="right"/>
              <w:rPr>
                <w:rFonts w:ascii="Calibri" w:eastAsia="Times New Roman" w:hAnsi="Calibri" w:cs="Times New Roman"/>
                <w:color w:val="000000"/>
                <w:sz w:val="20"/>
                <w:szCs w:val="20"/>
              </w:rPr>
            </w:pPr>
            <w:r w:rsidRPr="00AF41A6">
              <w:rPr>
                <w:rFonts w:ascii="Calibri" w:eastAsia="Times New Roman" w:hAnsi="Calibri" w:cs="Times New Roman"/>
                <w:color w:val="000000"/>
                <w:sz w:val="20"/>
                <w:szCs w:val="20"/>
              </w:rPr>
              <w:t>3%</w:t>
            </w:r>
          </w:p>
        </w:tc>
        <w:tc>
          <w:tcPr>
            <w:tcW w:w="1090" w:type="pct"/>
            <w:shd w:val="clear" w:color="auto" w:fill="auto"/>
            <w:vAlign w:val="center"/>
            <w:hideMark/>
          </w:tcPr>
          <w:p w:rsidR="00AF41A6" w:rsidRPr="00AF41A6" w:rsidRDefault="0021453A" w:rsidP="00696DD4">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AF41A6" w:rsidRPr="00AF41A6">
              <w:rPr>
                <w:rFonts w:ascii="Calibri" w:eastAsia="Times New Roman" w:hAnsi="Calibri" w:cs="Times New Roman"/>
                <w:color w:val="000000"/>
                <w:sz w:val="20"/>
                <w:szCs w:val="20"/>
              </w:rPr>
              <w:t>21%</w:t>
            </w:r>
          </w:p>
        </w:tc>
      </w:tr>
    </w:tbl>
    <w:p w:rsidR="000E6110" w:rsidRDefault="000E6110" w:rsidP="00696DD4">
      <w:pPr>
        <w:pStyle w:val="NormalAfterTablesandFigures"/>
      </w:pPr>
    </w:p>
    <w:p w:rsidR="004E7EA6" w:rsidRPr="000E6110" w:rsidRDefault="005C2163" w:rsidP="000E6110">
      <w:r>
        <w:fldChar w:fldCharType="begin"/>
      </w:r>
      <w:r w:rsidR="004E7EA6">
        <w:instrText xml:space="preserve"> REF _Ref388175105 \h </w:instrText>
      </w:r>
      <w:r>
        <w:fldChar w:fldCharType="separate"/>
      </w:r>
      <w:r w:rsidR="00CD20CF">
        <w:t xml:space="preserve">Table </w:t>
      </w:r>
      <w:r w:rsidR="00CD20CF">
        <w:rPr>
          <w:noProof/>
        </w:rPr>
        <w:t>26</w:t>
      </w:r>
      <w:r>
        <w:fldChar w:fldCharType="end"/>
      </w:r>
      <w:r w:rsidR="004E7EA6">
        <w:t xml:space="preserve"> provides </w:t>
      </w:r>
      <w:r w:rsidR="0021453A">
        <w:t>the realization rate for this measure</w:t>
      </w:r>
      <w:r w:rsidR="00FC25A1">
        <w:t>,</w:t>
      </w:r>
      <w:r w:rsidR="004E7EA6">
        <w:t xml:space="preserve"> based on comparing the gross savings estimate from the billing analysis to average </w:t>
      </w:r>
      <w:r w:rsidR="004E7EA6" w:rsidRPr="004E7EA6">
        <w:rPr>
          <w:i/>
        </w:rPr>
        <w:t>ex ante</w:t>
      </w:r>
      <w:r w:rsidR="004E7EA6">
        <w:t xml:space="preserve"> savings per household.</w:t>
      </w:r>
    </w:p>
    <w:p w:rsidR="00493D1A" w:rsidRDefault="004E7EA6" w:rsidP="004E7EA6">
      <w:pPr>
        <w:pStyle w:val="Caption"/>
      </w:pPr>
      <w:bookmarkStart w:id="67" w:name="_Ref388175105"/>
      <w:r>
        <w:t xml:space="preserve">Table </w:t>
      </w:r>
      <w:r w:rsidR="002506E1">
        <w:fldChar w:fldCharType="begin"/>
      </w:r>
      <w:r w:rsidR="002506E1">
        <w:instrText xml:space="preserve"> SEQ Table \* ARABIC </w:instrText>
      </w:r>
      <w:r w:rsidR="002506E1">
        <w:fldChar w:fldCharType="separate"/>
      </w:r>
      <w:r w:rsidR="00CD20CF">
        <w:rPr>
          <w:noProof/>
        </w:rPr>
        <w:t>26</w:t>
      </w:r>
      <w:r w:rsidR="002506E1">
        <w:rPr>
          <w:noProof/>
        </w:rPr>
        <w:fldChar w:fldCharType="end"/>
      </w:r>
      <w:bookmarkEnd w:id="67"/>
      <w:r>
        <w:t xml:space="preserve">. </w:t>
      </w:r>
      <w:r w:rsidR="00896031">
        <w:t xml:space="preserve">HES </w:t>
      </w:r>
      <w:r>
        <w:t>Billing Analysis Realization Rate Summary for Electric DHW Measures</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120"/>
        <w:gridCol w:w="1492"/>
        <w:gridCol w:w="1492"/>
        <w:gridCol w:w="1492"/>
        <w:gridCol w:w="1492"/>
        <w:gridCol w:w="1488"/>
      </w:tblGrid>
      <w:tr w:rsidR="00AF41A6" w:rsidRPr="00AF41A6" w:rsidTr="008C5363">
        <w:tc>
          <w:tcPr>
            <w:tcW w:w="1107" w:type="pct"/>
            <w:shd w:val="clear" w:color="000000" w:fill="005DAA"/>
            <w:vAlign w:val="center"/>
            <w:hideMark/>
          </w:tcPr>
          <w:p w:rsidR="00AF41A6" w:rsidRPr="00AF41A6" w:rsidRDefault="00AF41A6" w:rsidP="008C5363">
            <w:pPr>
              <w:spacing w:after="0" w:line="240" w:lineRule="auto"/>
              <w:jc w:val="center"/>
              <w:rPr>
                <w:rFonts w:ascii="Calibri" w:eastAsia="Times New Roman" w:hAnsi="Calibri" w:cs="Times New Roman"/>
                <w:b/>
                <w:bCs/>
                <w:color w:val="FFFFFF"/>
              </w:rPr>
            </w:pPr>
            <w:r w:rsidRPr="00AF41A6">
              <w:rPr>
                <w:rFonts w:ascii="Calibri" w:eastAsia="Times New Roman" w:hAnsi="Calibri" w:cs="Times New Roman"/>
                <w:b/>
                <w:bCs/>
                <w:color w:val="FFFFFF"/>
              </w:rPr>
              <w:t>Measure</w:t>
            </w:r>
          </w:p>
        </w:tc>
        <w:tc>
          <w:tcPr>
            <w:tcW w:w="779" w:type="pct"/>
            <w:shd w:val="clear" w:color="000000" w:fill="005DAA"/>
            <w:vAlign w:val="center"/>
            <w:hideMark/>
          </w:tcPr>
          <w:p w:rsidR="00AF41A6" w:rsidRPr="00AF41A6" w:rsidRDefault="00AF41A6" w:rsidP="008C5363">
            <w:pPr>
              <w:spacing w:after="0" w:line="240" w:lineRule="auto"/>
              <w:jc w:val="center"/>
              <w:rPr>
                <w:rFonts w:ascii="Calibri" w:eastAsia="Times New Roman" w:hAnsi="Calibri" w:cs="Times New Roman"/>
                <w:b/>
                <w:bCs/>
                <w:color w:val="FFFFFF"/>
              </w:rPr>
            </w:pPr>
            <w:r w:rsidRPr="00AF41A6">
              <w:rPr>
                <w:rFonts w:ascii="Calibri" w:eastAsia="Times New Roman" w:hAnsi="Calibri" w:cs="Times New Roman"/>
                <w:b/>
                <w:bCs/>
                <w:color w:val="FFFFFF"/>
              </w:rPr>
              <w:t>Gross Model Savings (kWh)</w:t>
            </w:r>
          </w:p>
        </w:tc>
        <w:tc>
          <w:tcPr>
            <w:tcW w:w="779" w:type="pct"/>
            <w:shd w:val="clear" w:color="000000" w:fill="005DAA"/>
            <w:vAlign w:val="center"/>
            <w:hideMark/>
          </w:tcPr>
          <w:p w:rsidR="00AF41A6" w:rsidRPr="00AF41A6" w:rsidRDefault="00AF41A6" w:rsidP="008C5363">
            <w:pPr>
              <w:spacing w:after="0" w:line="240" w:lineRule="auto"/>
              <w:jc w:val="center"/>
              <w:rPr>
                <w:rFonts w:ascii="Calibri" w:eastAsia="Times New Roman" w:hAnsi="Calibri" w:cs="Times New Roman"/>
                <w:b/>
                <w:bCs/>
                <w:color w:val="FFFFFF"/>
              </w:rPr>
            </w:pPr>
            <w:r w:rsidRPr="00AF41A6">
              <w:rPr>
                <w:rFonts w:ascii="Calibri" w:eastAsia="Times New Roman" w:hAnsi="Calibri" w:cs="Times New Roman"/>
                <w:b/>
                <w:bCs/>
                <w:color w:val="FFFFFF"/>
              </w:rPr>
              <w:t xml:space="preserve">Reported </w:t>
            </w:r>
            <w:r w:rsidRPr="00CF5867">
              <w:rPr>
                <w:rFonts w:ascii="Calibri" w:eastAsia="Times New Roman" w:hAnsi="Calibri" w:cs="Times New Roman"/>
                <w:b/>
                <w:bCs/>
                <w:i/>
                <w:color w:val="FFFFFF"/>
              </w:rPr>
              <w:t>Ex Ante</w:t>
            </w:r>
            <w:r w:rsidRPr="00AF41A6">
              <w:rPr>
                <w:rFonts w:ascii="Calibri" w:eastAsia="Times New Roman" w:hAnsi="Calibri" w:cs="Times New Roman"/>
                <w:b/>
                <w:bCs/>
                <w:color w:val="FFFFFF"/>
              </w:rPr>
              <w:t xml:space="preserve"> Savings (kWh)</w:t>
            </w:r>
          </w:p>
        </w:tc>
        <w:tc>
          <w:tcPr>
            <w:tcW w:w="779" w:type="pct"/>
            <w:shd w:val="clear" w:color="000000" w:fill="005DAA"/>
            <w:vAlign w:val="center"/>
            <w:hideMark/>
          </w:tcPr>
          <w:p w:rsidR="00AF41A6" w:rsidRPr="00AF41A6" w:rsidRDefault="00AF41A6" w:rsidP="008C5363">
            <w:pPr>
              <w:spacing w:after="0" w:line="240" w:lineRule="auto"/>
              <w:jc w:val="center"/>
              <w:rPr>
                <w:rFonts w:ascii="Calibri" w:eastAsia="Times New Roman" w:hAnsi="Calibri" w:cs="Times New Roman"/>
                <w:b/>
                <w:bCs/>
                <w:color w:val="FFFFFF"/>
              </w:rPr>
            </w:pPr>
            <w:r w:rsidRPr="00AF41A6">
              <w:rPr>
                <w:rFonts w:ascii="Calibri" w:eastAsia="Times New Roman" w:hAnsi="Calibri" w:cs="Times New Roman"/>
                <w:b/>
                <w:bCs/>
                <w:color w:val="FFFFFF"/>
              </w:rPr>
              <w:t>Realization Rate</w:t>
            </w:r>
          </w:p>
        </w:tc>
        <w:tc>
          <w:tcPr>
            <w:tcW w:w="779" w:type="pct"/>
            <w:shd w:val="clear" w:color="000000" w:fill="005DAA"/>
            <w:vAlign w:val="center"/>
            <w:hideMark/>
          </w:tcPr>
          <w:p w:rsidR="00AF41A6" w:rsidRPr="00AF41A6" w:rsidRDefault="00AF41A6" w:rsidP="008C5363">
            <w:pPr>
              <w:spacing w:after="0" w:line="240" w:lineRule="auto"/>
              <w:jc w:val="center"/>
              <w:rPr>
                <w:rFonts w:ascii="Calibri" w:eastAsia="Times New Roman" w:hAnsi="Calibri" w:cs="Times New Roman"/>
                <w:b/>
                <w:bCs/>
                <w:color w:val="FFFFFF"/>
              </w:rPr>
            </w:pPr>
            <w:r w:rsidRPr="00AF41A6">
              <w:rPr>
                <w:rFonts w:ascii="Calibri" w:eastAsia="Times New Roman" w:hAnsi="Calibri" w:cs="Times New Roman"/>
                <w:b/>
                <w:bCs/>
                <w:color w:val="FFFFFF"/>
              </w:rPr>
              <w:t>Model Savings as Percent of Pre-Usage</w:t>
            </w:r>
          </w:p>
        </w:tc>
        <w:tc>
          <w:tcPr>
            <w:tcW w:w="779" w:type="pct"/>
            <w:shd w:val="clear" w:color="000000" w:fill="005DAA"/>
            <w:vAlign w:val="center"/>
            <w:hideMark/>
          </w:tcPr>
          <w:p w:rsidR="00AF41A6" w:rsidRPr="00AF41A6" w:rsidRDefault="00AF41A6" w:rsidP="008C5363">
            <w:pPr>
              <w:spacing w:after="0" w:line="240" w:lineRule="auto"/>
              <w:jc w:val="center"/>
              <w:rPr>
                <w:rFonts w:ascii="Calibri" w:eastAsia="Times New Roman" w:hAnsi="Calibri" w:cs="Times New Roman"/>
                <w:b/>
                <w:bCs/>
                <w:color w:val="FFFFFF"/>
              </w:rPr>
            </w:pPr>
            <w:r w:rsidRPr="00AF41A6">
              <w:rPr>
                <w:rFonts w:ascii="Calibri" w:eastAsia="Times New Roman" w:hAnsi="Calibri" w:cs="Times New Roman"/>
                <w:b/>
                <w:bCs/>
                <w:color w:val="FFFFFF"/>
              </w:rPr>
              <w:t xml:space="preserve">Reported </w:t>
            </w:r>
            <w:r w:rsidRPr="00CF5867">
              <w:rPr>
                <w:rFonts w:ascii="Calibri" w:eastAsia="Times New Roman" w:hAnsi="Calibri" w:cs="Times New Roman"/>
                <w:b/>
                <w:bCs/>
                <w:i/>
                <w:color w:val="FFFFFF"/>
              </w:rPr>
              <w:t>Ex Ante</w:t>
            </w:r>
            <w:r w:rsidRPr="00AF41A6">
              <w:rPr>
                <w:rFonts w:ascii="Calibri" w:eastAsia="Times New Roman" w:hAnsi="Calibri" w:cs="Times New Roman"/>
                <w:b/>
                <w:bCs/>
                <w:color w:val="FFFFFF"/>
              </w:rPr>
              <w:t xml:space="preserve"> Savings as Percent of Pre-Usage</w:t>
            </w:r>
          </w:p>
        </w:tc>
      </w:tr>
      <w:tr w:rsidR="00AF41A6" w:rsidRPr="00AF41A6" w:rsidTr="008C5363">
        <w:tc>
          <w:tcPr>
            <w:tcW w:w="1107" w:type="pct"/>
            <w:shd w:val="clear" w:color="auto" w:fill="auto"/>
            <w:vAlign w:val="center"/>
            <w:hideMark/>
          </w:tcPr>
          <w:p w:rsidR="00AF41A6" w:rsidRPr="00AF41A6" w:rsidRDefault="00AF41A6" w:rsidP="00AF41A6">
            <w:pPr>
              <w:spacing w:after="0" w:line="240" w:lineRule="auto"/>
              <w:rPr>
                <w:rFonts w:ascii="Calibri" w:eastAsia="Times New Roman" w:hAnsi="Calibri" w:cs="Times New Roman"/>
                <w:color w:val="000000"/>
                <w:sz w:val="20"/>
                <w:szCs w:val="20"/>
              </w:rPr>
            </w:pPr>
            <w:r w:rsidRPr="00AF41A6">
              <w:rPr>
                <w:rFonts w:ascii="Calibri" w:eastAsia="Times New Roman" w:hAnsi="Calibri" w:cs="Times New Roman"/>
                <w:color w:val="000000"/>
                <w:sz w:val="20"/>
                <w:szCs w:val="20"/>
              </w:rPr>
              <w:t>DHW Bundle</w:t>
            </w:r>
          </w:p>
        </w:tc>
        <w:tc>
          <w:tcPr>
            <w:tcW w:w="779" w:type="pct"/>
            <w:shd w:val="clear" w:color="auto" w:fill="auto"/>
            <w:vAlign w:val="center"/>
            <w:hideMark/>
          </w:tcPr>
          <w:p w:rsidR="00AF41A6" w:rsidRPr="00AF41A6" w:rsidRDefault="00AF41A6" w:rsidP="00AF41A6">
            <w:pPr>
              <w:spacing w:after="0" w:line="240" w:lineRule="auto"/>
              <w:jc w:val="right"/>
              <w:rPr>
                <w:rFonts w:ascii="Calibri" w:eastAsia="Times New Roman" w:hAnsi="Calibri" w:cs="Times New Roman"/>
                <w:color w:val="000000"/>
                <w:sz w:val="20"/>
                <w:szCs w:val="20"/>
              </w:rPr>
            </w:pPr>
            <w:r w:rsidRPr="00AF41A6">
              <w:rPr>
                <w:rFonts w:ascii="Calibri" w:eastAsia="Times New Roman" w:hAnsi="Calibri" w:cs="Times New Roman"/>
                <w:color w:val="000000"/>
                <w:sz w:val="20"/>
                <w:szCs w:val="20"/>
              </w:rPr>
              <w:t>395</w:t>
            </w:r>
          </w:p>
        </w:tc>
        <w:tc>
          <w:tcPr>
            <w:tcW w:w="779" w:type="pct"/>
            <w:shd w:val="clear" w:color="auto" w:fill="auto"/>
            <w:vAlign w:val="center"/>
            <w:hideMark/>
          </w:tcPr>
          <w:p w:rsidR="00AF41A6" w:rsidRPr="00AF41A6" w:rsidRDefault="00AF41A6" w:rsidP="00AF41A6">
            <w:pPr>
              <w:spacing w:after="0" w:line="240" w:lineRule="auto"/>
              <w:jc w:val="right"/>
              <w:rPr>
                <w:rFonts w:ascii="Calibri" w:eastAsia="Times New Roman" w:hAnsi="Calibri" w:cs="Times New Roman"/>
                <w:color w:val="000000"/>
                <w:sz w:val="20"/>
                <w:szCs w:val="20"/>
              </w:rPr>
            </w:pPr>
            <w:r w:rsidRPr="00AF41A6">
              <w:rPr>
                <w:rFonts w:ascii="Calibri" w:eastAsia="Times New Roman" w:hAnsi="Calibri" w:cs="Times New Roman"/>
                <w:color w:val="000000"/>
                <w:sz w:val="20"/>
                <w:szCs w:val="20"/>
              </w:rPr>
              <w:t>482</w:t>
            </w:r>
          </w:p>
        </w:tc>
        <w:tc>
          <w:tcPr>
            <w:tcW w:w="779" w:type="pct"/>
            <w:shd w:val="clear" w:color="auto" w:fill="auto"/>
            <w:vAlign w:val="center"/>
            <w:hideMark/>
          </w:tcPr>
          <w:p w:rsidR="00AF41A6" w:rsidRPr="00AF41A6" w:rsidRDefault="00AF41A6" w:rsidP="00AF41A6">
            <w:pPr>
              <w:spacing w:after="0" w:line="240" w:lineRule="auto"/>
              <w:jc w:val="right"/>
              <w:rPr>
                <w:rFonts w:ascii="Calibri" w:eastAsia="Times New Roman" w:hAnsi="Calibri" w:cs="Times New Roman"/>
                <w:color w:val="000000"/>
                <w:sz w:val="20"/>
                <w:szCs w:val="20"/>
              </w:rPr>
            </w:pPr>
            <w:r w:rsidRPr="00AF41A6">
              <w:rPr>
                <w:rFonts w:ascii="Calibri" w:eastAsia="Times New Roman" w:hAnsi="Calibri" w:cs="Times New Roman"/>
                <w:color w:val="000000"/>
                <w:sz w:val="20"/>
                <w:szCs w:val="20"/>
              </w:rPr>
              <w:t>82%</w:t>
            </w:r>
          </w:p>
        </w:tc>
        <w:tc>
          <w:tcPr>
            <w:tcW w:w="779" w:type="pct"/>
            <w:shd w:val="clear" w:color="auto" w:fill="auto"/>
            <w:vAlign w:val="center"/>
            <w:hideMark/>
          </w:tcPr>
          <w:p w:rsidR="00AF41A6" w:rsidRPr="00AF41A6" w:rsidRDefault="00AF41A6" w:rsidP="00AF41A6">
            <w:pPr>
              <w:spacing w:after="0" w:line="240" w:lineRule="auto"/>
              <w:jc w:val="right"/>
              <w:rPr>
                <w:rFonts w:ascii="Calibri" w:eastAsia="Times New Roman" w:hAnsi="Calibri" w:cs="Times New Roman"/>
                <w:color w:val="000000"/>
                <w:sz w:val="20"/>
                <w:szCs w:val="20"/>
              </w:rPr>
            </w:pPr>
            <w:r w:rsidRPr="00AF41A6">
              <w:rPr>
                <w:rFonts w:ascii="Calibri" w:eastAsia="Times New Roman" w:hAnsi="Calibri" w:cs="Times New Roman"/>
                <w:color w:val="000000"/>
                <w:sz w:val="20"/>
                <w:szCs w:val="20"/>
              </w:rPr>
              <w:t>3%</w:t>
            </w:r>
          </w:p>
        </w:tc>
        <w:tc>
          <w:tcPr>
            <w:tcW w:w="779" w:type="pct"/>
            <w:shd w:val="clear" w:color="auto" w:fill="auto"/>
            <w:vAlign w:val="center"/>
            <w:hideMark/>
          </w:tcPr>
          <w:p w:rsidR="00AF41A6" w:rsidRPr="00AF41A6" w:rsidRDefault="00AF41A6" w:rsidP="00AF41A6">
            <w:pPr>
              <w:spacing w:after="0" w:line="240" w:lineRule="auto"/>
              <w:jc w:val="right"/>
              <w:rPr>
                <w:rFonts w:ascii="Calibri" w:eastAsia="Times New Roman" w:hAnsi="Calibri" w:cs="Times New Roman"/>
                <w:color w:val="000000"/>
                <w:sz w:val="20"/>
                <w:szCs w:val="20"/>
              </w:rPr>
            </w:pPr>
            <w:r w:rsidRPr="00AF41A6">
              <w:rPr>
                <w:rFonts w:ascii="Calibri" w:eastAsia="Times New Roman" w:hAnsi="Calibri" w:cs="Times New Roman"/>
                <w:color w:val="000000"/>
                <w:sz w:val="20"/>
                <w:szCs w:val="20"/>
              </w:rPr>
              <w:t>3%</w:t>
            </w:r>
          </w:p>
        </w:tc>
      </w:tr>
    </w:tbl>
    <w:p w:rsidR="004E7EA6" w:rsidRPr="004E7EA6" w:rsidRDefault="004E7EA6" w:rsidP="008C5363">
      <w:pPr>
        <w:pStyle w:val="NormalAfterTablesandFigures"/>
      </w:pPr>
    </w:p>
    <w:p w:rsidR="00E64475" w:rsidRDefault="00E64475" w:rsidP="00E64475">
      <w:r>
        <w:t xml:space="preserve">For specific measures within the DHW bundle, the Evaluation Team performed an engineering review and comparison against a range of other sources (including evaluation studies and TRMs). </w:t>
      </w:r>
      <w:r w:rsidR="002506E1">
        <w:fldChar w:fldCharType="begin"/>
      </w:r>
      <w:r w:rsidR="002506E1">
        <w:instrText xml:space="preserve"> REF _Ref388169250 \h  \* MERGEFORMAT </w:instrText>
      </w:r>
      <w:r w:rsidR="002506E1">
        <w:fldChar w:fldCharType="separate"/>
      </w:r>
      <w:r w:rsidR="00CD20CF">
        <w:t>Appendix B. Engineering Algorithms</w:t>
      </w:r>
      <w:r w:rsidR="002506E1">
        <w:fldChar w:fldCharType="end"/>
      </w:r>
      <w:r>
        <w:t xml:space="preserve"> presents these detailed findings.</w:t>
      </w:r>
    </w:p>
    <w:p w:rsidR="00D3164D" w:rsidRDefault="00D3164D" w:rsidP="008C5363">
      <w:pPr>
        <w:pStyle w:val="Heading4"/>
      </w:pPr>
      <w:r>
        <w:lastRenderedPageBreak/>
        <w:t>HVAC</w:t>
      </w:r>
    </w:p>
    <w:p w:rsidR="009B6DD3" w:rsidRDefault="009B6DD3" w:rsidP="008C5363">
      <w:r>
        <w:t xml:space="preserve">The Evaluation Team estimated impacts for </w:t>
      </w:r>
      <w:r w:rsidR="00B15EA5">
        <w:t>several HVAC measures using a combination of billing analysis and engineering algorithms.</w:t>
      </w:r>
      <w:r w:rsidR="00501F38">
        <w:t xml:space="preserve"> </w:t>
      </w:r>
      <w:r w:rsidR="002506E1">
        <w:fldChar w:fldCharType="begin"/>
      </w:r>
      <w:r w:rsidR="002506E1">
        <w:instrText xml:space="preserve"> REF _Ref388191783 \h  \* MERGEFORMAT </w:instrText>
      </w:r>
      <w:r w:rsidR="002506E1">
        <w:fldChar w:fldCharType="separate"/>
      </w:r>
      <w:r w:rsidR="00CD20CF">
        <w:t xml:space="preserve">Table </w:t>
      </w:r>
      <w:r w:rsidR="00CD20CF">
        <w:rPr>
          <w:noProof/>
        </w:rPr>
        <w:t>27</w:t>
      </w:r>
      <w:r w:rsidR="002506E1">
        <w:fldChar w:fldCharType="end"/>
      </w:r>
      <w:r w:rsidR="00501F38">
        <w:t xml:space="preserve"> provides details for each of these measures, including</w:t>
      </w:r>
      <w:r w:rsidR="009B2C42">
        <w:t>:</w:t>
      </w:r>
      <w:r w:rsidR="00501F38">
        <w:t xml:space="preserve"> </w:t>
      </w:r>
      <w:r w:rsidR="009B2C42">
        <w:t xml:space="preserve">the </w:t>
      </w:r>
      <w:r w:rsidR="00501F38">
        <w:t xml:space="preserve">total number of participants, </w:t>
      </w:r>
      <w:r w:rsidR="009B2C42">
        <w:t xml:space="preserve">the </w:t>
      </w:r>
      <w:r w:rsidR="00501F38">
        <w:t xml:space="preserve">capacity and efficiency of installed units, and </w:t>
      </w:r>
      <w:r w:rsidR="009B2C42">
        <w:t xml:space="preserve">the </w:t>
      </w:r>
      <w:r w:rsidR="00501F38">
        <w:t xml:space="preserve">method of </w:t>
      </w:r>
      <w:r w:rsidR="00EC4163">
        <w:br/>
      </w:r>
      <w:r w:rsidR="00501F38">
        <w:t>analysis used.</w:t>
      </w:r>
    </w:p>
    <w:p w:rsidR="0082790A" w:rsidRDefault="0082790A" w:rsidP="0082790A">
      <w:pPr>
        <w:pStyle w:val="Caption"/>
      </w:pPr>
      <w:bookmarkStart w:id="68" w:name="_Ref388191783"/>
      <w:r>
        <w:t xml:space="preserve">Table </w:t>
      </w:r>
      <w:r w:rsidR="002506E1">
        <w:fldChar w:fldCharType="begin"/>
      </w:r>
      <w:r w:rsidR="002506E1">
        <w:instrText xml:space="preserve"> SEQ Table \* ARABIC </w:instrText>
      </w:r>
      <w:r w:rsidR="002506E1">
        <w:fldChar w:fldCharType="separate"/>
      </w:r>
      <w:r w:rsidR="00CD20CF">
        <w:rPr>
          <w:noProof/>
        </w:rPr>
        <w:t>27</w:t>
      </w:r>
      <w:r w:rsidR="002506E1">
        <w:rPr>
          <w:noProof/>
        </w:rPr>
        <w:fldChar w:fldCharType="end"/>
      </w:r>
      <w:bookmarkEnd w:id="68"/>
      <w:r>
        <w:t xml:space="preserve">. </w:t>
      </w:r>
      <w:r w:rsidR="003E3DA0">
        <w:t xml:space="preserve">HES Electric HVAC Measure Distribution and Evaluated Savings </w:t>
      </w:r>
    </w:p>
    <w:tbl>
      <w:tblPr>
        <w:tblW w:w="5000" w:type="pct"/>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2714"/>
        <w:gridCol w:w="1306"/>
        <w:gridCol w:w="1488"/>
        <w:gridCol w:w="1800"/>
        <w:gridCol w:w="2268"/>
      </w:tblGrid>
      <w:tr w:rsidR="00EC3275" w:rsidRPr="0082790A" w:rsidTr="00CD12A2">
        <w:trPr>
          <w:tblHeader/>
        </w:trPr>
        <w:tc>
          <w:tcPr>
            <w:tcW w:w="1417" w:type="pct"/>
            <w:shd w:val="clear" w:color="000000" w:fill="005DAA"/>
            <w:vAlign w:val="center"/>
            <w:hideMark/>
          </w:tcPr>
          <w:p w:rsidR="00EC3275" w:rsidRPr="0082790A" w:rsidRDefault="00EC3275" w:rsidP="008C5363">
            <w:pPr>
              <w:spacing w:after="0"/>
              <w:jc w:val="center"/>
              <w:rPr>
                <w:rFonts w:ascii="Calibri" w:eastAsia="Times New Roman" w:hAnsi="Calibri" w:cs="Times New Roman"/>
                <w:b/>
                <w:bCs/>
                <w:color w:val="FFFFFF"/>
              </w:rPr>
            </w:pPr>
            <w:r w:rsidRPr="0082790A">
              <w:rPr>
                <w:rFonts w:ascii="Calibri" w:eastAsia="Times New Roman" w:hAnsi="Calibri" w:cs="Times New Roman"/>
                <w:b/>
                <w:bCs/>
                <w:color w:val="FFFFFF"/>
              </w:rPr>
              <w:t>Measure</w:t>
            </w:r>
          </w:p>
        </w:tc>
        <w:tc>
          <w:tcPr>
            <w:tcW w:w="682" w:type="pct"/>
            <w:shd w:val="clear" w:color="000000" w:fill="005DAA"/>
            <w:vAlign w:val="center"/>
            <w:hideMark/>
          </w:tcPr>
          <w:p w:rsidR="00EC3275" w:rsidRPr="0082790A" w:rsidRDefault="00EC3275" w:rsidP="008C5363">
            <w:pPr>
              <w:spacing w:after="0"/>
              <w:jc w:val="center"/>
              <w:rPr>
                <w:rFonts w:ascii="Calibri" w:eastAsia="Times New Roman" w:hAnsi="Calibri" w:cs="Times New Roman"/>
                <w:b/>
                <w:bCs/>
                <w:color w:val="FFFFFF"/>
              </w:rPr>
            </w:pPr>
            <w:r w:rsidRPr="0082790A">
              <w:rPr>
                <w:rFonts w:ascii="Calibri" w:eastAsia="Times New Roman" w:hAnsi="Calibri" w:cs="Times New Roman"/>
                <w:b/>
                <w:bCs/>
                <w:color w:val="FFFFFF"/>
              </w:rPr>
              <w:t>Total Participants</w:t>
            </w:r>
          </w:p>
        </w:tc>
        <w:tc>
          <w:tcPr>
            <w:tcW w:w="777" w:type="pct"/>
            <w:shd w:val="clear" w:color="000000" w:fill="005DAA"/>
            <w:vAlign w:val="center"/>
            <w:hideMark/>
          </w:tcPr>
          <w:p w:rsidR="00EC3275" w:rsidRPr="0082790A" w:rsidRDefault="00EC3275" w:rsidP="008C5363">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Average Capacity of Installed Unit (Tons)</w:t>
            </w:r>
          </w:p>
        </w:tc>
        <w:tc>
          <w:tcPr>
            <w:tcW w:w="940" w:type="pct"/>
            <w:shd w:val="clear" w:color="000000" w:fill="005DAA"/>
            <w:vAlign w:val="center"/>
            <w:hideMark/>
          </w:tcPr>
          <w:p w:rsidR="00EC3275" w:rsidRPr="0082790A" w:rsidRDefault="00EC3275" w:rsidP="008C5363">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Average Efficiency of Installed Unit</w:t>
            </w:r>
          </w:p>
        </w:tc>
        <w:tc>
          <w:tcPr>
            <w:tcW w:w="1184" w:type="pct"/>
            <w:shd w:val="clear" w:color="000000" w:fill="005DAA"/>
            <w:vAlign w:val="center"/>
          </w:tcPr>
          <w:p w:rsidR="00EC3275" w:rsidRPr="0082790A" w:rsidRDefault="00EC3275" w:rsidP="008C5363">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Method</w:t>
            </w:r>
          </w:p>
        </w:tc>
      </w:tr>
      <w:tr w:rsidR="00EC3275" w:rsidRPr="0082790A" w:rsidTr="00CD12A2">
        <w:tc>
          <w:tcPr>
            <w:tcW w:w="1417" w:type="pct"/>
            <w:shd w:val="clear" w:color="auto" w:fill="auto"/>
            <w:vAlign w:val="center"/>
            <w:hideMark/>
          </w:tcPr>
          <w:p w:rsidR="00EC3275" w:rsidRPr="0082790A" w:rsidRDefault="00EC3275" w:rsidP="008C5363">
            <w:pPr>
              <w:spacing w:after="0"/>
              <w:rPr>
                <w:rFonts w:ascii="Calibri" w:eastAsia="Times New Roman" w:hAnsi="Calibri" w:cs="Times New Roman"/>
                <w:color w:val="000000"/>
                <w:sz w:val="20"/>
                <w:szCs w:val="20"/>
              </w:rPr>
            </w:pPr>
            <w:r w:rsidRPr="0082790A">
              <w:rPr>
                <w:rFonts w:ascii="Calibri" w:eastAsia="Times New Roman" w:hAnsi="Calibri" w:cs="Times New Roman"/>
                <w:color w:val="000000"/>
                <w:sz w:val="20"/>
                <w:szCs w:val="20"/>
              </w:rPr>
              <w:t>Heat Pump</w:t>
            </w:r>
          </w:p>
        </w:tc>
        <w:tc>
          <w:tcPr>
            <w:tcW w:w="682" w:type="pct"/>
            <w:shd w:val="clear" w:color="auto" w:fill="auto"/>
            <w:vAlign w:val="center"/>
            <w:hideMark/>
          </w:tcPr>
          <w:p w:rsidR="00EC3275" w:rsidRPr="0082790A" w:rsidRDefault="00EC3275" w:rsidP="008C5363">
            <w:pPr>
              <w:spacing w:after="0"/>
              <w:jc w:val="right"/>
              <w:rPr>
                <w:rFonts w:ascii="Calibri" w:eastAsia="Times New Roman" w:hAnsi="Calibri" w:cs="Times New Roman"/>
                <w:color w:val="000000"/>
                <w:sz w:val="20"/>
                <w:szCs w:val="20"/>
              </w:rPr>
            </w:pPr>
            <w:r w:rsidRPr="0082790A">
              <w:rPr>
                <w:rFonts w:ascii="Calibri" w:eastAsia="Times New Roman" w:hAnsi="Calibri" w:cs="Times New Roman"/>
                <w:color w:val="000000"/>
                <w:sz w:val="20"/>
                <w:szCs w:val="20"/>
              </w:rPr>
              <w:t>132</w:t>
            </w:r>
          </w:p>
        </w:tc>
        <w:tc>
          <w:tcPr>
            <w:tcW w:w="777" w:type="pct"/>
            <w:shd w:val="clear" w:color="auto" w:fill="auto"/>
            <w:vAlign w:val="center"/>
          </w:tcPr>
          <w:p w:rsidR="00EC3275" w:rsidRPr="0082790A" w:rsidRDefault="00EC3275" w:rsidP="008C536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2.4</w:t>
            </w:r>
          </w:p>
        </w:tc>
        <w:tc>
          <w:tcPr>
            <w:tcW w:w="940" w:type="pct"/>
            <w:shd w:val="clear" w:color="auto" w:fill="auto"/>
            <w:vAlign w:val="center"/>
          </w:tcPr>
          <w:p w:rsidR="00EC3275" w:rsidRPr="0082790A" w:rsidRDefault="00CD12A2" w:rsidP="00CD12A2">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9 HSPF, </w:t>
            </w:r>
            <w:r w:rsidR="00EC3275">
              <w:rPr>
                <w:rFonts w:ascii="Calibri" w:eastAsia="Times New Roman" w:hAnsi="Calibri" w:cs="Times New Roman"/>
                <w:color w:val="000000"/>
                <w:sz w:val="20"/>
                <w:szCs w:val="20"/>
              </w:rPr>
              <w:t>12 EER</w:t>
            </w:r>
          </w:p>
        </w:tc>
        <w:tc>
          <w:tcPr>
            <w:tcW w:w="1184" w:type="pct"/>
            <w:vAlign w:val="center"/>
          </w:tcPr>
          <w:p w:rsidR="00EC3275" w:rsidRPr="00501F38" w:rsidRDefault="00674BB6" w:rsidP="008C5363">
            <w:pPr>
              <w:spacing w:after="0"/>
              <w:jc w:val="right"/>
              <w:rPr>
                <w:rFonts w:ascii="Calibri" w:eastAsia="Times New Roman" w:hAnsi="Calibri" w:cs="Times New Roman"/>
                <w:color w:val="000000"/>
                <w:sz w:val="20"/>
                <w:szCs w:val="20"/>
              </w:rPr>
            </w:pPr>
            <w:r w:rsidRPr="00501F38">
              <w:rPr>
                <w:rFonts w:ascii="Calibri" w:eastAsia="Times New Roman" w:hAnsi="Calibri" w:cs="Times New Roman"/>
                <w:color w:val="000000"/>
                <w:sz w:val="20"/>
                <w:szCs w:val="20"/>
              </w:rPr>
              <w:t>Engineering Algorithm</w:t>
            </w:r>
          </w:p>
        </w:tc>
      </w:tr>
      <w:tr w:rsidR="00EC3275" w:rsidRPr="0082790A" w:rsidTr="00CD12A2">
        <w:tc>
          <w:tcPr>
            <w:tcW w:w="1417" w:type="pct"/>
            <w:shd w:val="clear" w:color="auto" w:fill="auto"/>
            <w:vAlign w:val="center"/>
            <w:hideMark/>
          </w:tcPr>
          <w:p w:rsidR="00EC3275" w:rsidRPr="0082790A" w:rsidRDefault="00EC3275" w:rsidP="008C5363">
            <w:pPr>
              <w:spacing w:after="0"/>
              <w:rPr>
                <w:rFonts w:ascii="Calibri" w:eastAsia="Times New Roman" w:hAnsi="Calibri" w:cs="Times New Roman"/>
                <w:color w:val="000000"/>
                <w:sz w:val="20"/>
                <w:szCs w:val="20"/>
              </w:rPr>
            </w:pPr>
            <w:r w:rsidRPr="0082790A">
              <w:rPr>
                <w:rFonts w:ascii="Calibri" w:eastAsia="Times New Roman" w:hAnsi="Calibri" w:cs="Times New Roman"/>
                <w:color w:val="000000"/>
                <w:sz w:val="20"/>
                <w:szCs w:val="20"/>
              </w:rPr>
              <w:t>Ductless Heat Pump</w:t>
            </w:r>
          </w:p>
        </w:tc>
        <w:tc>
          <w:tcPr>
            <w:tcW w:w="682" w:type="pct"/>
            <w:shd w:val="clear" w:color="auto" w:fill="auto"/>
            <w:vAlign w:val="center"/>
            <w:hideMark/>
          </w:tcPr>
          <w:p w:rsidR="00EC3275" w:rsidRPr="0082790A" w:rsidRDefault="00EC3275" w:rsidP="008C5363">
            <w:pPr>
              <w:spacing w:after="0"/>
              <w:jc w:val="right"/>
              <w:rPr>
                <w:rFonts w:ascii="Calibri" w:eastAsia="Times New Roman" w:hAnsi="Calibri" w:cs="Times New Roman"/>
                <w:color w:val="000000"/>
                <w:sz w:val="20"/>
                <w:szCs w:val="20"/>
              </w:rPr>
            </w:pPr>
            <w:r w:rsidRPr="0082790A">
              <w:rPr>
                <w:rFonts w:ascii="Calibri" w:eastAsia="Times New Roman" w:hAnsi="Calibri" w:cs="Times New Roman"/>
                <w:color w:val="000000"/>
                <w:sz w:val="20"/>
                <w:szCs w:val="20"/>
              </w:rPr>
              <w:t>269</w:t>
            </w:r>
          </w:p>
        </w:tc>
        <w:tc>
          <w:tcPr>
            <w:tcW w:w="777" w:type="pct"/>
            <w:shd w:val="clear" w:color="auto" w:fill="auto"/>
            <w:vAlign w:val="center"/>
          </w:tcPr>
          <w:p w:rsidR="00EC3275" w:rsidRPr="0082790A" w:rsidRDefault="00EC3275" w:rsidP="008C536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1.5</w:t>
            </w:r>
          </w:p>
        </w:tc>
        <w:tc>
          <w:tcPr>
            <w:tcW w:w="940" w:type="pct"/>
            <w:shd w:val="clear" w:color="auto" w:fill="auto"/>
            <w:vAlign w:val="center"/>
          </w:tcPr>
          <w:p w:rsidR="00EC3275" w:rsidRPr="0082790A" w:rsidRDefault="00CD12A2" w:rsidP="00CD12A2">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10 HSPF, </w:t>
            </w:r>
            <w:r w:rsidR="00EC3275">
              <w:rPr>
                <w:rFonts w:ascii="Calibri" w:eastAsia="Times New Roman" w:hAnsi="Calibri" w:cs="Times New Roman"/>
                <w:color w:val="000000"/>
                <w:sz w:val="20"/>
                <w:szCs w:val="20"/>
              </w:rPr>
              <w:t>20.1 SEER</w:t>
            </w:r>
          </w:p>
        </w:tc>
        <w:tc>
          <w:tcPr>
            <w:tcW w:w="1184" w:type="pct"/>
            <w:vAlign w:val="center"/>
          </w:tcPr>
          <w:p w:rsidR="00EC3275" w:rsidRPr="00501F38" w:rsidRDefault="00EC3275" w:rsidP="008C5363">
            <w:pPr>
              <w:spacing w:after="0"/>
              <w:jc w:val="right"/>
              <w:rPr>
                <w:rFonts w:ascii="Calibri" w:eastAsia="Times New Roman" w:hAnsi="Calibri" w:cs="Times New Roman"/>
                <w:color w:val="000000"/>
                <w:sz w:val="20"/>
                <w:szCs w:val="20"/>
              </w:rPr>
            </w:pPr>
            <w:r w:rsidRPr="00501F38">
              <w:rPr>
                <w:rFonts w:ascii="Calibri" w:eastAsia="Times New Roman" w:hAnsi="Calibri" w:cs="Times New Roman"/>
                <w:color w:val="000000"/>
                <w:sz w:val="20"/>
                <w:szCs w:val="20"/>
              </w:rPr>
              <w:t>Billing Analysis</w:t>
            </w:r>
          </w:p>
        </w:tc>
      </w:tr>
      <w:tr w:rsidR="00EC3275" w:rsidRPr="0082790A" w:rsidTr="00CD12A2">
        <w:tc>
          <w:tcPr>
            <w:tcW w:w="1417" w:type="pct"/>
            <w:shd w:val="clear" w:color="auto" w:fill="auto"/>
            <w:vAlign w:val="center"/>
            <w:hideMark/>
          </w:tcPr>
          <w:p w:rsidR="00EC3275" w:rsidRPr="0082790A" w:rsidRDefault="00EC3275" w:rsidP="008C5363">
            <w:pPr>
              <w:spacing w:after="0"/>
              <w:rPr>
                <w:rFonts w:ascii="Calibri" w:eastAsia="Times New Roman" w:hAnsi="Calibri" w:cs="Times New Roman"/>
                <w:color w:val="000000"/>
                <w:sz w:val="20"/>
                <w:szCs w:val="20"/>
              </w:rPr>
            </w:pPr>
            <w:r w:rsidRPr="0082790A">
              <w:rPr>
                <w:rFonts w:ascii="Calibri" w:eastAsia="Times New Roman" w:hAnsi="Calibri" w:cs="Times New Roman"/>
                <w:color w:val="000000"/>
                <w:sz w:val="20"/>
                <w:szCs w:val="20"/>
              </w:rPr>
              <w:t>Geothermal Heat Pump</w:t>
            </w:r>
          </w:p>
        </w:tc>
        <w:tc>
          <w:tcPr>
            <w:tcW w:w="682" w:type="pct"/>
            <w:shd w:val="clear" w:color="auto" w:fill="auto"/>
            <w:vAlign w:val="center"/>
            <w:hideMark/>
          </w:tcPr>
          <w:p w:rsidR="00EC3275" w:rsidRPr="0082790A" w:rsidRDefault="00EC3275" w:rsidP="008C5363">
            <w:pPr>
              <w:spacing w:after="0"/>
              <w:jc w:val="right"/>
              <w:rPr>
                <w:rFonts w:ascii="Calibri" w:eastAsia="Times New Roman" w:hAnsi="Calibri" w:cs="Times New Roman"/>
                <w:color w:val="000000"/>
                <w:sz w:val="20"/>
                <w:szCs w:val="20"/>
              </w:rPr>
            </w:pPr>
            <w:r w:rsidRPr="0082790A">
              <w:rPr>
                <w:rFonts w:ascii="Calibri" w:eastAsia="Times New Roman" w:hAnsi="Calibri" w:cs="Times New Roman"/>
                <w:color w:val="000000"/>
                <w:sz w:val="20"/>
                <w:szCs w:val="20"/>
              </w:rPr>
              <w:t>77</w:t>
            </w:r>
          </w:p>
        </w:tc>
        <w:tc>
          <w:tcPr>
            <w:tcW w:w="777" w:type="pct"/>
            <w:shd w:val="clear" w:color="auto" w:fill="auto"/>
            <w:vAlign w:val="center"/>
          </w:tcPr>
          <w:p w:rsidR="00EC3275" w:rsidRPr="0082790A" w:rsidRDefault="00EC3275" w:rsidP="008C536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4.2</w:t>
            </w:r>
          </w:p>
        </w:tc>
        <w:tc>
          <w:tcPr>
            <w:tcW w:w="940" w:type="pct"/>
            <w:shd w:val="clear" w:color="auto" w:fill="auto"/>
            <w:vAlign w:val="center"/>
          </w:tcPr>
          <w:p w:rsidR="00EC3275" w:rsidRPr="0082790A" w:rsidRDefault="00EC3275" w:rsidP="008C536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17.3 EER, 3.8 COP</w:t>
            </w:r>
          </w:p>
        </w:tc>
        <w:tc>
          <w:tcPr>
            <w:tcW w:w="1184" w:type="pct"/>
            <w:vAlign w:val="center"/>
          </w:tcPr>
          <w:p w:rsidR="00EC3275" w:rsidRPr="00501F38" w:rsidRDefault="00EC3275" w:rsidP="008C5363">
            <w:pPr>
              <w:spacing w:after="0"/>
              <w:jc w:val="right"/>
              <w:rPr>
                <w:rFonts w:ascii="Calibri" w:eastAsia="Times New Roman" w:hAnsi="Calibri" w:cs="Times New Roman"/>
                <w:color w:val="000000"/>
                <w:sz w:val="20"/>
                <w:szCs w:val="20"/>
              </w:rPr>
            </w:pPr>
            <w:r w:rsidRPr="00501F38">
              <w:rPr>
                <w:rFonts w:ascii="Calibri" w:eastAsia="Times New Roman" w:hAnsi="Calibri" w:cs="Times New Roman"/>
                <w:color w:val="000000"/>
                <w:sz w:val="20"/>
                <w:szCs w:val="20"/>
              </w:rPr>
              <w:t>Engineering Algorithm</w:t>
            </w:r>
          </w:p>
        </w:tc>
      </w:tr>
      <w:tr w:rsidR="00EC3275" w:rsidRPr="0082790A" w:rsidTr="00CD12A2">
        <w:tc>
          <w:tcPr>
            <w:tcW w:w="1417" w:type="pct"/>
            <w:shd w:val="clear" w:color="auto" w:fill="auto"/>
            <w:vAlign w:val="center"/>
            <w:hideMark/>
          </w:tcPr>
          <w:p w:rsidR="00EC3275" w:rsidRPr="0082790A" w:rsidRDefault="00EC3275" w:rsidP="008C5363">
            <w:pPr>
              <w:spacing w:after="0"/>
              <w:rPr>
                <w:rFonts w:ascii="Calibri" w:eastAsia="Times New Roman" w:hAnsi="Calibri" w:cs="Times New Roman"/>
                <w:color w:val="000000"/>
                <w:sz w:val="20"/>
                <w:szCs w:val="20"/>
              </w:rPr>
            </w:pPr>
            <w:r w:rsidRPr="0082790A">
              <w:rPr>
                <w:rFonts w:ascii="Calibri" w:eastAsia="Times New Roman" w:hAnsi="Calibri" w:cs="Times New Roman"/>
                <w:color w:val="000000"/>
                <w:sz w:val="20"/>
                <w:szCs w:val="20"/>
              </w:rPr>
              <w:t>Heating System Replacement</w:t>
            </w:r>
            <w:r>
              <w:rPr>
                <w:rFonts w:ascii="Calibri" w:eastAsia="Times New Roman" w:hAnsi="Calibri" w:cs="Times New Roman"/>
                <w:color w:val="000000"/>
                <w:sz w:val="20"/>
                <w:szCs w:val="20"/>
              </w:rPr>
              <w:t>*</w:t>
            </w:r>
          </w:p>
        </w:tc>
        <w:tc>
          <w:tcPr>
            <w:tcW w:w="682" w:type="pct"/>
            <w:shd w:val="clear" w:color="auto" w:fill="auto"/>
            <w:vAlign w:val="center"/>
            <w:hideMark/>
          </w:tcPr>
          <w:p w:rsidR="00EC3275" w:rsidRPr="0082790A" w:rsidRDefault="00EC3275" w:rsidP="008C5363">
            <w:pPr>
              <w:spacing w:after="0"/>
              <w:jc w:val="right"/>
              <w:rPr>
                <w:rFonts w:ascii="Calibri" w:eastAsia="Times New Roman" w:hAnsi="Calibri" w:cs="Times New Roman"/>
                <w:color w:val="000000"/>
                <w:sz w:val="20"/>
                <w:szCs w:val="20"/>
              </w:rPr>
            </w:pPr>
            <w:r w:rsidRPr="0082790A">
              <w:rPr>
                <w:rFonts w:ascii="Calibri" w:eastAsia="Times New Roman" w:hAnsi="Calibri" w:cs="Times New Roman"/>
                <w:color w:val="000000"/>
                <w:sz w:val="20"/>
                <w:szCs w:val="20"/>
              </w:rPr>
              <w:t>15</w:t>
            </w:r>
          </w:p>
        </w:tc>
        <w:tc>
          <w:tcPr>
            <w:tcW w:w="777" w:type="pct"/>
            <w:shd w:val="clear" w:color="auto" w:fill="auto"/>
            <w:vAlign w:val="center"/>
          </w:tcPr>
          <w:p w:rsidR="00EC3275" w:rsidRPr="0082790A" w:rsidRDefault="00EC3275" w:rsidP="008C536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n/a</w:t>
            </w:r>
          </w:p>
        </w:tc>
        <w:tc>
          <w:tcPr>
            <w:tcW w:w="940" w:type="pct"/>
            <w:shd w:val="clear" w:color="auto" w:fill="auto"/>
            <w:vAlign w:val="center"/>
          </w:tcPr>
          <w:p w:rsidR="00EC3275" w:rsidRPr="0082790A" w:rsidRDefault="00CD12A2" w:rsidP="008C536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n/a</w:t>
            </w:r>
          </w:p>
        </w:tc>
        <w:tc>
          <w:tcPr>
            <w:tcW w:w="1184" w:type="pct"/>
            <w:vAlign w:val="center"/>
          </w:tcPr>
          <w:p w:rsidR="00EC3275" w:rsidRPr="00501F38" w:rsidRDefault="00EC3275" w:rsidP="008C5363">
            <w:pPr>
              <w:spacing w:after="0"/>
              <w:jc w:val="right"/>
              <w:rPr>
                <w:rFonts w:ascii="Calibri" w:eastAsia="Times New Roman" w:hAnsi="Calibri" w:cs="Times New Roman"/>
                <w:color w:val="000000"/>
                <w:sz w:val="20"/>
                <w:szCs w:val="20"/>
              </w:rPr>
            </w:pPr>
            <w:r w:rsidRPr="00501F38">
              <w:rPr>
                <w:rFonts w:ascii="Calibri" w:eastAsia="Times New Roman" w:hAnsi="Calibri" w:cs="Times New Roman"/>
                <w:color w:val="000000"/>
                <w:sz w:val="20"/>
                <w:szCs w:val="20"/>
              </w:rPr>
              <w:t>Engineering Algorithm</w:t>
            </w:r>
          </w:p>
        </w:tc>
      </w:tr>
      <w:tr w:rsidR="00EC3275" w:rsidRPr="0082790A" w:rsidTr="00CD12A2">
        <w:tc>
          <w:tcPr>
            <w:tcW w:w="1417" w:type="pct"/>
            <w:shd w:val="clear" w:color="auto" w:fill="auto"/>
            <w:vAlign w:val="center"/>
            <w:hideMark/>
          </w:tcPr>
          <w:p w:rsidR="00EC3275" w:rsidRPr="0082790A" w:rsidRDefault="00EC3275" w:rsidP="008C5363">
            <w:pPr>
              <w:spacing w:after="0"/>
              <w:rPr>
                <w:rFonts w:ascii="Calibri" w:eastAsia="Times New Roman" w:hAnsi="Calibri" w:cs="Times New Roman"/>
                <w:color w:val="000000"/>
                <w:sz w:val="20"/>
                <w:szCs w:val="20"/>
              </w:rPr>
            </w:pPr>
            <w:r w:rsidRPr="0082790A">
              <w:rPr>
                <w:rFonts w:ascii="Calibri" w:eastAsia="Times New Roman" w:hAnsi="Calibri" w:cs="Times New Roman"/>
                <w:color w:val="000000"/>
                <w:sz w:val="20"/>
                <w:szCs w:val="20"/>
              </w:rPr>
              <w:t>Central AC</w:t>
            </w:r>
          </w:p>
        </w:tc>
        <w:tc>
          <w:tcPr>
            <w:tcW w:w="682" w:type="pct"/>
            <w:shd w:val="clear" w:color="auto" w:fill="auto"/>
            <w:vAlign w:val="center"/>
            <w:hideMark/>
          </w:tcPr>
          <w:p w:rsidR="00EC3275" w:rsidRPr="0082790A" w:rsidRDefault="00EC3275" w:rsidP="008C5363">
            <w:pPr>
              <w:spacing w:after="0"/>
              <w:jc w:val="right"/>
              <w:rPr>
                <w:rFonts w:ascii="Calibri" w:eastAsia="Times New Roman" w:hAnsi="Calibri" w:cs="Times New Roman"/>
                <w:color w:val="000000"/>
                <w:sz w:val="20"/>
                <w:szCs w:val="20"/>
              </w:rPr>
            </w:pPr>
            <w:r w:rsidRPr="0082790A">
              <w:rPr>
                <w:rFonts w:ascii="Calibri" w:eastAsia="Times New Roman" w:hAnsi="Calibri" w:cs="Times New Roman"/>
                <w:color w:val="000000"/>
                <w:sz w:val="20"/>
                <w:szCs w:val="20"/>
              </w:rPr>
              <w:t>219</w:t>
            </w:r>
          </w:p>
        </w:tc>
        <w:tc>
          <w:tcPr>
            <w:tcW w:w="777" w:type="pct"/>
            <w:shd w:val="clear" w:color="auto" w:fill="auto"/>
            <w:vAlign w:val="center"/>
          </w:tcPr>
          <w:p w:rsidR="00EC3275" w:rsidRPr="0082790A" w:rsidRDefault="00EC3275" w:rsidP="008C536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2.7</w:t>
            </w:r>
          </w:p>
        </w:tc>
        <w:tc>
          <w:tcPr>
            <w:tcW w:w="940" w:type="pct"/>
            <w:shd w:val="clear" w:color="auto" w:fill="auto"/>
            <w:vAlign w:val="center"/>
          </w:tcPr>
          <w:p w:rsidR="00EC3275" w:rsidRPr="0082790A" w:rsidRDefault="00EC3275" w:rsidP="008C536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12.8 EER</w:t>
            </w:r>
          </w:p>
        </w:tc>
        <w:tc>
          <w:tcPr>
            <w:tcW w:w="1184" w:type="pct"/>
            <w:vAlign w:val="center"/>
          </w:tcPr>
          <w:p w:rsidR="00EC3275" w:rsidRPr="00501F38" w:rsidRDefault="00EC3275" w:rsidP="008C5363">
            <w:pPr>
              <w:spacing w:after="0"/>
              <w:jc w:val="right"/>
              <w:rPr>
                <w:rFonts w:ascii="Calibri" w:eastAsia="Times New Roman" w:hAnsi="Calibri" w:cs="Times New Roman"/>
                <w:color w:val="000000"/>
                <w:sz w:val="20"/>
                <w:szCs w:val="20"/>
              </w:rPr>
            </w:pPr>
            <w:r w:rsidRPr="00501F38">
              <w:rPr>
                <w:rFonts w:ascii="Calibri" w:eastAsia="Times New Roman" w:hAnsi="Calibri" w:cs="Times New Roman"/>
                <w:color w:val="000000"/>
                <w:sz w:val="20"/>
                <w:szCs w:val="20"/>
              </w:rPr>
              <w:t>Engineering Algorithm</w:t>
            </w:r>
          </w:p>
        </w:tc>
      </w:tr>
    </w:tbl>
    <w:p w:rsidR="0082790A" w:rsidRPr="008C5363" w:rsidRDefault="00905884" w:rsidP="00057483">
      <w:pPr>
        <w:spacing w:after="0" w:line="240" w:lineRule="auto"/>
        <w:ind w:left="90" w:hanging="90"/>
        <w:rPr>
          <w:sz w:val="20"/>
          <w:szCs w:val="20"/>
        </w:rPr>
      </w:pPr>
      <w:r w:rsidRPr="008C5363">
        <w:rPr>
          <w:sz w:val="20"/>
          <w:szCs w:val="20"/>
        </w:rPr>
        <w:t xml:space="preserve">*Corresponding electric savings primarily </w:t>
      </w:r>
      <w:r w:rsidR="00EC4163">
        <w:rPr>
          <w:sz w:val="20"/>
          <w:szCs w:val="20"/>
        </w:rPr>
        <w:t xml:space="preserve">are </w:t>
      </w:r>
      <w:r w:rsidRPr="008C5363">
        <w:rPr>
          <w:sz w:val="20"/>
          <w:szCs w:val="20"/>
        </w:rPr>
        <w:t>attributed to ECM fans</w:t>
      </w:r>
      <w:r w:rsidR="00EC4163">
        <w:rPr>
          <w:sz w:val="20"/>
          <w:szCs w:val="20"/>
        </w:rPr>
        <w:t>,</w:t>
      </w:r>
      <w:r w:rsidRPr="008C5363">
        <w:rPr>
          <w:sz w:val="20"/>
          <w:szCs w:val="20"/>
        </w:rPr>
        <w:t xml:space="preserve"> included as part of new fossil fuel heating systems. ECM fans sav</w:t>
      </w:r>
      <w:r w:rsidR="00EC4163">
        <w:rPr>
          <w:sz w:val="20"/>
          <w:szCs w:val="20"/>
        </w:rPr>
        <w:t>e</w:t>
      </w:r>
      <w:r w:rsidRPr="008C5363">
        <w:rPr>
          <w:sz w:val="20"/>
          <w:szCs w:val="20"/>
        </w:rPr>
        <w:t xml:space="preserve"> electricity over standard furnace fans when operating in </w:t>
      </w:r>
      <w:r w:rsidR="00EC4163">
        <w:rPr>
          <w:sz w:val="20"/>
          <w:szCs w:val="20"/>
        </w:rPr>
        <w:t xml:space="preserve">a </w:t>
      </w:r>
      <w:r w:rsidRPr="008C5363">
        <w:rPr>
          <w:sz w:val="20"/>
          <w:szCs w:val="20"/>
        </w:rPr>
        <w:t xml:space="preserve">circulation mode. As </w:t>
      </w:r>
      <w:r w:rsidR="00EC4163">
        <w:rPr>
          <w:sz w:val="20"/>
          <w:szCs w:val="20"/>
        </w:rPr>
        <w:t xml:space="preserve">the </w:t>
      </w:r>
      <w:r w:rsidRPr="008C5363">
        <w:rPr>
          <w:sz w:val="20"/>
          <w:szCs w:val="20"/>
        </w:rPr>
        <w:t>fan operat</w:t>
      </w:r>
      <w:r w:rsidR="00EC4163">
        <w:rPr>
          <w:sz w:val="20"/>
          <w:szCs w:val="20"/>
        </w:rPr>
        <w:t>es</w:t>
      </w:r>
      <w:r w:rsidRPr="008C5363">
        <w:rPr>
          <w:sz w:val="20"/>
          <w:szCs w:val="20"/>
        </w:rPr>
        <w:t xml:space="preserve"> more efficiently, </w:t>
      </w:r>
      <w:r w:rsidR="00EC4163">
        <w:rPr>
          <w:sz w:val="20"/>
          <w:szCs w:val="20"/>
        </w:rPr>
        <w:t xml:space="preserve">it produces </w:t>
      </w:r>
      <w:r w:rsidRPr="008C5363">
        <w:rPr>
          <w:sz w:val="20"/>
          <w:szCs w:val="20"/>
        </w:rPr>
        <w:t xml:space="preserve">less waste heat than a normal fan, resulting in a slight reduction </w:t>
      </w:r>
      <w:r w:rsidR="00EC4163">
        <w:rPr>
          <w:sz w:val="20"/>
          <w:szCs w:val="20"/>
        </w:rPr>
        <w:t xml:space="preserve">in </w:t>
      </w:r>
      <w:r w:rsidRPr="008C5363">
        <w:rPr>
          <w:sz w:val="20"/>
          <w:szCs w:val="20"/>
        </w:rPr>
        <w:t>electric savings realized by the fossil fuel system.</w:t>
      </w:r>
    </w:p>
    <w:p w:rsidR="008C5363" w:rsidRDefault="008C5363" w:rsidP="008C5363">
      <w:pPr>
        <w:pStyle w:val="NormalAfterTablesandFigures"/>
      </w:pPr>
    </w:p>
    <w:p w:rsidR="00501F38" w:rsidRDefault="00501F38" w:rsidP="00501F38">
      <w:r>
        <w:t xml:space="preserve">The Evaluation Team estimated impacts for ductless heat pumps through the billing analysis, </w:t>
      </w:r>
      <w:r w:rsidR="00EC4163">
        <w:t>as</w:t>
      </w:r>
      <w:r w:rsidR="00AE475E">
        <w:t xml:space="preserve"> this measure</w:t>
      </w:r>
      <w:r w:rsidR="003E3609">
        <w:t xml:space="preserve"> achieved a precision estimate </w:t>
      </w:r>
      <w:r w:rsidR="00E76F95">
        <w:t xml:space="preserve">within </w:t>
      </w:r>
      <w:r w:rsidR="003E3609">
        <w:t>the study threshold</w:t>
      </w:r>
      <w:r>
        <w:t xml:space="preserve">. </w:t>
      </w:r>
      <w:r w:rsidR="005C2163">
        <w:fldChar w:fldCharType="begin"/>
      </w:r>
      <w:r w:rsidR="00600ABD">
        <w:instrText xml:space="preserve"> REF _Ref388192164 \h </w:instrText>
      </w:r>
      <w:r w:rsidR="005C2163">
        <w:fldChar w:fldCharType="separate"/>
      </w:r>
      <w:r w:rsidR="00CD20CF">
        <w:t xml:space="preserve">Table </w:t>
      </w:r>
      <w:r w:rsidR="00CD20CF">
        <w:rPr>
          <w:noProof/>
        </w:rPr>
        <w:t>28</w:t>
      </w:r>
      <w:r w:rsidR="005C2163">
        <w:fldChar w:fldCharType="end"/>
      </w:r>
      <w:r w:rsidR="00600ABD">
        <w:t xml:space="preserve"> </w:t>
      </w:r>
      <w:r>
        <w:t xml:space="preserve">presents the corresponding billing analysis model results. </w:t>
      </w:r>
    </w:p>
    <w:p w:rsidR="00501F38" w:rsidRDefault="00501F38" w:rsidP="00501F38">
      <w:pPr>
        <w:pStyle w:val="Caption"/>
      </w:pPr>
      <w:bookmarkStart w:id="69" w:name="_Ref388192164"/>
      <w:r>
        <w:t xml:space="preserve">Table </w:t>
      </w:r>
      <w:r w:rsidR="002506E1">
        <w:fldChar w:fldCharType="begin"/>
      </w:r>
      <w:r w:rsidR="002506E1">
        <w:instrText xml:space="preserve"> SEQ Table \* ARABIC </w:instrText>
      </w:r>
      <w:r w:rsidR="002506E1">
        <w:fldChar w:fldCharType="separate"/>
      </w:r>
      <w:r w:rsidR="00CD20CF">
        <w:rPr>
          <w:noProof/>
        </w:rPr>
        <w:t>28</w:t>
      </w:r>
      <w:r w:rsidR="002506E1">
        <w:rPr>
          <w:noProof/>
        </w:rPr>
        <w:fldChar w:fldCharType="end"/>
      </w:r>
      <w:bookmarkEnd w:id="69"/>
      <w:r>
        <w:t xml:space="preserve">. </w:t>
      </w:r>
      <w:r w:rsidR="003E3DA0">
        <w:t xml:space="preserve">HES </w:t>
      </w:r>
      <w:r>
        <w:t xml:space="preserve">Billing Analysis </w:t>
      </w:r>
      <w:r w:rsidR="003E3DA0">
        <w:t xml:space="preserve">Electric </w:t>
      </w:r>
      <w:r>
        <w:t xml:space="preserve">Savings Results for Heat Pumps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120"/>
        <w:gridCol w:w="598"/>
        <w:gridCol w:w="1260"/>
        <w:gridCol w:w="1710"/>
        <w:gridCol w:w="2070"/>
        <w:gridCol w:w="1818"/>
      </w:tblGrid>
      <w:tr w:rsidR="00896031" w:rsidRPr="00896031" w:rsidTr="00057483">
        <w:tc>
          <w:tcPr>
            <w:tcW w:w="1107" w:type="pct"/>
            <w:shd w:val="clear" w:color="000000" w:fill="005DAA"/>
            <w:vAlign w:val="center"/>
            <w:hideMark/>
          </w:tcPr>
          <w:p w:rsidR="00896031" w:rsidRPr="00896031" w:rsidRDefault="00896031" w:rsidP="008C5363">
            <w:pPr>
              <w:spacing w:after="0"/>
              <w:jc w:val="center"/>
              <w:rPr>
                <w:rFonts w:ascii="Calibri" w:eastAsia="Times New Roman" w:hAnsi="Calibri" w:cs="Times New Roman"/>
                <w:b/>
                <w:bCs/>
                <w:color w:val="FFFFFF"/>
              </w:rPr>
            </w:pPr>
            <w:r w:rsidRPr="00896031">
              <w:rPr>
                <w:rFonts w:ascii="Calibri" w:eastAsia="Times New Roman" w:hAnsi="Calibri" w:cs="Times New Roman"/>
                <w:b/>
                <w:bCs/>
                <w:color w:val="FFFFFF"/>
              </w:rPr>
              <w:t>Measure</w:t>
            </w:r>
          </w:p>
        </w:tc>
        <w:tc>
          <w:tcPr>
            <w:tcW w:w="312" w:type="pct"/>
            <w:shd w:val="clear" w:color="000000" w:fill="005DAA"/>
            <w:vAlign w:val="center"/>
            <w:hideMark/>
          </w:tcPr>
          <w:p w:rsidR="00896031" w:rsidRPr="00896031" w:rsidRDefault="00896031" w:rsidP="008C5363">
            <w:pPr>
              <w:spacing w:after="0"/>
              <w:jc w:val="center"/>
              <w:rPr>
                <w:rFonts w:ascii="Calibri" w:eastAsia="Times New Roman" w:hAnsi="Calibri" w:cs="Times New Roman"/>
                <w:b/>
                <w:bCs/>
                <w:color w:val="FFFFFF"/>
              </w:rPr>
            </w:pPr>
            <w:r w:rsidRPr="00896031">
              <w:rPr>
                <w:rFonts w:ascii="Calibri" w:eastAsia="Times New Roman" w:hAnsi="Calibri" w:cs="Times New Roman"/>
                <w:b/>
                <w:bCs/>
                <w:color w:val="FFFFFF"/>
              </w:rPr>
              <w:t>n</w:t>
            </w:r>
          </w:p>
        </w:tc>
        <w:tc>
          <w:tcPr>
            <w:tcW w:w="658" w:type="pct"/>
            <w:shd w:val="clear" w:color="000000" w:fill="005DAA"/>
            <w:vAlign w:val="center"/>
            <w:hideMark/>
          </w:tcPr>
          <w:p w:rsidR="00896031" w:rsidRPr="00896031" w:rsidRDefault="00896031" w:rsidP="008C5363">
            <w:pPr>
              <w:spacing w:after="0"/>
              <w:jc w:val="center"/>
              <w:rPr>
                <w:rFonts w:ascii="Calibri" w:eastAsia="Times New Roman" w:hAnsi="Calibri" w:cs="Times New Roman"/>
                <w:b/>
                <w:bCs/>
                <w:color w:val="FFFFFF"/>
              </w:rPr>
            </w:pPr>
            <w:r w:rsidRPr="00896031">
              <w:rPr>
                <w:rFonts w:ascii="Calibri" w:eastAsia="Times New Roman" w:hAnsi="Calibri" w:cs="Times New Roman"/>
                <w:b/>
                <w:bCs/>
                <w:color w:val="FFFFFF"/>
              </w:rPr>
              <w:t>PRENAC</w:t>
            </w:r>
          </w:p>
        </w:tc>
        <w:tc>
          <w:tcPr>
            <w:tcW w:w="893" w:type="pct"/>
            <w:shd w:val="clear" w:color="000000" w:fill="005DAA"/>
            <w:vAlign w:val="center"/>
            <w:hideMark/>
          </w:tcPr>
          <w:p w:rsidR="00896031" w:rsidRPr="00896031" w:rsidRDefault="00896031" w:rsidP="008C5363">
            <w:pPr>
              <w:spacing w:after="0"/>
              <w:jc w:val="center"/>
              <w:rPr>
                <w:rFonts w:ascii="Calibri" w:eastAsia="Times New Roman" w:hAnsi="Calibri" w:cs="Times New Roman"/>
                <w:b/>
                <w:bCs/>
                <w:color w:val="FFFFFF"/>
              </w:rPr>
            </w:pPr>
            <w:r w:rsidRPr="00896031">
              <w:rPr>
                <w:rFonts w:ascii="Calibri" w:eastAsia="Times New Roman" w:hAnsi="Calibri" w:cs="Times New Roman"/>
                <w:b/>
                <w:bCs/>
                <w:color w:val="FFFFFF"/>
              </w:rPr>
              <w:t>Model Savings (kWh)</w:t>
            </w:r>
          </w:p>
        </w:tc>
        <w:tc>
          <w:tcPr>
            <w:tcW w:w="1081" w:type="pct"/>
            <w:shd w:val="clear" w:color="000000" w:fill="005DAA"/>
            <w:vAlign w:val="center"/>
            <w:hideMark/>
          </w:tcPr>
          <w:p w:rsidR="00896031" w:rsidRPr="00896031" w:rsidRDefault="00896031" w:rsidP="008C5363">
            <w:pPr>
              <w:spacing w:after="0"/>
              <w:jc w:val="center"/>
              <w:rPr>
                <w:rFonts w:ascii="Calibri" w:eastAsia="Times New Roman" w:hAnsi="Calibri" w:cs="Times New Roman"/>
                <w:b/>
                <w:bCs/>
                <w:color w:val="FFFFFF"/>
              </w:rPr>
            </w:pPr>
            <w:r w:rsidRPr="00896031">
              <w:rPr>
                <w:rFonts w:ascii="Calibri" w:eastAsia="Times New Roman" w:hAnsi="Calibri" w:cs="Times New Roman"/>
                <w:b/>
                <w:bCs/>
                <w:color w:val="FFFFFF"/>
              </w:rPr>
              <w:t>Savings as Percent of Pre-Usage</w:t>
            </w:r>
          </w:p>
        </w:tc>
        <w:tc>
          <w:tcPr>
            <w:tcW w:w="949" w:type="pct"/>
            <w:shd w:val="clear" w:color="000000" w:fill="005DAA"/>
            <w:vAlign w:val="center"/>
            <w:hideMark/>
          </w:tcPr>
          <w:p w:rsidR="00896031" w:rsidRPr="00896031" w:rsidRDefault="00896031" w:rsidP="008C5363">
            <w:pPr>
              <w:spacing w:after="0"/>
              <w:jc w:val="center"/>
              <w:rPr>
                <w:rFonts w:ascii="Calibri" w:eastAsia="Times New Roman" w:hAnsi="Calibri" w:cs="Times New Roman"/>
                <w:b/>
                <w:bCs/>
                <w:color w:val="FFFFFF"/>
              </w:rPr>
            </w:pPr>
            <w:r w:rsidRPr="00896031">
              <w:rPr>
                <w:rFonts w:ascii="Calibri" w:eastAsia="Times New Roman" w:hAnsi="Calibri" w:cs="Times New Roman"/>
                <w:b/>
                <w:bCs/>
                <w:color w:val="FFFFFF"/>
              </w:rPr>
              <w:t>Relative Precision at 90%</w:t>
            </w:r>
          </w:p>
        </w:tc>
      </w:tr>
      <w:tr w:rsidR="00896031" w:rsidRPr="00896031" w:rsidTr="00057483">
        <w:tc>
          <w:tcPr>
            <w:tcW w:w="1107" w:type="pct"/>
            <w:shd w:val="clear" w:color="auto" w:fill="auto"/>
            <w:vAlign w:val="center"/>
            <w:hideMark/>
          </w:tcPr>
          <w:p w:rsidR="00896031" w:rsidRPr="00896031" w:rsidRDefault="00896031" w:rsidP="008C5363">
            <w:pPr>
              <w:spacing w:after="0"/>
              <w:rPr>
                <w:rFonts w:ascii="Calibri" w:eastAsia="Times New Roman" w:hAnsi="Calibri" w:cs="Times New Roman"/>
                <w:color w:val="000000"/>
                <w:sz w:val="20"/>
                <w:szCs w:val="20"/>
              </w:rPr>
            </w:pPr>
            <w:r w:rsidRPr="00896031">
              <w:rPr>
                <w:rFonts w:ascii="Calibri" w:eastAsia="Times New Roman" w:hAnsi="Calibri" w:cs="Times New Roman"/>
                <w:color w:val="000000"/>
                <w:sz w:val="20"/>
                <w:szCs w:val="20"/>
              </w:rPr>
              <w:t>Ductless Heat Pump</w:t>
            </w:r>
          </w:p>
        </w:tc>
        <w:tc>
          <w:tcPr>
            <w:tcW w:w="312" w:type="pct"/>
            <w:shd w:val="clear" w:color="auto" w:fill="auto"/>
            <w:vAlign w:val="center"/>
            <w:hideMark/>
          </w:tcPr>
          <w:p w:rsidR="00896031" w:rsidRPr="00896031" w:rsidRDefault="00896031" w:rsidP="008C5363">
            <w:pPr>
              <w:spacing w:after="0"/>
              <w:jc w:val="right"/>
              <w:rPr>
                <w:rFonts w:ascii="Calibri" w:eastAsia="Times New Roman" w:hAnsi="Calibri" w:cs="Times New Roman"/>
                <w:color w:val="000000"/>
                <w:sz w:val="20"/>
                <w:szCs w:val="20"/>
              </w:rPr>
            </w:pPr>
            <w:r w:rsidRPr="00896031">
              <w:rPr>
                <w:rFonts w:ascii="Calibri" w:eastAsia="Times New Roman" w:hAnsi="Calibri" w:cs="Times New Roman"/>
                <w:color w:val="000000"/>
                <w:sz w:val="20"/>
                <w:szCs w:val="20"/>
              </w:rPr>
              <w:t>59</w:t>
            </w:r>
          </w:p>
        </w:tc>
        <w:tc>
          <w:tcPr>
            <w:tcW w:w="658" w:type="pct"/>
            <w:shd w:val="clear" w:color="auto" w:fill="auto"/>
            <w:vAlign w:val="center"/>
            <w:hideMark/>
          </w:tcPr>
          <w:p w:rsidR="00896031" w:rsidRPr="00896031" w:rsidRDefault="00896031" w:rsidP="008C5363">
            <w:pPr>
              <w:spacing w:after="0"/>
              <w:jc w:val="right"/>
              <w:rPr>
                <w:rFonts w:ascii="Calibri" w:eastAsia="Times New Roman" w:hAnsi="Calibri" w:cs="Times New Roman"/>
                <w:color w:val="000000"/>
                <w:sz w:val="20"/>
                <w:szCs w:val="20"/>
              </w:rPr>
            </w:pPr>
            <w:r w:rsidRPr="00896031">
              <w:rPr>
                <w:rFonts w:ascii="Calibri" w:eastAsia="Times New Roman" w:hAnsi="Calibri" w:cs="Times New Roman"/>
                <w:color w:val="000000"/>
                <w:sz w:val="20"/>
                <w:szCs w:val="20"/>
              </w:rPr>
              <w:t>15,051</w:t>
            </w:r>
          </w:p>
        </w:tc>
        <w:tc>
          <w:tcPr>
            <w:tcW w:w="893" w:type="pct"/>
            <w:shd w:val="clear" w:color="auto" w:fill="auto"/>
            <w:vAlign w:val="center"/>
          </w:tcPr>
          <w:p w:rsidR="00896031" w:rsidRPr="00896031" w:rsidRDefault="00AC6676" w:rsidP="008C536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1,311</w:t>
            </w:r>
          </w:p>
        </w:tc>
        <w:tc>
          <w:tcPr>
            <w:tcW w:w="1081" w:type="pct"/>
            <w:shd w:val="clear" w:color="auto" w:fill="auto"/>
            <w:vAlign w:val="center"/>
            <w:hideMark/>
          </w:tcPr>
          <w:p w:rsidR="00896031" w:rsidRPr="00896031" w:rsidRDefault="00896031" w:rsidP="008C5363">
            <w:pPr>
              <w:spacing w:after="0"/>
              <w:jc w:val="right"/>
              <w:rPr>
                <w:rFonts w:ascii="Calibri" w:eastAsia="Times New Roman" w:hAnsi="Calibri" w:cs="Times New Roman"/>
                <w:color w:val="000000"/>
                <w:sz w:val="20"/>
                <w:szCs w:val="20"/>
              </w:rPr>
            </w:pPr>
            <w:r w:rsidRPr="00896031">
              <w:rPr>
                <w:rFonts w:ascii="Calibri" w:eastAsia="Times New Roman" w:hAnsi="Calibri" w:cs="Times New Roman"/>
                <w:color w:val="000000"/>
                <w:sz w:val="20"/>
                <w:szCs w:val="20"/>
              </w:rPr>
              <w:t>9%</w:t>
            </w:r>
          </w:p>
        </w:tc>
        <w:tc>
          <w:tcPr>
            <w:tcW w:w="949" w:type="pct"/>
            <w:shd w:val="clear" w:color="auto" w:fill="auto"/>
            <w:vAlign w:val="center"/>
            <w:hideMark/>
          </w:tcPr>
          <w:p w:rsidR="00896031" w:rsidRPr="00896031" w:rsidRDefault="0021453A" w:rsidP="008C536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896031" w:rsidRPr="00896031">
              <w:rPr>
                <w:rFonts w:ascii="Calibri" w:eastAsia="Times New Roman" w:hAnsi="Calibri" w:cs="Times New Roman"/>
                <w:color w:val="000000"/>
                <w:sz w:val="20"/>
                <w:szCs w:val="20"/>
              </w:rPr>
              <w:t>35%</w:t>
            </w:r>
          </w:p>
        </w:tc>
      </w:tr>
    </w:tbl>
    <w:p w:rsidR="00501F38" w:rsidRDefault="00501F38" w:rsidP="008C5363">
      <w:pPr>
        <w:pStyle w:val="NormalAfterTablesandFigures"/>
      </w:pPr>
    </w:p>
    <w:p w:rsidR="00501F38" w:rsidRPr="000E6110" w:rsidRDefault="005C2163" w:rsidP="008C5363">
      <w:r>
        <w:fldChar w:fldCharType="begin"/>
      </w:r>
      <w:r w:rsidR="00600ABD">
        <w:instrText xml:space="preserve"> REF _Ref388192174 \h </w:instrText>
      </w:r>
      <w:r>
        <w:fldChar w:fldCharType="separate"/>
      </w:r>
      <w:r w:rsidR="00CD20CF">
        <w:t xml:space="preserve">Table </w:t>
      </w:r>
      <w:r w:rsidR="00CD20CF">
        <w:rPr>
          <w:noProof/>
        </w:rPr>
        <w:t>29</w:t>
      </w:r>
      <w:r>
        <w:fldChar w:fldCharType="end"/>
      </w:r>
      <w:r w:rsidR="00600ABD">
        <w:t xml:space="preserve"> </w:t>
      </w:r>
      <w:r w:rsidR="002F15A0">
        <w:t xml:space="preserve">provides realization rates, based on comparing evaluated savings to average </w:t>
      </w:r>
      <w:r w:rsidR="002F15A0" w:rsidRPr="004E7EA6">
        <w:rPr>
          <w:i/>
        </w:rPr>
        <w:t>ex ante</w:t>
      </w:r>
      <w:r w:rsidR="002F15A0">
        <w:t xml:space="preserve"> savings per household.</w:t>
      </w:r>
    </w:p>
    <w:p w:rsidR="0082790A" w:rsidRDefault="00501F38" w:rsidP="00674BB6">
      <w:pPr>
        <w:pStyle w:val="Caption"/>
      </w:pPr>
      <w:bookmarkStart w:id="70" w:name="_Ref388192174"/>
      <w:r>
        <w:lastRenderedPageBreak/>
        <w:t xml:space="preserve">Table </w:t>
      </w:r>
      <w:r w:rsidR="002506E1">
        <w:fldChar w:fldCharType="begin"/>
      </w:r>
      <w:r w:rsidR="002506E1">
        <w:instrText xml:space="preserve"> SEQ Table \* ARABIC </w:instrText>
      </w:r>
      <w:r w:rsidR="002506E1">
        <w:fldChar w:fldCharType="separate"/>
      </w:r>
      <w:r w:rsidR="00CD20CF">
        <w:rPr>
          <w:noProof/>
        </w:rPr>
        <w:t>29</w:t>
      </w:r>
      <w:r w:rsidR="002506E1">
        <w:rPr>
          <w:noProof/>
        </w:rPr>
        <w:fldChar w:fldCharType="end"/>
      </w:r>
      <w:bookmarkEnd w:id="70"/>
      <w:r>
        <w:t xml:space="preserve">. </w:t>
      </w:r>
      <w:r w:rsidR="003E3DA0">
        <w:t xml:space="preserve">HES </w:t>
      </w:r>
      <w:r>
        <w:t xml:space="preserve">Realization Rate Summary for </w:t>
      </w:r>
      <w:r w:rsidR="00600ABD">
        <w:t>HVAC Measures</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040"/>
        <w:gridCol w:w="2179"/>
        <w:gridCol w:w="2179"/>
        <w:gridCol w:w="2178"/>
      </w:tblGrid>
      <w:tr w:rsidR="0082790A" w:rsidRPr="0082790A" w:rsidTr="008C5363">
        <w:tc>
          <w:tcPr>
            <w:tcW w:w="1587" w:type="pct"/>
            <w:shd w:val="clear" w:color="000000" w:fill="005DAA"/>
            <w:vAlign w:val="center"/>
            <w:hideMark/>
          </w:tcPr>
          <w:p w:rsidR="0082790A" w:rsidRPr="0082790A" w:rsidRDefault="0082790A" w:rsidP="00674BB6">
            <w:pPr>
              <w:keepNext/>
              <w:keepLines/>
              <w:spacing w:after="0" w:line="240" w:lineRule="auto"/>
              <w:jc w:val="center"/>
              <w:rPr>
                <w:rFonts w:ascii="Calibri" w:eastAsia="Times New Roman" w:hAnsi="Calibri" w:cs="Times New Roman"/>
                <w:b/>
                <w:bCs/>
                <w:color w:val="FFFFFF"/>
              </w:rPr>
            </w:pPr>
            <w:r w:rsidRPr="0082790A">
              <w:rPr>
                <w:rFonts w:ascii="Calibri" w:eastAsia="Times New Roman" w:hAnsi="Calibri" w:cs="Times New Roman"/>
                <w:b/>
                <w:bCs/>
                <w:color w:val="FFFFFF"/>
              </w:rPr>
              <w:t>Measure</w:t>
            </w:r>
          </w:p>
        </w:tc>
        <w:tc>
          <w:tcPr>
            <w:tcW w:w="1138" w:type="pct"/>
            <w:shd w:val="clear" w:color="000000" w:fill="005DAA"/>
            <w:vAlign w:val="center"/>
            <w:hideMark/>
          </w:tcPr>
          <w:p w:rsidR="0082790A" w:rsidRPr="009024EA" w:rsidRDefault="00EC4163" w:rsidP="00674BB6">
            <w:pPr>
              <w:keepNext/>
              <w:keepLines/>
              <w:spacing w:after="0" w:line="240" w:lineRule="auto"/>
              <w:jc w:val="center"/>
              <w:rPr>
                <w:rFonts w:ascii="Calibri" w:eastAsia="Times New Roman" w:hAnsi="Calibri" w:cs="Times New Roman"/>
                <w:b/>
                <w:bCs/>
                <w:color w:val="FFFFFF"/>
              </w:rPr>
            </w:pPr>
            <w:r w:rsidRPr="009024EA">
              <w:rPr>
                <w:rFonts w:ascii="Calibri" w:eastAsia="Times New Roman" w:hAnsi="Calibri" w:cs="Times New Roman"/>
                <w:b/>
                <w:bCs/>
                <w:i/>
                <w:color w:val="FFFFFF"/>
              </w:rPr>
              <w:t>Ex Ante</w:t>
            </w:r>
            <w:r w:rsidR="0082790A" w:rsidRPr="009024EA">
              <w:rPr>
                <w:rFonts w:ascii="Calibri" w:eastAsia="Times New Roman" w:hAnsi="Calibri" w:cs="Times New Roman"/>
                <w:b/>
                <w:bCs/>
                <w:color w:val="FFFFFF"/>
              </w:rPr>
              <w:t xml:space="preserve"> Household Savings (kWh)</w:t>
            </w:r>
          </w:p>
        </w:tc>
        <w:tc>
          <w:tcPr>
            <w:tcW w:w="1138" w:type="pct"/>
            <w:shd w:val="clear" w:color="000000" w:fill="005DAA"/>
            <w:vAlign w:val="center"/>
            <w:hideMark/>
          </w:tcPr>
          <w:p w:rsidR="0082790A" w:rsidRPr="009024EA" w:rsidRDefault="001C3F4D" w:rsidP="00674BB6">
            <w:pPr>
              <w:keepNext/>
              <w:keepLines/>
              <w:spacing w:after="0" w:line="240" w:lineRule="auto"/>
              <w:jc w:val="center"/>
              <w:rPr>
                <w:rFonts w:ascii="Calibri" w:eastAsia="Times New Roman" w:hAnsi="Calibri" w:cs="Times New Roman"/>
                <w:b/>
                <w:bCs/>
                <w:color w:val="FFFFFF"/>
              </w:rPr>
            </w:pPr>
            <w:r w:rsidRPr="009024EA">
              <w:rPr>
                <w:rFonts w:ascii="Calibri" w:eastAsia="Times New Roman" w:hAnsi="Calibri" w:cs="Times New Roman"/>
                <w:b/>
                <w:bCs/>
                <w:color w:val="FFFFFF"/>
              </w:rPr>
              <w:t>Evaluated Gross</w:t>
            </w:r>
            <w:r w:rsidR="0082790A" w:rsidRPr="009024EA">
              <w:rPr>
                <w:rFonts w:ascii="Calibri" w:eastAsia="Times New Roman" w:hAnsi="Calibri" w:cs="Times New Roman"/>
                <w:b/>
                <w:bCs/>
                <w:color w:val="FFFFFF"/>
              </w:rPr>
              <w:t xml:space="preserve"> Household Savings (kWh)</w:t>
            </w:r>
          </w:p>
        </w:tc>
        <w:tc>
          <w:tcPr>
            <w:tcW w:w="1137" w:type="pct"/>
            <w:shd w:val="clear" w:color="000000" w:fill="005DAA"/>
            <w:vAlign w:val="center"/>
            <w:hideMark/>
          </w:tcPr>
          <w:p w:rsidR="0082790A" w:rsidRPr="009024EA" w:rsidRDefault="0082790A" w:rsidP="00674BB6">
            <w:pPr>
              <w:keepNext/>
              <w:keepLines/>
              <w:spacing w:after="0" w:line="240" w:lineRule="auto"/>
              <w:jc w:val="center"/>
              <w:rPr>
                <w:rFonts w:ascii="Calibri" w:eastAsia="Times New Roman" w:hAnsi="Calibri" w:cs="Times New Roman"/>
                <w:b/>
                <w:bCs/>
                <w:color w:val="FFFFFF"/>
              </w:rPr>
            </w:pPr>
            <w:r w:rsidRPr="009024EA">
              <w:rPr>
                <w:rFonts w:ascii="Calibri" w:eastAsia="Times New Roman" w:hAnsi="Calibri" w:cs="Times New Roman"/>
                <w:b/>
                <w:bCs/>
                <w:color w:val="FFFFFF"/>
              </w:rPr>
              <w:t>Realization Rate</w:t>
            </w:r>
          </w:p>
        </w:tc>
      </w:tr>
      <w:tr w:rsidR="00600ABD" w:rsidRPr="0082790A" w:rsidTr="008C5363">
        <w:tc>
          <w:tcPr>
            <w:tcW w:w="1587" w:type="pct"/>
            <w:shd w:val="clear" w:color="auto" w:fill="auto"/>
            <w:vAlign w:val="center"/>
            <w:hideMark/>
          </w:tcPr>
          <w:p w:rsidR="00600ABD" w:rsidRPr="0082790A" w:rsidRDefault="00600ABD" w:rsidP="00674BB6">
            <w:pPr>
              <w:keepNext/>
              <w:keepLines/>
              <w:spacing w:after="0" w:line="240" w:lineRule="auto"/>
              <w:rPr>
                <w:rFonts w:ascii="Calibri" w:eastAsia="Times New Roman" w:hAnsi="Calibri" w:cs="Times New Roman"/>
                <w:color w:val="000000"/>
                <w:sz w:val="20"/>
                <w:szCs w:val="20"/>
              </w:rPr>
            </w:pPr>
            <w:r w:rsidRPr="0082790A">
              <w:rPr>
                <w:rFonts w:ascii="Calibri" w:eastAsia="Times New Roman" w:hAnsi="Calibri" w:cs="Times New Roman"/>
                <w:color w:val="000000"/>
                <w:sz w:val="20"/>
                <w:szCs w:val="20"/>
              </w:rPr>
              <w:t>Heat Pump</w:t>
            </w:r>
          </w:p>
        </w:tc>
        <w:tc>
          <w:tcPr>
            <w:tcW w:w="1138" w:type="pct"/>
            <w:shd w:val="clear" w:color="auto" w:fill="auto"/>
            <w:vAlign w:val="center"/>
          </w:tcPr>
          <w:p w:rsidR="00600ABD" w:rsidRPr="009024EA" w:rsidRDefault="009024EA" w:rsidP="00674BB6">
            <w:pPr>
              <w:keepNext/>
              <w:keepLines/>
              <w:spacing w:after="0" w:line="240" w:lineRule="auto"/>
              <w:jc w:val="right"/>
              <w:rPr>
                <w:rFonts w:ascii="Calibri" w:eastAsia="Times New Roman" w:hAnsi="Calibri" w:cs="Times New Roman"/>
                <w:color w:val="000000"/>
                <w:sz w:val="20"/>
                <w:szCs w:val="20"/>
              </w:rPr>
            </w:pPr>
            <w:r w:rsidRPr="009024EA">
              <w:rPr>
                <w:rFonts w:ascii="Calibri" w:eastAsia="Times New Roman" w:hAnsi="Calibri" w:cs="Times New Roman"/>
                <w:color w:val="000000"/>
                <w:sz w:val="20"/>
                <w:szCs w:val="20"/>
              </w:rPr>
              <w:t>977</w:t>
            </w:r>
          </w:p>
        </w:tc>
        <w:tc>
          <w:tcPr>
            <w:tcW w:w="1138" w:type="pct"/>
            <w:shd w:val="clear" w:color="auto" w:fill="auto"/>
            <w:vAlign w:val="center"/>
          </w:tcPr>
          <w:p w:rsidR="00600ABD" w:rsidRPr="009024EA" w:rsidRDefault="009024EA" w:rsidP="00674BB6">
            <w:pPr>
              <w:keepNext/>
              <w:keepLines/>
              <w:spacing w:after="0" w:line="240" w:lineRule="auto"/>
              <w:jc w:val="right"/>
              <w:rPr>
                <w:rFonts w:ascii="Calibri" w:eastAsia="Times New Roman" w:hAnsi="Calibri" w:cs="Times New Roman"/>
                <w:color w:val="000000"/>
                <w:sz w:val="20"/>
                <w:szCs w:val="20"/>
              </w:rPr>
            </w:pPr>
            <w:r w:rsidRPr="009024EA">
              <w:rPr>
                <w:rFonts w:ascii="Calibri" w:eastAsia="Times New Roman" w:hAnsi="Calibri" w:cs="Times New Roman"/>
                <w:color w:val="000000"/>
                <w:sz w:val="20"/>
                <w:szCs w:val="20"/>
              </w:rPr>
              <w:t>758</w:t>
            </w:r>
          </w:p>
        </w:tc>
        <w:tc>
          <w:tcPr>
            <w:tcW w:w="1137" w:type="pct"/>
            <w:shd w:val="clear" w:color="auto" w:fill="auto"/>
            <w:vAlign w:val="center"/>
          </w:tcPr>
          <w:p w:rsidR="00600ABD" w:rsidRPr="009024EA" w:rsidRDefault="009024EA" w:rsidP="00674BB6">
            <w:pPr>
              <w:keepNext/>
              <w:keepLines/>
              <w:spacing w:after="0" w:line="240" w:lineRule="auto"/>
              <w:jc w:val="right"/>
              <w:rPr>
                <w:rFonts w:ascii="Calibri" w:eastAsia="Times New Roman" w:hAnsi="Calibri" w:cs="Times New Roman"/>
                <w:color w:val="000000"/>
                <w:sz w:val="20"/>
                <w:szCs w:val="20"/>
              </w:rPr>
            </w:pPr>
            <w:r w:rsidRPr="009024EA">
              <w:rPr>
                <w:rFonts w:ascii="Calibri" w:eastAsia="Times New Roman" w:hAnsi="Calibri" w:cs="Times New Roman"/>
                <w:color w:val="000000"/>
                <w:sz w:val="20"/>
                <w:szCs w:val="20"/>
              </w:rPr>
              <w:t>78</w:t>
            </w:r>
            <w:r w:rsidR="00635DCD" w:rsidRPr="009024EA">
              <w:rPr>
                <w:rFonts w:ascii="Calibri" w:eastAsia="Times New Roman" w:hAnsi="Calibri" w:cs="Times New Roman"/>
                <w:color w:val="000000"/>
                <w:sz w:val="20"/>
                <w:szCs w:val="20"/>
              </w:rPr>
              <w:t>%</w:t>
            </w:r>
          </w:p>
        </w:tc>
      </w:tr>
      <w:tr w:rsidR="00600ABD" w:rsidRPr="0082790A" w:rsidTr="008C5363">
        <w:tc>
          <w:tcPr>
            <w:tcW w:w="1587" w:type="pct"/>
            <w:shd w:val="clear" w:color="auto" w:fill="auto"/>
            <w:vAlign w:val="center"/>
            <w:hideMark/>
          </w:tcPr>
          <w:p w:rsidR="00600ABD" w:rsidRPr="0082790A" w:rsidRDefault="00635DCD" w:rsidP="00674BB6">
            <w:pPr>
              <w:keepNext/>
              <w:keepLines/>
              <w:spacing w:after="0" w:line="240" w:lineRule="auto"/>
              <w:rPr>
                <w:rFonts w:ascii="Calibri" w:eastAsia="Times New Roman" w:hAnsi="Calibri" w:cs="Times New Roman"/>
                <w:color w:val="000000"/>
                <w:sz w:val="20"/>
                <w:szCs w:val="20"/>
              </w:rPr>
            </w:pPr>
            <w:r w:rsidRPr="0082790A">
              <w:rPr>
                <w:rFonts w:ascii="Calibri" w:eastAsia="Times New Roman" w:hAnsi="Calibri" w:cs="Times New Roman"/>
                <w:color w:val="000000"/>
                <w:sz w:val="20"/>
                <w:szCs w:val="20"/>
              </w:rPr>
              <w:t xml:space="preserve">Ductless </w:t>
            </w:r>
            <w:r w:rsidR="00600ABD" w:rsidRPr="0082790A">
              <w:rPr>
                <w:rFonts w:ascii="Calibri" w:eastAsia="Times New Roman" w:hAnsi="Calibri" w:cs="Times New Roman"/>
                <w:color w:val="000000"/>
                <w:sz w:val="20"/>
                <w:szCs w:val="20"/>
              </w:rPr>
              <w:t>Heat Pump</w:t>
            </w:r>
            <w:r w:rsidR="00600ABD">
              <w:rPr>
                <w:rFonts w:ascii="Calibri" w:eastAsia="Times New Roman" w:hAnsi="Calibri" w:cs="Times New Roman"/>
                <w:color w:val="000000"/>
                <w:sz w:val="20"/>
                <w:szCs w:val="20"/>
              </w:rPr>
              <w:t>*</w:t>
            </w:r>
          </w:p>
        </w:tc>
        <w:tc>
          <w:tcPr>
            <w:tcW w:w="1138" w:type="pct"/>
            <w:shd w:val="clear" w:color="auto" w:fill="auto"/>
            <w:vAlign w:val="center"/>
          </w:tcPr>
          <w:p w:rsidR="00600ABD" w:rsidRPr="00600ABD" w:rsidRDefault="00635DCD" w:rsidP="00674BB6">
            <w:pPr>
              <w:keepNext/>
              <w:keepLines/>
              <w:spacing w:after="0" w:line="240"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2,844</w:t>
            </w:r>
          </w:p>
        </w:tc>
        <w:tc>
          <w:tcPr>
            <w:tcW w:w="1138" w:type="pct"/>
            <w:shd w:val="clear" w:color="auto" w:fill="auto"/>
            <w:vAlign w:val="center"/>
          </w:tcPr>
          <w:p w:rsidR="00600ABD" w:rsidRPr="00600ABD" w:rsidRDefault="00AC6676" w:rsidP="00674BB6">
            <w:pPr>
              <w:keepNext/>
              <w:keepLines/>
              <w:spacing w:after="0" w:line="240"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1,311</w:t>
            </w:r>
          </w:p>
        </w:tc>
        <w:tc>
          <w:tcPr>
            <w:tcW w:w="1137" w:type="pct"/>
            <w:shd w:val="clear" w:color="auto" w:fill="auto"/>
            <w:vAlign w:val="center"/>
          </w:tcPr>
          <w:p w:rsidR="00600ABD" w:rsidRPr="00600ABD" w:rsidRDefault="00AC6676" w:rsidP="00674BB6">
            <w:pPr>
              <w:keepNext/>
              <w:keepLines/>
              <w:spacing w:after="0" w:line="240"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46</w:t>
            </w:r>
            <w:r w:rsidR="00635DCD">
              <w:rPr>
                <w:rFonts w:ascii="Calibri" w:eastAsia="Times New Roman" w:hAnsi="Calibri" w:cs="Times New Roman"/>
                <w:color w:val="000000"/>
                <w:sz w:val="20"/>
                <w:szCs w:val="20"/>
              </w:rPr>
              <w:t>%</w:t>
            </w:r>
          </w:p>
        </w:tc>
      </w:tr>
      <w:tr w:rsidR="00635DCD" w:rsidRPr="0082790A" w:rsidTr="008C5363">
        <w:tc>
          <w:tcPr>
            <w:tcW w:w="1587" w:type="pct"/>
            <w:shd w:val="clear" w:color="auto" w:fill="auto"/>
            <w:vAlign w:val="center"/>
          </w:tcPr>
          <w:p w:rsidR="00635DCD" w:rsidRPr="0082790A" w:rsidRDefault="00635DCD" w:rsidP="00674BB6">
            <w:pPr>
              <w:keepNext/>
              <w:keepLines/>
              <w:spacing w:after="0" w:line="240" w:lineRule="auto"/>
              <w:rPr>
                <w:rFonts w:ascii="Calibri" w:eastAsia="Times New Roman" w:hAnsi="Calibri" w:cs="Times New Roman"/>
                <w:color w:val="000000"/>
                <w:sz w:val="20"/>
                <w:szCs w:val="20"/>
              </w:rPr>
            </w:pPr>
            <w:r w:rsidRPr="0082790A">
              <w:rPr>
                <w:rFonts w:ascii="Calibri" w:eastAsia="Times New Roman" w:hAnsi="Calibri" w:cs="Times New Roman"/>
                <w:color w:val="000000"/>
                <w:sz w:val="20"/>
                <w:szCs w:val="20"/>
              </w:rPr>
              <w:t>Geothermal Heat Pump</w:t>
            </w:r>
          </w:p>
        </w:tc>
        <w:tc>
          <w:tcPr>
            <w:tcW w:w="1138" w:type="pct"/>
            <w:shd w:val="clear" w:color="auto" w:fill="auto"/>
            <w:vAlign w:val="center"/>
          </w:tcPr>
          <w:p w:rsidR="00635DCD" w:rsidRPr="0082790A" w:rsidRDefault="00635DCD" w:rsidP="00674BB6">
            <w:pPr>
              <w:keepNext/>
              <w:keepLines/>
              <w:spacing w:after="0" w:line="240" w:lineRule="auto"/>
              <w:jc w:val="right"/>
              <w:rPr>
                <w:rFonts w:ascii="Calibri" w:eastAsia="Times New Roman" w:hAnsi="Calibri" w:cs="Times New Roman"/>
                <w:color w:val="000000"/>
                <w:sz w:val="20"/>
                <w:szCs w:val="20"/>
              </w:rPr>
            </w:pPr>
            <w:r w:rsidRPr="0082790A">
              <w:rPr>
                <w:rFonts w:ascii="Calibri" w:eastAsia="Times New Roman" w:hAnsi="Calibri" w:cs="Times New Roman"/>
                <w:color w:val="000000"/>
                <w:sz w:val="20"/>
                <w:szCs w:val="20"/>
              </w:rPr>
              <w:t>2,018</w:t>
            </w:r>
          </w:p>
        </w:tc>
        <w:tc>
          <w:tcPr>
            <w:tcW w:w="1138" w:type="pct"/>
            <w:shd w:val="clear" w:color="auto" w:fill="auto"/>
            <w:vAlign w:val="center"/>
          </w:tcPr>
          <w:p w:rsidR="00635DCD" w:rsidRPr="0082790A" w:rsidRDefault="00635DCD" w:rsidP="00674BB6">
            <w:pPr>
              <w:keepNext/>
              <w:keepLines/>
              <w:spacing w:after="0" w:line="240" w:lineRule="auto"/>
              <w:jc w:val="right"/>
              <w:rPr>
                <w:rFonts w:ascii="Calibri" w:eastAsia="Times New Roman" w:hAnsi="Calibri" w:cs="Times New Roman"/>
                <w:color w:val="000000"/>
                <w:sz w:val="20"/>
                <w:szCs w:val="20"/>
              </w:rPr>
            </w:pPr>
            <w:r w:rsidRPr="0082790A">
              <w:rPr>
                <w:rFonts w:ascii="Calibri" w:eastAsia="Times New Roman" w:hAnsi="Calibri" w:cs="Times New Roman"/>
                <w:color w:val="000000"/>
                <w:sz w:val="20"/>
                <w:szCs w:val="20"/>
              </w:rPr>
              <w:t>1,982</w:t>
            </w:r>
          </w:p>
        </w:tc>
        <w:tc>
          <w:tcPr>
            <w:tcW w:w="1137" w:type="pct"/>
            <w:shd w:val="clear" w:color="auto" w:fill="auto"/>
            <w:vAlign w:val="center"/>
          </w:tcPr>
          <w:p w:rsidR="00635DCD" w:rsidRPr="0082790A" w:rsidRDefault="00635DCD" w:rsidP="00674BB6">
            <w:pPr>
              <w:keepNext/>
              <w:keepLines/>
              <w:spacing w:after="0" w:line="240" w:lineRule="auto"/>
              <w:jc w:val="right"/>
              <w:rPr>
                <w:rFonts w:ascii="Calibri" w:eastAsia="Times New Roman" w:hAnsi="Calibri" w:cs="Times New Roman"/>
                <w:color w:val="000000"/>
                <w:sz w:val="20"/>
                <w:szCs w:val="20"/>
              </w:rPr>
            </w:pPr>
            <w:r w:rsidRPr="0082790A">
              <w:rPr>
                <w:rFonts w:ascii="Calibri" w:eastAsia="Times New Roman" w:hAnsi="Calibri" w:cs="Times New Roman"/>
                <w:color w:val="000000"/>
                <w:sz w:val="20"/>
                <w:szCs w:val="20"/>
              </w:rPr>
              <w:t>98%</w:t>
            </w:r>
          </w:p>
        </w:tc>
      </w:tr>
      <w:tr w:rsidR="00600ABD" w:rsidRPr="0082790A" w:rsidTr="008C5363">
        <w:tc>
          <w:tcPr>
            <w:tcW w:w="1587" w:type="pct"/>
            <w:shd w:val="clear" w:color="auto" w:fill="auto"/>
            <w:vAlign w:val="center"/>
            <w:hideMark/>
          </w:tcPr>
          <w:p w:rsidR="00600ABD" w:rsidRPr="0082790A" w:rsidRDefault="00600ABD" w:rsidP="00674BB6">
            <w:pPr>
              <w:keepNext/>
              <w:keepLines/>
              <w:spacing w:after="0" w:line="240" w:lineRule="auto"/>
              <w:rPr>
                <w:rFonts w:ascii="Calibri" w:eastAsia="Times New Roman" w:hAnsi="Calibri" w:cs="Times New Roman"/>
                <w:color w:val="000000"/>
                <w:sz w:val="20"/>
                <w:szCs w:val="20"/>
              </w:rPr>
            </w:pPr>
            <w:r w:rsidRPr="0082790A">
              <w:rPr>
                <w:rFonts w:ascii="Calibri" w:eastAsia="Times New Roman" w:hAnsi="Calibri" w:cs="Times New Roman"/>
                <w:color w:val="000000"/>
                <w:sz w:val="20"/>
                <w:szCs w:val="20"/>
              </w:rPr>
              <w:t>Heating System Replacement</w:t>
            </w:r>
          </w:p>
        </w:tc>
        <w:tc>
          <w:tcPr>
            <w:tcW w:w="1138" w:type="pct"/>
            <w:shd w:val="clear" w:color="auto" w:fill="auto"/>
            <w:vAlign w:val="center"/>
            <w:hideMark/>
          </w:tcPr>
          <w:p w:rsidR="00600ABD" w:rsidRPr="0082790A" w:rsidRDefault="00600ABD" w:rsidP="00674BB6">
            <w:pPr>
              <w:keepNext/>
              <w:keepLines/>
              <w:spacing w:after="0" w:line="240" w:lineRule="auto"/>
              <w:jc w:val="right"/>
              <w:rPr>
                <w:rFonts w:ascii="Calibri" w:eastAsia="Times New Roman" w:hAnsi="Calibri" w:cs="Times New Roman"/>
                <w:color w:val="000000"/>
                <w:sz w:val="20"/>
                <w:szCs w:val="20"/>
              </w:rPr>
            </w:pPr>
            <w:r w:rsidRPr="0082790A">
              <w:rPr>
                <w:rFonts w:ascii="Calibri" w:eastAsia="Times New Roman" w:hAnsi="Calibri" w:cs="Times New Roman"/>
                <w:color w:val="000000"/>
                <w:sz w:val="20"/>
                <w:szCs w:val="20"/>
              </w:rPr>
              <w:t>285</w:t>
            </w:r>
          </w:p>
        </w:tc>
        <w:tc>
          <w:tcPr>
            <w:tcW w:w="1138" w:type="pct"/>
            <w:shd w:val="clear" w:color="auto" w:fill="auto"/>
            <w:vAlign w:val="center"/>
            <w:hideMark/>
          </w:tcPr>
          <w:p w:rsidR="00600ABD" w:rsidRPr="0082790A" w:rsidRDefault="00600ABD" w:rsidP="00674BB6">
            <w:pPr>
              <w:keepNext/>
              <w:keepLines/>
              <w:spacing w:after="0" w:line="240" w:lineRule="auto"/>
              <w:jc w:val="right"/>
              <w:rPr>
                <w:rFonts w:ascii="Calibri" w:eastAsia="Times New Roman" w:hAnsi="Calibri" w:cs="Times New Roman"/>
                <w:color w:val="000000"/>
                <w:sz w:val="20"/>
                <w:szCs w:val="20"/>
              </w:rPr>
            </w:pPr>
            <w:r w:rsidRPr="0082790A">
              <w:rPr>
                <w:rFonts w:ascii="Calibri" w:eastAsia="Times New Roman" w:hAnsi="Calibri" w:cs="Times New Roman"/>
                <w:color w:val="000000"/>
                <w:sz w:val="20"/>
                <w:szCs w:val="20"/>
              </w:rPr>
              <w:t>380</w:t>
            </w:r>
          </w:p>
        </w:tc>
        <w:tc>
          <w:tcPr>
            <w:tcW w:w="1137" w:type="pct"/>
            <w:shd w:val="clear" w:color="auto" w:fill="auto"/>
            <w:vAlign w:val="center"/>
            <w:hideMark/>
          </w:tcPr>
          <w:p w:rsidR="00600ABD" w:rsidRPr="0082790A" w:rsidRDefault="00600ABD" w:rsidP="00674BB6">
            <w:pPr>
              <w:keepNext/>
              <w:keepLines/>
              <w:spacing w:after="0" w:line="240" w:lineRule="auto"/>
              <w:jc w:val="right"/>
              <w:rPr>
                <w:rFonts w:ascii="Calibri" w:eastAsia="Times New Roman" w:hAnsi="Calibri" w:cs="Times New Roman"/>
                <w:color w:val="000000"/>
                <w:sz w:val="20"/>
                <w:szCs w:val="20"/>
              </w:rPr>
            </w:pPr>
            <w:r w:rsidRPr="0082790A">
              <w:rPr>
                <w:rFonts w:ascii="Calibri" w:eastAsia="Times New Roman" w:hAnsi="Calibri" w:cs="Times New Roman"/>
                <w:color w:val="000000"/>
                <w:sz w:val="20"/>
                <w:szCs w:val="20"/>
              </w:rPr>
              <w:t>133%</w:t>
            </w:r>
          </w:p>
        </w:tc>
      </w:tr>
      <w:tr w:rsidR="00600ABD" w:rsidRPr="0082790A" w:rsidTr="008C5363">
        <w:tc>
          <w:tcPr>
            <w:tcW w:w="1587" w:type="pct"/>
            <w:shd w:val="clear" w:color="auto" w:fill="auto"/>
            <w:vAlign w:val="center"/>
            <w:hideMark/>
          </w:tcPr>
          <w:p w:rsidR="00600ABD" w:rsidRPr="0082790A" w:rsidRDefault="00600ABD" w:rsidP="00674BB6">
            <w:pPr>
              <w:keepNext/>
              <w:keepLines/>
              <w:spacing w:after="0" w:line="240" w:lineRule="auto"/>
              <w:rPr>
                <w:rFonts w:ascii="Calibri" w:eastAsia="Times New Roman" w:hAnsi="Calibri" w:cs="Times New Roman"/>
                <w:color w:val="000000"/>
                <w:sz w:val="20"/>
                <w:szCs w:val="20"/>
              </w:rPr>
            </w:pPr>
            <w:r w:rsidRPr="0082790A">
              <w:rPr>
                <w:rFonts w:ascii="Calibri" w:eastAsia="Times New Roman" w:hAnsi="Calibri" w:cs="Times New Roman"/>
                <w:color w:val="000000"/>
                <w:sz w:val="20"/>
                <w:szCs w:val="20"/>
              </w:rPr>
              <w:t>Central AC</w:t>
            </w:r>
          </w:p>
        </w:tc>
        <w:tc>
          <w:tcPr>
            <w:tcW w:w="1138" w:type="pct"/>
            <w:shd w:val="clear" w:color="auto" w:fill="auto"/>
            <w:vAlign w:val="center"/>
            <w:hideMark/>
          </w:tcPr>
          <w:p w:rsidR="00600ABD" w:rsidRPr="0082790A" w:rsidRDefault="00600ABD" w:rsidP="00674BB6">
            <w:pPr>
              <w:keepNext/>
              <w:keepLines/>
              <w:spacing w:after="0" w:line="240" w:lineRule="auto"/>
              <w:jc w:val="right"/>
              <w:rPr>
                <w:rFonts w:ascii="Calibri" w:eastAsia="Times New Roman" w:hAnsi="Calibri" w:cs="Times New Roman"/>
                <w:color w:val="000000"/>
                <w:sz w:val="20"/>
                <w:szCs w:val="20"/>
              </w:rPr>
            </w:pPr>
            <w:r w:rsidRPr="0082790A">
              <w:rPr>
                <w:rFonts w:ascii="Calibri" w:eastAsia="Times New Roman" w:hAnsi="Calibri" w:cs="Times New Roman"/>
                <w:color w:val="000000"/>
                <w:sz w:val="20"/>
                <w:szCs w:val="20"/>
              </w:rPr>
              <w:t>471</w:t>
            </w:r>
          </w:p>
        </w:tc>
        <w:tc>
          <w:tcPr>
            <w:tcW w:w="1138" w:type="pct"/>
            <w:shd w:val="clear" w:color="auto" w:fill="auto"/>
            <w:vAlign w:val="center"/>
            <w:hideMark/>
          </w:tcPr>
          <w:p w:rsidR="00600ABD" w:rsidRPr="0082790A" w:rsidRDefault="00600ABD" w:rsidP="00674BB6">
            <w:pPr>
              <w:keepNext/>
              <w:keepLines/>
              <w:spacing w:after="0" w:line="240" w:lineRule="auto"/>
              <w:jc w:val="right"/>
              <w:rPr>
                <w:rFonts w:ascii="Calibri" w:eastAsia="Times New Roman" w:hAnsi="Calibri" w:cs="Times New Roman"/>
                <w:color w:val="000000"/>
                <w:sz w:val="20"/>
                <w:szCs w:val="20"/>
              </w:rPr>
            </w:pPr>
            <w:r w:rsidRPr="0082790A">
              <w:rPr>
                <w:rFonts w:ascii="Calibri" w:eastAsia="Times New Roman" w:hAnsi="Calibri" w:cs="Times New Roman"/>
                <w:color w:val="000000"/>
                <w:sz w:val="20"/>
                <w:szCs w:val="20"/>
              </w:rPr>
              <w:t>386</w:t>
            </w:r>
          </w:p>
        </w:tc>
        <w:tc>
          <w:tcPr>
            <w:tcW w:w="1137" w:type="pct"/>
            <w:shd w:val="clear" w:color="auto" w:fill="auto"/>
            <w:vAlign w:val="center"/>
            <w:hideMark/>
          </w:tcPr>
          <w:p w:rsidR="00600ABD" w:rsidRPr="0082790A" w:rsidRDefault="00600ABD" w:rsidP="00674BB6">
            <w:pPr>
              <w:keepNext/>
              <w:keepLines/>
              <w:spacing w:after="0" w:line="240" w:lineRule="auto"/>
              <w:jc w:val="right"/>
              <w:rPr>
                <w:rFonts w:ascii="Calibri" w:eastAsia="Times New Roman" w:hAnsi="Calibri" w:cs="Times New Roman"/>
                <w:color w:val="000000"/>
                <w:sz w:val="20"/>
                <w:szCs w:val="20"/>
              </w:rPr>
            </w:pPr>
            <w:r w:rsidRPr="0082790A">
              <w:rPr>
                <w:rFonts w:ascii="Calibri" w:eastAsia="Times New Roman" w:hAnsi="Calibri" w:cs="Times New Roman"/>
                <w:color w:val="000000"/>
                <w:sz w:val="20"/>
                <w:szCs w:val="20"/>
              </w:rPr>
              <w:t>82%</w:t>
            </w:r>
          </w:p>
        </w:tc>
      </w:tr>
    </w:tbl>
    <w:p w:rsidR="00905884" w:rsidRPr="008C5363" w:rsidRDefault="00600ABD" w:rsidP="00141712">
      <w:pPr>
        <w:keepNext/>
        <w:keepLines/>
        <w:spacing w:after="0" w:line="240" w:lineRule="auto"/>
        <w:ind w:left="90" w:hanging="90"/>
        <w:rPr>
          <w:sz w:val="20"/>
          <w:szCs w:val="20"/>
        </w:rPr>
      </w:pPr>
      <w:r w:rsidRPr="008C5363">
        <w:rPr>
          <w:sz w:val="20"/>
          <w:szCs w:val="20"/>
        </w:rPr>
        <w:t>*These savings estimates were determined through billing analysis and based on the analysis sample. All other savings values were determined through engineering algorithms and based on the program population.</w:t>
      </w:r>
    </w:p>
    <w:p w:rsidR="008C5363" w:rsidRDefault="008C5363" w:rsidP="008C5363">
      <w:pPr>
        <w:pStyle w:val="NormalAfterTablesandFigures"/>
      </w:pPr>
    </w:p>
    <w:p w:rsidR="00337129" w:rsidRDefault="007C123A" w:rsidP="008C5363">
      <w:r>
        <w:t xml:space="preserve">For ductless </w:t>
      </w:r>
      <w:r w:rsidR="001C3F4D">
        <w:t xml:space="preserve">heat pump </w:t>
      </w:r>
      <w:r>
        <w:t xml:space="preserve">measures, the Evaluation Team performed an engineering review and comparison against a range of other sources (including evaluation studies and TRMs). </w:t>
      </w:r>
      <w:r w:rsidR="002506E1">
        <w:fldChar w:fldCharType="begin"/>
      </w:r>
      <w:r w:rsidR="002506E1">
        <w:instrText xml:space="preserve"> REF _Ref388169250 \h  \* MERGEFORMAT </w:instrText>
      </w:r>
      <w:r w:rsidR="002506E1">
        <w:fldChar w:fldCharType="separate"/>
      </w:r>
      <w:r w:rsidR="00CD20CF">
        <w:t>Appendix B. Engineering Algorithms</w:t>
      </w:r>
      <w:r w:rsidR="002506E1">
        <w:fldChar w:fldCharType="end"/>
      </w:r>
      <w:r w:rsidR="00EC4163">
        <w:t xml:space="preserve"> presents these detailed findings</w:t>
      </w:r>
      <w:r>
        <w:t>.</w:t>
      </w:r>
    </w:p>
    <w:p w:rsidR="00403D44" w:rsidRDefault="00403D44" w:rsidP="00403D44">
      <w:pPr>
        <w:rPr>
          <w:b/>
          <w:i/>
        </w:rPr>
      </w:pPr>
      <w:r>
        <w:t>primary factor driving the clothes washer realization rate was that evaluated savings used the lost opportunity savings calculation approach (assuming a standard baseline) as opposed to calculating savings based on early retirement (assuming an existing baseline).</w:t>
      </w:r>
    </w:p>
    <w:p w:rsidR="00274D93" w:rsidRDefault="00274D93" w:rsidP="00274D93">
      <w:r>
        <w:t xml:space="preserve">The primary driver of realizations for central AC and heat pump installations resulted from evaluated savings </w:t>
      </w:r>
      <w:r w:rsidR="00027A6F">
        <w:t xml:space="preserve">using </w:t>
      </w:r>
      <w:r>
        <w:t>the lost opportunity calculation approach (assuming a standard baseline), rather than calculating savings based on early retirement (assuming an existing baseline). While the HES program authorizes an option for contractors to offer increased incentives for encouraging early retirement of existing units, the program tracking data did not clear</w:t>
      </w:r>
      <w:r w:rsidR="00027A6F">
        <w:t>ly</w:t>
      </w:r>
      <w:r>
        <w:t xml:space="preserve"> differentiat</w:t>
      </w:r>
      <w:r w:rsidR="00027A6F">
        <w:t>e</w:t>
      </w:r>
      <w:r>
        <w:t xml:space="preserve"> between units that were lost </w:t>
      </w:r>
      <w:r w:rsidR="00027A6F">
        <w:t>opportunities</w:t>
      </w:r>
      <w:r>
        <w:t xml:space="preserve"> and those that were early retirement</w:t>
      </w:r>
      <w:r w:rsidR="00027A6F">
        <w:t>s</w:t>
      </w:r>
      <w:r>
        <w:t xml:space="preserve">. </w:t>
      </w:r>
    </w:p>
    <w:p w:rsidR="00CF1790" w:rsidRDefault="00BC7F26" w:rsidP="008C5363">
      <w:r>
        <w:t>T</w:t>
      </w:r>
      <w:r w:rsidR="00CF1790">
        <w:t xml:space="preserve">he primary driver of realizations </w:t>
      </w:r>
      <w:r>
        <w:t xml:space="preserve">for electric savings attributed to heating system replacements </w:t>
      </w:r>
      <w:r w:rsidR="00EC4163">
        <w:t xml:space="preserve">resulted from </w:t>
      </w:r>
      <w:r w:rsidR="00CF1790">
        <w:t>the change in algorithm</w:t>
      </w:r>
      <w:r w:rsidR="00EC4163">
        <w:t>s</w:t>
      </w:r>
      <w:r w:rsidR="00CF1790">
        <w:t xml:space="preserve"> from the 2011 PSD to the 2013 PSD.</w:t>
      </w:r>
      <w:r w:rsidR="00DE1457">
        <w:t xml:space="preserve"> </w:t>
      </w:r>
      <w:r w:rsidR="00CF1790">
        <w:t xml:space="preserve">In 2011, claimed savings of 285 kWh </w:t>
      </w:r>
      <w:r w:rsidR="00EC4163">
        <w:t>were</w:t>
      </w:r>
      <w:r w:rsidR="00CF1790">
        <w:t xml:space="preserve"> used, </w:t>
      </w:r>
      <w:r w:rsidR="00EC4163">
        <w:t xml:space="preserve">while </w:t>
      </w:r>
      <w:r w:rsidR="00CF1790">
        <w:t xml:space="preserve">in 2013 claimed savings of 293 kWh </w:t>
      </w:r>
      <w:r w:rsidR="00EC4163">
        <w:t>were</w:t>
      </w:r>
      <w:r w:rsidR="00CF1790">
        <w:t xml:space="preserve"> used for heating</w:t>
      </w:r>
      <w:r w:rsidR="00EC4163">
        <w:t xml:space="preserve">, with </w:t>
      </w:r>
      <w:r w:rsidR="00CF1790">
        <w:t>additional claimed savings of 92 kWh used for homes with central air conditioning.</w:t>
      </w:r>
      <w:r w:rsidR="00DE1457">
        <w:t xml:space="preserve"> </w:t>
      </w:r>
      <w:r w:rsidR="00CF1790">
        <w:t xml:space="preserve">A large majority of homes had </w:t>
      </w:r>
      <w:r w:rsidR="00BC1A23">
        <w:t xml:space="preserve">existing </w:t>
      </w:r>
      <w:r w:rsidR="00CF1790">
        <w:t xml:space="preserve">central air conditioners (93.3%), which </w:t>
      </w:r>
      <w:r w:rsidR="00E64475">
        <w:t>resulted in increased electric savings and reflected a higher realization rate using this updated approach.</w:t>
      </w:r>
    </w:p>
    <w:p w:rsidR="00B15EA5" w:rsidRPr="009B6DD3" w:rsidRDefault="00BC7F26" w:rsidP="008C5363">
      <w:r>
        <w:t>T</w:t>
      </w:r>
      <w:r w:rsidR="00CF1790">
        <w:t xml:space="preserve">he primary driver of realizations </w:t>
      </w:r>
      <w:r>
        <w:t xml:space="preserve">for geothermal heat pump installations resulted </w:t>
      </w:r>
      <w:r w:rsidR="00EC4163">
        <w:t xml:space="preserve">from </w:t>
      </w:r>
      <w:r w:rsidR="00CF1790">
        <w:t>the 2011 and 2013 PSDs using the same algorithms, with a very slight change</w:t>
      </w:r>
      <w:r w:rsidR="00EC4163">
        <w:t>s</w:t>
      </w:r>
      <w:r w:rsidR="00CF1790">
        <w:t xml:space="preserve"> in inputs between the two years.</w:t>
      </w:r>
      <w:r w:rsidR="00DE1457">
        <w:t xml:space="preserve"> </w:t>
      </w:r>
      <w:r w:rsidR="00CF1790">
        <w:t xml:space="preserve">Though both PSD algorithms </w:t>
      </w:r>
      <w:r w:rsidR="00EC4163">
        <w:t>were</w:t>
      </w:r>
      <w:r w:rsidR="00CF1790">
        <w:t xml:space="preserve"> based on the same source, the 2013 PSD cites a value of 17.2 EER</w:t>
      </w:r>
      <w:r w:rsidR="005E0893">
        <w:t>, while</w:t>
      </w:r>
      <w:r w:rsidR="00CF1790">
        <w:t xml:space="preserve"> the 2011 PSD cites a value of 17.1 EER.</w:t>
      </w:r>
      <w:r w:rsidR="00DE1457">
        <w:t xml:space="preserve"> </w:t>
      </w:r>
      <w:r w:rsidR="00CF1790">
        <w:t xml:space="preserve">These EER values </w:t>
      </w:r>
      <w:r w:rsidR="00141712">
        <w:t>were</w:t>
      </w:r>
      <w:r w:rsidR="00CF1790">
        <w:t xml:space="preserve"> used to normalize savings determined through the study to account for the efficiency of units installed through the CT program.</w:t>
      </w:r>
      <w:r w:rsidR="00DE1457">
        <w:t xml:space="preserve"> </w:t>
      </w:r>
      <w:r w:rsidR="005E0893">
        <w:t xml:space="preserve">As </w:t>
      </w:r>
      <w:r w:rsidR="00CF1790">
        <w:t>the 2013 PSD use</w:t>
      </w:r>
      <w:r w:rsidR="00141712">
        <w:t>d</w:t>
      </w:r>
      <w:r w:rsidR="00CF1790">
        <w:t xml:space="preserve"> a higher</w:t>
      </w:r>
      <w:r w:rsidR="005E0893">
        <w:t>-</w:t>
      </w:r>
      <w:r w:rsidR="00CF1790">
        <w:t xml:space="preserve">efficiency value for normalization, savings realized using the 2013 algorithm and inputs </w:t>
      </w:r>
      <w:r w:rsidR="005E0893">
        <w:t>were</w:t>
      </w:r>
      <w:r w:rsidR="00CF1790">
        <w:t xml:space="preserve"> lower than savings realized using the 2011 algorithm and inputs.</w:t>
      </w:r>
      <w:r w:rsidR="00DE1457">
        <w:t xml:space="preserve"> </w:t>
      </w:r>
    </w:p>
    <w:p w:rsidR="00D3164D" w:rsidRDefault="00D3164D" w:rsidP="008C5363">
      <w:pPr>
        <w:pStyle w:val="Heading4"/>
      </w:pPr>
      <w:r>
        <w:lastRenderedPageBreak/>
        <w:t>Appliances</w:t>
      </w:r>
    </w:p>
    <w:p w:rsidR="005A755E" w:rsidRDefault="005A755E" w:rsidP="008C5363">
      <w:r>
        <w:t xml:space="preserve">The Evaluation Team used engineering algorithms to estimate savings for appliances measures, including replacements of refrigerators, freezers, clothes washers, and dehumidifiers. Savings calculations were based on a combination of utility tracking data, the 2013 PSD, and other researched assumptions. </w:t>
      </w:r>
      <w:r w:rsidR="002506E1">
        <w:fldChar w:fldCharType="begin"/>
      </w:r>
      <w:r w:rsidR="002506E1">
        <w:instrText xml:space="preserve"> REF _Ref388195746 \h  \* MERGEFORMA</w:instrText>
      </w:r>
      <w:r w:rsidR="002506E1">
        <w:instrText xml:space="preserve">T </w:instrText>
      </w:r>
      <w:r w:rsidR="002506E1">
        <w:fldChar w:fldCharType="separate"/>
      </w:r>
      <w:r w:rsidR="00CD20CF">
        <w:t xml:space="preserve">Table </w:t>
      </w:r>
      <w:r w:rsidR="00CD20CF">
        <w:rPr>
          <w:noProof/>
        </w:rPr>
        <w:t>30</w:t>
      </w:r>
      <w:r w:rsidR="002506E1">
        <w:fldChar w:fldCharType="end"/>
      </w:r>
      <w:r w:rsidR="00703451">
        <w:t xml:space="preserve"> provides the distribution of participants, average </w:t>
      </w:r>
      <w:r w:rsidR="00703451" w:rsidRPr="00CF5867">
        <w:rPr>
          <w:i/>
        </w:rPr>
        <w:t>ex ante</w:t>
      </w:r>
      <w:r w:rsidR="00703451">
        <w:t xml:space="preserve"> and evaluated savings, and </w:t>
      </w:r>
      <w:r w:rsidR="005E0893">
        <w:t xml:space="preserve">a </w:t>
      </w:r>
      <w:r w:rsidR="00703451">
        <w:t>realization for HES appliance measures.</w:t>
      </w:r>
    </w:p>
    <w:p w:rsidR="00A53F92" w:rsidRDefault="00A53F92" w:rsidP="00AC6676">
      <w:pPr>
        <w:pStyle w:val="Caption"/>
      </w:pPr>
      <w:bookmarkStart w:id="71" w:name="_Ref388195746"/>
      <w:r>
        <w:t xml:space="preserve">Table </w:t>
      </w:r>
      <w:r w:rsidR="002506E1">
        <w:fldChar w:fldCharType="begin"/>
      </w:r>
      <w:r w:rsidR="002506E1">
        <w:instrText xml:space="preserve"> SEQ Table \* ARABIC </w:instrText>
      </w:r>
      <w:r w:rsidR="002506E1">
        <w:fldChar w:fldCharType="separate"/>
      </w:r>
      <w:r w:rsidR="00CD20CF">
        <w:rPr>
          <w:noProof/>
        </w:rPr>
        <w:t>30</w:t>
      </w:r>
      <w:r w:rsidR="002506E1">
        <w:rPr>
          <w:noProof/>
        </w:rPr>
        <w:fldChar w:fldCharType="end"/>
      </w:r>
      <w:bookmarkEnd w:id="71"/>
      <w:r>
        <w:t xml:space="preserve">. </w:t>
      </w:r>
      <w:r w:rsidR="003E3DA0">
        <w:t xml:space="preserve">HES Electric Appliance Measure Distribution and Evaluated Savings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28"/>
        <w:gridCol w:w="1350"/>
        <w:gridCol w:w="2430"/>
        <w:gridCol w:w="2559"/>
        <w:gridCol w:w="1509"/>
      </w:tblGrid>
      <w:tr w:rsidR="00703451" w:rsidRPr="00A53F92" w:rsidTr="003F10CF">
        <w:tc>
          <w:tcPr>
            <w:tcW w:w="902" w:type="pct"/>
            <w:shd w:val="clear" w:color="000000" w:fill="005DAA"/>
            <w:vAlign w:val="center"/>
            <w:hideMark/>
          </w:tcPr>
          <w:p w:rsidR="00703451" w:rsidRPr="00A53F92" w:rsidRDefault="00703451" w:rsidP="001D5EAA">
            <w:pPr>
              <w:keepLines/>
              <w:spacing w:after="0"/>
              <w:jc w:val="center"/>
              <w:rPr>
                <w:rFonts w:ascii="Calibri" w:eastAsia="Times New Roman" w:hAnsi="Calibri" w:cs="Times New Roman"/>
                <w:b/>
                <w:bCs/>
                <w:color w:val="FFFFFF"/>
              </w:rPr>
            </w:pPr>
            <w:r w:rsidRPr="00A53F92">
              <w:rPr>
                <w:rFonts w:ascii="Calibri" w:eastAsia="Times New Roman" w:hAnsi="Calibri" w:cs="Times New Roman"/>
                <w:b/>
                <w:bCs/>
                <w:color w:val="FFFFFF"/>
              </w:rPr>
              <w:t>Measure</w:t>
            </w:r>
          </w:p>
        </w:tc>
        <w:tc>
          <w:tcPr>
            <w:tcW w:w="705" w:type="pct"/>
            <w:shd w:val="clear" w:color="000000" w:fill="005DAA"/>
            <w:vAlign w:val="center"/>
            <w:hideMark/>
          </w:tcPr>
          <w:p w:rsidR="00703451" w:rsidRPr="00A53F92" w:rsidRDefault="00703451" w:rsidP="001D5EAA">
            <w:pPr>
              <w:keepLines/>
              <w:spacing w:after="0"/>
              <w:jc w:val="center"/>
              <w:rPr>
                <w:rFonts w:ascii="Calibri" w:eastAsia="Times New Roman" w:hAnsi="Calibri" w:cs="Times New Roman"/>
                <w:b/>
                <w:bCs/>
                <w:color w:val="FFFFFF"/>
              </w:rPr>
            </w:pPr>
            <w:r w:rsidRPr="00A53F92">
              <w:rPr>
                <w:rFonts w:ascii="Calibri" w:eastAsia="Times New Roman" w:hAnsi="Calibri" w:cs="Times New Roman"/>
                <w:b/>
                <w:bCs/>
                <w:color w:val="FFFFFF"/>
              </w:rPr>
              <w:t>Total Participants</w:t>
            </w:r>
          </w:p>
        </w:tc>
        <w:tc>
          <w:tcPr>
            <w:tcW w:w="1269" w:type="pct"/>
            <w:shd w:val="clear" w:color="000000" w:fill="005DAA"/>
            <w:vAlign w:val="center"/>
            <w:hideMark/>
          </w:tcPr>
          <w:p w:rsidR="00703451" w:rsidRPr="001C3F4D" w:rsidRDefault="00EC4163" w:rsidP="001D5EAA">
            <w:pPr>
              <w:keepLines/>
              <w:spacing w:after="0"/>
              <w:jc w:val="center"/>
              <w:rPr>
                <w:rFonts w:ascii="Calibri" w:eastAsia="Times New Roman" w:hAnsi="Calibri" w:cs="Times New Roman"/>
                <w:b/>
                <w:bCs/>
                <w:color w:val="FFFFFF"/>
              </w:rPr>
            </w:pPr>
            <w:r w:rsidRPr="001C3F4D">
              <w:rPr>
                <w:rFonts w:ascii="Calibri" w:eastAsia="Times New Roman" w:hAnsi="Calibri" w:cs="Times New Roman"/>
                <w:b/>
                <w:bCs/>
                <w:i/>
                <w:color w:val="FFFFFF"/>
              </w:rPr>
              <w:t>Ex Ante</w:t>
            </w:r>
            <w:r w:rsidR="00703451" w:rsidRPr="001C3F4D">
              <w:rPr>
                <w:rFonts w:ascii="Calibri" w:eastAsia="Times New Roman" w:hAnsi="Calibri" w:cs="Times New Roman"/>
                <w:b/>
                <w:bCs/>
                <w:color w:val="FFFFFF"/>
              </w:rPr>
              <w:t xml:space="preserve"> Household Savings (kWh)</w:t>
            </w:r>
          </w:p>
        </w:tc>
        <w:tc>
          <w:tcPr>
            <w:tcW w:w="1336" w:type="pct"/>
            <w:shd w:val="clear" w:color="000000" w:fill="005DAA"/>
            <w:vAlign w:val="center"/>
            <w:hideMark/>
          </w:tcPr>
          <w:p w:rsidR="00703451" w:rsidRPr="001C3F4D" w:rsidRDefault="001C3F4D" w:rsidP="001D5EAA">
            <w:pPr>
              <w:keepLines/>
              <w:spacing w:after="0"/>
              <w:jc w:val="center"/>
              <w:rPr>
                <w:rFonts w:ascii="Calibri" w:eastAsia="Times New Roman" w:hAnsi="Calibri" w:cs="Times New Roman"/>
                <w:b/>
                <w:bCs/>
                <w:color w:val="FFFFFF"/>
              </w:rPr>
            </w:pPr>
            <w:r w:rsidRPr="001C3F4D">
              <w:rPr>
                <w:rFonts w:ascii="Calibri" w:eastAsia="Times New Roman" w:hAnsi="Calibri" w:cs="Times New Roman"/>
                <w:b/>
                <w:bCs/>
                <w:color w:val="FFFFFF"/>
              </w:rPr>
              <w:t>Evaluated Gross</w:t>
            </w:r>
            <w:r w:rsidR="00703451" w:rsidRPr="001C3F4D">
              <w:rPr>
                <w:rFonts w:ascii="Calibri" w:eastAsia="Times New Roman" w:hAnsi="Calibri" w:cs="Times New Roman"/>
                <w:b/>
                <w:bCs/>
                <w:color w:val="FFFFFF"/>
              </w:rPr>
              <w:t xml:space="preserve"> Household Savings (kWh)</w:t>
            </w:r>
          </w:p>
        </w:tc>
        <w:tc>
          <w:tcPr>
            <w:tcW w:w="788" w:type="pct"/>
            <w:shd w:val="clear" w:color="000000" w:fill="005DAA"/>
            <w:vAlign w:val="center"/>
            <w:hideMark/>
          </w:tcPr>
          <w:p w:rsidR="00703451" w:rsidRPr="00A53F92" w:rsidRDefault="00703451" w:rsidP="001D5EAA">
            <w:pPr>
              <w:keepLines/>
              <w:spacing w:after="0"/>
              <w:jc w:val="center"/>
              <w:rPr>
                <w:rFonts w:ascii="Calibri" w:eastAsia="Times New Roman" w:hAnsi="Calibri" w:cs="Times New Roman"/>
                <w:b/>
                <w:bCs/>
                <w:color w:val="FFFFFF"/>
              </w:rPr>
            </w:pPr>
            <w:r w:rsidRPr="00A53F92">
              <w:rPr>
                <w:rFonts w:ascii="Calibri" w:eastAsia="Times New Roman" w:hAnsi="Calibri" w:cs="Times New Roman"/>
                <w:b/>
                <w:bCs/>
                <w:color w:val="FFFFFF"/>
              </w:rPr>
              <w:t>Realization Rate</w:t>
            </w:r>
          </w:p>
        </w:tc>
      </w:tr>
      <w:tr w:rsidR="00703451" w:rsidRPr="00A53F92" w:rsidTr="003F10CF">
        <w:tc>
          <w:tcPr>
            <w:tcW w:w="902" w:type="pct"/>
            <w:shd w:val="clear" w:color="auto" w:fill="auto"/>
            <w:vAlign w:val="center"/>
            <w:hideMark/>
          </w:tcPr>
          <w:p w:rsidR="00703451" w:rsidRPr="00A53F92" w:rsidRDefault="00703451" w:rsidP="001D5EAA">
            <w:pPr>
              <w:keepLines/>
              <w:spacing w:after="0"/>
              <w:rPr>
                <w:rFonts w:ascii="Calibri" w:eastAsia="Times New Roman" w:hAnsi="Calibri" w:cs="Times New Roman"/>
                <w:color w:val="000000"/>
                <w:sz w:val="20"/>
                <w:szCs w:val="20"/>
              </w:rPr>
            </w:pPr>
            <w:r w:rsidRPr="00A53F92">
              <w:rPr>
                <w:rFonts w:ascii="Calibri" w:eastAsia="Times New Roman" w:hAnsi="Calibri" w:cs="Times New Roman"/>
                <w:color w:val="000000"/>
                <w:sz w:val="20"/>
                <w:szCs w:val="20"/>
              </w:rPr>
              <w:t>Refrigerator</w:t>
            </w:r>
          </w:p>
        </w:tc>
        <w:tc>
          <w:tcPr>
            <w:tcW w:w="705" w:type="pct"/>
            <w:shd w:val="clear" w:color="auto" w:fill="auto"/>
            <w:vAlign w:val="center"/>
            <w:hideMark/>
          </w:tcPr>
          <w:p w:rsidR="00703451" w:rsidRPr="00A53F92" w:rsidRDefault="00703451" w:rsidP="001D5EAA">
            <w:pPr>
              <w:keepLines/>
              <w:spacing w:after="0"/>
              <w:jc w:val="right"/>
              <w:rPr>
                <w:rFonts w:ascii="Calibri" w:eastAsia="Times New Roman" w:hAnsi="Calibri" w:cs="Times New Roman"/>
                <w:color w:val="000000"/>
                <w:sz w:val="20"/>
                <w:szCs w:val="20"/>
              </w:rPr>
            </w:pPr>
            <w:r w:rsidRPr="00A53F92">
              <w:rPr>
                <w:rFonts w:ascii="Calibri" w:eastAsia="Times New Roman" w:hAnsi="Calibri" w:cs="Times New Roman"/>
                <w:color w:val="000000"/>
                <w:sz w:val="20"/>
                <w:szCs w:val="20"/>
              </w:rPr>
              <w:t>293</w:t>
            </w:r>
          </w:p>
        </w:tc>
        <w:tc>
          <w:tcPr>
            <w:tcW w:w="1269" w:type="pct"/>
            <w:shd w:val="clear" w:color="auto" w:fill="auto"/>
            <w:vAlign w:val="center"/>
            <w:hideMark/>
          </w:tcPr>
          <w:p w:rsidR="00703451" w:rsidRPr="00A53F92" w:rsidRDefault="00703451" w:rsidP="001D5EAA">
            <w:pPr>
              <w:keepLines/>
              <w:spacing w:after="0"/>
              <w:jc w:val="right"/>
              <w:rPr>
                <w:rFonts w:ascii="Calibri" w:eastAsia="Times New Roman" w:hAnsi="Calibri" w:cs="Times New Roman"/>
                <w:color w:val="000000"/>
                <w:sz w:val="20"/>
                <w:szCs w:val="20"/>
              </w:rPr>
            </w:pPr>
            <w:r w:rsidRPr="00A53F92">
              <w:rPr>
                <w:rFonts w:ascii="Calibri" w:eastAsia="Times New Roman" w:hAnsi="Calibri" w:cs="Times New Roman"/>
                <w:color w:val="000000"/>
                <w:sz w:val="20"/>
                <w:szCs w:val="20"/>
              </w:rPr>
              <w:t>243</w:t>
            </w:r>
          </w:p>
        </w:tc>
        <w:tc>
          <w:tcPr>
            <w:tcW w:w="1336" w:type="pct"/>
            <w:shd w:val="clear" w:color="auto" w:fill="auto"/>
            <w:vAlign w:val="center"/>
            <w:hideMark/>
          </w:tcPr>
          <w:p w:rsidR="00703451" w:rsidRPr="00A53F92" w:rsidRDefault="00703451" w:rsidP="001D5EAA">
            <w:pPr>
              <w:keepLines/>
              <w:spacing w:after="0"/>
              <w:jc w:val="right"/>
              <w:rPr>
                <w:rFonts w:ascii="Calibri" w:eastAsia="Times New Roman" w:hAnsi="Calibri" w:cs="Times New Roman"/>
                <w:color w:val="000000"/>
                <w:sz w:val="20"/>
                <w:szCs w:val="20"/>
              </w:rPr>
            </w:pPr>
            <w:r w:rsidRPr="00A53F92">
              <w:rPr>
                <w:rFonts w:ascii="Calibri" w:eastAsia="Times New Roman" w:hAnsi="Calibri" w:cs="Times New Roman"/>
                <w:color w:val="000000"/>
                <w:sz w:val="20"/>
                <w:szCs w:val="20"/>
              </w:rPr>
              <w:t>189</w:t>
            </w:r>
          </w:p>
        </w:tc>
        <w:tc>
          <w:tcPr>
            <w:tcW w:w="788" w:type="pct"/>
            <w:shd w:val="clear" w:color="auto" w:fill="auto"/>
            <w:vAlign w:val="center"/>
            <w:hideMark/>
          </w:tcPr>
          <w:p w:rsidR="00703451" w:rsidRPr="00A53F92" w:rsidRDefault="00703451" w:rsidP="001D5EAA">
            <w:pPr>
              <w:keepLines/>
              <w:spacing w:after="0"/>
              <w:jc w:val="right"/>
              <w:rPr>
                <w:rFonts w:ascii="Calibri" w:eastAsia="Times New Roman" w:hAnsi="Calibri" w:cs="Times New Roman"/>
                <w:color w:val="000000"/>
                <w:sz w:val="20"/>
                <w:szCs w:val="20"/>
              </w:rPr>
            </w:pPr>
            <w:r w:rsidRPr="00A53F92">
              <w:rPr>
                <w:rFonts w:ascii="Calibri" w:eastAsia="Times New Roman" w:hAnsi="Calibri" w:cs="Times New Roman"/>
                <w:color w:val="000000"/>
                <w:sz w:val="20"/>
                <w:szCs w:val="20"/>
              </w:rPr>
              <w:t>78%</w:t>
            </w:r>
          </w:p>
        </w:tc>
      </w:tr>
      <w:tr w:rsidR="00703451" w:rsidRPr="00A53F92" w:rsidTr="003F10CF">
        <w:tc>
          <w:tcPr>
            <w:tcW w:w="902" w:type="pct"/>
            <w:shd w:val="clear" w:color="auto" w:fill="auto"/>
            <w:vAlign w:val="center"/>
            <w:hideMark/>
          </w:tcPr>
          <w:p w:rsidR="00703451" w:rsidRPr="00A53F92" w:rsidRDefault="00703451" w:rsidP="001D5EAA">
            <w:pPr>
              <w:keepLines/>
              <w:spacing w:after="0"/>
              <w:rPr>
                <w:rFonts w:ascii="Calibri" w:eastAsia="Times New Roman" w:hAnsi="Calibri" w:cs="Times New Roman"/>
                <w:color w:val="000000"/>
                <w:sz w:val="20"/>
                <w:szCs w:val="20"/>
              </w:rPr>
            </w:pPr>
            <w:r w:rsidRPr="00A53F92">
              <w:rPr>
                <w:rFonts w:ascii="Calibri" w:eastAsia="Times New Roman" w:hAnsi="Calibri" w:cs="Times New Roman"/>
                <w:color w:val="000000"/>
                <w:sz w:val="20"/>
                <w:szCs w:val="20"/>
              </w:rPr>
              <w:t>Freezer</w:t>
            </w:r>
          </w:p>
        </w:tc>
        <w:tc>
          <w:tcPr>
            <w:tcW w:w="705" w:type="pct"/>
            <w:shd w:val="clear" w:color="auto" w:fill="auto"/>
            <w:vAlign w:val="center"/>
            <w:hideMark/>
          </w:tcPr>
          <w:p w:rsidR="00703451" w:rsidRPr="00A53F92" w:rsidRDefault="00703451" w:rsidP="001D5EAA">
            <w:pPr>
              <w:keepLines/>
              <w:spacing w:after="0"/>
              <w:jc w:val="right"/>
              <w:rPr>
                <w:rFonts w:ascii="Calibri" w:eastAsia="Times New Roman" w:hAnsi="Calibri" w:cs="Times New Roman"/>
                <w:color w:val="000000"/>
                <w:sz w:val="20"/>
                <w:szCs w:val="20"/>
              </w:rPr>
            </w:pPr>
            <w:r w:rsidRPr="00A53F92">
              <w:rPr>
                <w:rFonts w:ascii="Calibri" w:eastAsia="Times New Roman" w:hAnsi="Calibri" w:cs="Times New Roman"/>
                <w:color w:val="000000"/>
                <w:sz w:val="20"/>
                <w:szCs w:val="20"/>
              </w:rPr>
              <w:t>18</w:t>
            </w:r>
          </w:p>
        </w:tc>
        <w:tc>
          <w:tcPr>
            <w:tcW w:w="1269" w:type="pct"/>
            <w:shd w:val="clear" w:color="auto" w:fill="auto"/>
            <w:vAlign w:val="center"/>
            <w:hideMark/>
          </w:tcPr>
          <w:p w:rsidR="00703451" w:rsidRPr="00A53F92" w:rsidRDefault="00703451" w:rsidP="001D5EAA">
            <w:pPr>
              <w:keepLines/>
              <w:spacing w:after="0"/>
              <w:jc w:val="right"/>
              <w:rPr>
                <w:rFonts w:ascii="Calibri" w:eastAsia="Times New Roman" w:hAnsi="Calibri" w:cs="Times New Roman"/>
                <w:color w:val="000000"/>
                <w:sz w:val="20"/>
                <w:szCs w:val="20"/>
              </w:rPr>
            </w:pPr>
            <w:r w:rsidRPr="00A53F92">
              <w:rPr>
                <w:rFonts w:ascii="Calibri" w:eastAsia="Times New Roman" w:hAnsi="Calibri" w:cs="Times New Roman"/>
                <w:color w:val="000000"/>
                <w:sz w:val="20"/>
                <w:szCs w:val="20"/>
              </w:rPr>
              <w:t>705</w:t>
            </w:r>
          </w:p>
        </w:tc>
        <w:tc>
          <w:tcPr>
            <w:tcW w:w="1336" w:type="pct"/>
            <w:shd w:val="clear" w:color="auto" w:fill="auto"/>
            <w:vAlign w:val="center"/>
            <w:hideMark/>
          </w:tcPr>
          <w:p w:rsidR="00703451" w:rsidRPr="00A53F92" w:rsidRDefault="00703451" w:rsidP="001D5EAA">
            <w:pPr>
              <w:keepLines/>
              <w:spacing w:after="0"/>
              <w:jc w:val="right"/>
              <w:rPr>
                <w:rFonts w:ascii="Calibri" w:eastAsia="Times New Roman" w:hAnsi="Calibri" w:cs="Times New Roman"/>
                <w:color w:val="000000"/>
                <w:sz w:val="20"/>
                <w:szCs w:val="20"/>
              </w:rPr>
            </w:pPr>
            <w:r w:rsidRPr="00A53F92">
              <w:rPr>
                <w:rFonts w:ascii="Calibri" w:eastAsia="Times New Roman" w:hAnsi="Calibri" w:cs="Times New Roman"/>
                <w:color w:val="000000"/>
                <w:sz w:val="20"/>
                <w:szCs w:val="20"/>
              </w:rPr>
              <w:t>66</w:t>
            </w:r>
          </w:p>
        </w:tc>
        <w:tc>
          <w:tcPr>
            <w:tcW w:w="788" w:type="pct"/>
            <w:shd w:val="clear" w:color="auto" w:fill="auto"/>
            <w:vAlign w:val="center"/>
            <w:hideMark/>
          </w:tcPr>
          <w:p w:rsidR="00703451" w:rsidRPr="00A53F92" w:rsidRDefault="00703451" w:rsidP="001D5EAA">
            <w:pPr>
              <w:keepLines/>
              <w:spacing w:after="0"/>
              <w:jc w:val="right"/>
              <w:rPr>
                <w:rFonts w:ascii="Calibri" w:eastAsia="Times New Roman" w:hAnsi="Calibri" w:cs="Times New Roman"/>
                <w:color w:val="000000"/>
                <w:sz w:val="20"/>
                <w:szCs w:val="20"/>
              </w:rPr>
            </w:pPr>
            <w:r w:rsidRPr="00A53F92">
              <w:rPr>
                <w:rFonts w:ascii="Calibri" w:eastAsia="Times New Roman" w:hAnsi="Calibri" w:cs="Times New Roman"/>
                <w:color w:val="000000"/>
                <w:sz w:val="20"/>
                <w:szCs w:val="20"/>
              </w:rPr>
              <w:t>9%</w:t>
            </w:r>
          </w:p>
        </w:tc>
      </w:tr>
      <w:tr w:rsidR="00703451" w:rsidRPr="00A53F92" w:rsidTr="003F10CF">
        <w:tc>
          <w:tcPr>
            <w:tcW w:w="902" w:type="pct"/>
            <w:shd w:val="clear" w:color="auto" w:fill="auto"/>
            <w:vAlign w:val="center"/>
            <w:hideMark/>
          </w:tcPr>
          <w:p w:rsidR="00703451" w:rsidRPr="00A53F92" w:rsidRDefault="00703451" w:rsidP="001D5EAA">
            <w:pPr>
              <w:keepLines/>
              <w:spacing w:after="0"/>
              <w:rPr>
                <w:rFonts w:ascii="Calibri" w:eastAsia="Times New Roman" w:hAnsi="Calibri" w:cs="Times New Roman"/>
                <w:color w:val="000000"/>
                <w:sz w:val="20"/>
                <w:szCs w:val="20"/>
              </w:rPr>
            </w:pPr>
            <w:r w:rsidRPr="00A53F92">
              <w:rPr>
                <w:rFonts w:ascii="Calibri" w:eastAsia="Times New Roman" w:hAnsi="Calibri" w:cs="Times New Roman"/>
                <w:color w:val="000000"/>
                <w:sz w:val="20"/>
                <w:szCs w:val="20"/>
              </w:rPr>
              <w:t>Clothes Washer</w:t>
            </w:r>
          </w:p>
        </w:tc>
        <w:tc>
          <w:tcPr>
            <w:tcW w:w="705" w:type="pct"/>
            <w:shd w:val="clear" w:color="auto" w:fill="auto"/>
            <w:vAlign w:val="center"/>
            <w:hideMark/>
          </w:tcPr>
          <w:p w:rsidR="00703451" w:rsidRPr="00A53F92" w:rsidRDefault="00703451" w:rsidP="001D5EAA">
            <w:pPr>
              <w:keepLines/>
              <w:spacing w:after="0"/>
              <w:jc w:val="right"/>
              <w:rPr>
                <w:rFonts w:ascii="Calibri" w:eastAsia="Times New Roman" w:hAnsi="Calibri" w:cs="Times New Roman"/>
                <w:color w:val="000000"/>
                <w:sz w:val="20"/>
                <w:szCs w:val="20"/>
              </w:rPr>
            </w:pPr>
            <w:r w:rsidRPr="00A53F92">
              <w:rPr>
                <w:rFonts w:ascii="Calibri" w:eastAsia="Times New Roman" w:hAnsi="Calibri" w:cs="Times New Roman"/>
                <w:color w:val="000000"/>
                <w:sz w:val="20"/>
                <w:szCs w:val="20"/>
              </w:rPr>
              <w:t>46</w:t>
            </w:r>
          </w:p>
        </w:tc>
        <w:tc>
          <w:tcPr>
            <w:tcW w:w="1269" w:type="pct"/>
            <w:shd w:val="clear" w:color="auto" w:fill="auto"/>
            <w:vAlign w:val="center"/>
            <w:hideMark/>
          </w:tcPr>
          <w:p w:rsidR="00703451" w:rsidRPr="00A53F92" w:rsidRDefault="00703451" w:rsidP="001D5EAA">
            <w:pPr>
              <w:keepLines/>
              <w:spacing w:after="0"/>
              <w:jc w:val="right"/>
              <w:rPr>
                <w:rFonts w:ascii="Calibri" w:eastAsia="Times New Roman" w:hAnsi="Calibri" w:cs="Times New Roman"/>
                <w:color w:val="000000"/>
                <w:sz w:val="20"/>
                <w:szCs w:val="20"/>
              </w:rPr>
            </w:pPr>
            <w:r w:rsidRPr="00A53F92">
              <w:rPr>
                <w:rFonts w:ascii="Calibri" w:eastAsia="Times New Roman" w:hAnsi="Calibri" w:cs="Times New Roman"/>
                <w:color w:val="000000"/>
                <w:sz w:val="20"/>
                <w:szCs w:val="20"/>
              </w:rPr>
              <w:t>1,430</w:t>
            </w:r>
          </w:p>
        </w:tc>
        <w:tc>
          <w:tcPr>
            <w:tcW w:w="1336" w:type="pct"/>
            <w:shd w:val="clear" w:color="auto" w:fill="auto"/>
            <w:vAlign w:val="center"/>
            <w:hideMark/>
          </w:tcPr>
          <w:p w:rsidR="00703451" w:rsidRPr="00A53F92" w:rsidRDefault="00EC3275" w:rsidP="001D5EAA">
            <w:pPr>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664</w:t>
            </w:r>
          </w:p>
        </w:tc>
        <w:tc>
          <w:tcPr>
            <w:tcW w:w="788" w:type="pct"/>
            <w:shd w:val="clear" w:color="auto" w:fill="auto"/>
            <w:vAlign w:val="center"/>
            <w:hideMark/>
          </w:tcPr>
          <w:p w:rsidR="00703451" w:rsidRPr="00A53F92" w:rsidRDefault="00EC3275" w:rsidP="001D5EAA">
            <w:pPr>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45</w:t>
            </w:r>
            <w:r w:rsidR="00703451" w:rsidRPr="00A53F92">
              <w:rPr>
                <w:rFonts w:ascii="Calibri" w:eastAsia="Times New Roman" w:hAnsi="Calibri" w:cs="Times New Roman"/>
                <w:color w:val="000000"/>
                <w:sz w:val="20"/>
                <w:szCs w:val="20"/>
              </w:rPr>
              <w:t>%</w:t>
            </w:r>
          </w:p>
        </w:tc>
      </w:tr>
      <w:tr w:rsidR="00703451" w:rsidRPr="00A53F92" w:rsidTr="003F10CF">
        <w:tc>
          <w:tcPr>
            <w:tcW w:w="902" w:type="pct"/>
            <w:shd w:val="clear" w:color="auto" w:fill="auto"/>
            <w:vAlign w:val="center"/>
            <w:hideMark/>
          </w:tcPr>
          <w:p w:rsidR="00703451" w:rsidRPr="00A53F92" w:rsidRDefault="00703451" w:rsidP="001D5EAA">
            <w:pPr>
              <w:keepLines/>
              <w:spacing w:after="0"/>
              <w:rPr>
                <w:rFonts w:ascii="Calibri" w:eastAsia="Times New Roman" w:hAnsi="Calibri" w:cs="Times New Roman"/>
                <w:color w:val="000000"/>
                <w:sz w:val="20"/>
                <w:szCs w:val="20"/>
              </w:rPr>
            </w:pPr>
            <w:r w:rsidRPr="00A53F92">
              <w:rPr>
                <w:rFonts w:ascii="Calibri" w:eastAsia="Times New Roman" w:hAnsi="Calibri" w:cs="Times New Roman"/>
                <w:color w:val="000000"/>
                <w:sz w:val="20"/>
                <w:szCs w:val="20"/>
              </w:rPr>
              <w:t>Dehumidifier</w:t>
            </w:r>
          </w:p>
        </w:tc>
        <w:tc>
          <w:tcPr>
            <w:tcW w:w="705" w:type="pct"/>
            <w:shd w:val="clear" w:color="auto" w:fill="auto"/>
            <w:vAlign w:val="center"/>
            <w:hideMark/>
          </w:tcPr>
          <w:p w:rsidR="00703451" w:rsidRPr="00A53F92" w:rsidRDefault="00703451" w:rsidP="001D5EAA">
            <w:pPr>
              <w:keepLines/>
              <w:spacing w:after="0"/>
              <w:jc w:val="right"/>
              <w:rPr>
                <w:rFonts w:ascii="Calibri" w:eastAsia="Times New Roman" w:hAnsi="Calibri" w:cs="Times New Roman"/>
                <w:color w:val="000000"/>
                <w:sz w:val="20"/>
                <w:szCs w:val="20"/>
              </w:rPr>
            </w:pPr>
            <w:r w:rsidRPr="00A53F92">
              <w:rPr>
                <w:rFonts w:ascii="Calibri" w:eastAsia="Times New Roman" w:hAnsi="Calibri" w:cs="Times New Roman"/>
                <w:color w:val="000000"/>
                <w:sz w:val="20"/>
                <w:szCs w:val="20"/>
              </w:rPr>
              <w:t>174</w:t>
            </w:r>
          </w:p>
        </w:tc>
        <w:tc>
          <w:tcPr>
            <w:tcW w:w="1269" w:type="pct"/>
            <w:shd w:val="clear" w:color="auto" w:fill="auto"/>
            <w:vAlign w:val="center"/>
            <w:hideMark/>
          </w:tcPr>
          <w:p w:rsidR="00703451" w:rsidRPr="00A53F92" w:rsidRDefault="00703451" w:rsidP="001D5EAA">
            <w:pPr>
              <w:keepLines/>
              <w:spacing w:after="0"/>
              <w:jc w:val="right"/>
              <w:rPr>
                <w:rFonts w:ascii="Calibri" w:eastAsia="Times New Roman" w:hAnsi="Calibri" w:cs="Times New Roman"/>
                <w:color w:val="000000"/>
                <w:sz w:val="20"/>
                <w:szCs w:val="20"/>
              </w:rPr>
            </w:pPr>
            <w:r w:rsidRPr="00A53F92">
              <w:rPr>
                <w:rFonts w:ascii="Calibri" w:eastAsia="Times New Roman" w:hAnsi="Calibri" w:cs="Times New Roman"/>
                <w:color w:val="000000"/>
                <w:sz w:val="20"/>
                <w:szCs w:val="20"/>
              </w:rPr>
              <w:t>382</w:t>
            </w:r>
          </w:p>
        </w:tc>
        <w:tc>
          <w:tcPr>
            <w:tcW w:w="1336" w:type="pct"/>
            <w:shd w:val="clear" w:color="auto" w:fill="auto"/>
            <w:vAlign w:val="center"/>
            <w:hideMark/>
          </w:tcPr>
          <w:p w:rsidR="00703451" w:rsidRPr="00A53F92" w:rsidRDefault="00A17527" w:rsidP="001D5EAA">
            <w:pPr>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31</w:t>
            </w:r>
          </w:p>
        </w:tc>
        <w:tc>
          <w:tcPr>
            <w:tcW w:w="788" w:type="pct"/>
            <w:shd w:val="clear" w:color="auto" w:fill="auto"/>
            <w:vAlign w:val="center"/>
            <w:hideMark/>
          </w:tcPr>
          <w:p w:rsidR="00703451" w:rsidRPr="00A53F92" w:rsidRDefault="00A17527" w:rsidP="001D5EAA">
            <w:pPr>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w:t>
            </w:r>
            <w:r w:rsidR="00703451" w:rsidRPr="00A53F92">
              <w:rPr>
                <w:rFonts w:ascii="Calibri" w:eastAsia="Times New Roman" w:hAnsi="Calibri" w:cs="Times New Roman"/>
                <w:color w:val="000000"/>
                <w:sz w:val="20"/>
                <w:szCs w:val="20"/>
              </w:rPr>
              <w:t>%</w:t>
            </w:r>
          </w:p>
        </w:tc>
      </w:tr>
    </w:tbl>
    <w:p w:rsidR="00CA10A6" w:rsidRPr="00CA10A6" w:rsidRDefault="00CA10A6" w:rsidP="00DD424F">
      <w:pPr>
        <w:pStyle w:val="Heading5"/>
      </w:pPr>
      <w:r w:rsidRPr="00CA10A6">
        <w:t>Refrigerators and Freezers</w:t>
      </w:r>
    </w:p>
    <w:p w:rsidR="005A755E" w:rsidRDefault="005A755E" w:rsidP="00DD424F">
      <w:r>
        <w:t xml:space="preserve">For </w:t>
      </w:r>
      <w:r w:rsidR="00A53F92">
        <w:t xml:space="preserve">refrigerator and </w:t>
      </w:r>
      <w:r>
        <w:t>freezer replacements, the utility tracking data provided installed unit size</w:t>
      </w:r>
      <w:r w:rsidR="005E0893">
        <w:t>s</w:t>
      </w:r>
      <w:r>
        <w:t xml:space="preserve"> and equipment model numbers for many installations. These inputs allowed the Evaluation Team to determine average energy consumption of the installed units through the ENERGY STAR database. For the HES program, average annual energy consumption </w:t>
      </w:r>
      <w:r w:rsidR="00A53F92">
        <w:t xml:space="preserve">was 452.7 kWh for installed refrigerators and </w:t>
      </w:r>
      <w:r w:rsidR="005E0893">
        <w:br/>
      </w:r>
      <w:r>
        <w:t>567 kWh</w:t>
      </w:r>
      <w:r w:rsidR="00A53F92">
        <w:t xml:space="preserve"> for installed freezers</w:t>
      </w:r>
      <w:r>
        <w:t xml:space="preserve">. </w:t>
      </w:r>
    </w:p>
    <w:p w:rsidR="005A755E" w:rsidRDefault="00CF1790" w:rsidP="00DD424F">
      <w:r>
        <w:t xml:space="preserve">The Evaluation Team used the unit make and model number to </w:t>
      </w:r>
      <w:r w:rsidR="005E0893">
        <w:t xml:space="preserve">research </w:t>
      </w:r>
      <w:r>
        <w:t xml:space="preserve">product size </w:t>
      </w:r>
      <w:r w:rsidR="00EC3275">
        <w:t xml:space="preserve">(adjusted volume) </w:t>
      </w:r>
      <w:r>
        <w:t xml:space="preserve">and </w:t>
      </w:r>
      <w:r w:rsidR="00EC3275">
        <w:t xml:space="preserve">unit </w:t>
      </w:r>
      <w:r>
        <w:t xml:space="preserve">configuration </w:t>
      </w:r>
      <w:r w:rsidR="001C3F4D">
        <w:t xml:space="preserve">in </w:t>
      </w:r>
      <w:r w:rsidR="00EC3275">
        <w:t>the ENERGY STAR database</w:t>
      </w:r>
      <w:r>
        <w:t xml:space="preserve"> to determine baseline energy usage</w:t>
      </w:r>
      <w:r w:rsidR="00E20EDE">
        <w:t xml:space="preserve"> (</w:t>
      </w:r>
      <w:r>
        <w:t>based on the 2001 Federal Standard</w:t>
      </w:r>
      <w:r w:rsidR="00E20EDE">
        <w:t>)</w:t>
      </w:r>
      <w:r>
        <w:t xml:space="preserve">. The algorithms for estimating the 2001 Federal Standard </w:t>
      </w:r>
      <w:r w:rsidR="005E0893">
        <w:t>were</w:t>
      </w:r>
      <w:r>
        <w:t xml:space="preserve"> based on the adjusted volume (AV)</w:t>
      </w:r>
      <w:r w:rsidR="00F20499">
        <w:rPr>
          <w:rStyle w:val="FootnoteReference"/>
        </w:rPr>
        <w:footnoteReference w:id="21"/>
      </w:r>
      <w:r>
        <w:t xml:space="preserve"> of the installed unit.</w:t>
      </w:r>
      <w:r w:rsidR="00DE1457">
        <w:t xml:space="preserve"> </w:t>
      </w:r>
      <w:r w:rsidR="002506E1">
        <w:fldChar w:fldCharType="begin"/>
      </w:r>
      <w:r w:rsidR="002506E1">
        <w:instrText xml:space="preserve"> REF _Ref388195017 \h  \* MERGEFORMAT </w:instrText>
      </w:r>
      <w:r w:rsidR="002506E1">
        <w:fldChar w:fldCharType="separate"/>
      </w:r>
      <w:r w:rsidR="00CD20CF">
        <w:t xml:space="preserve">Table </w:t>
      </w:r>
      <w:r w:rsidR="00CD20CF">
        <w:rPr>
          <w:noProof/>
        </w:rPr>
        <w:t>31</w:t>
      </w:r>
      <w:r w:rsidR="002506E1">
        <w:fldChar w:fldCharType="end"/>
      </w:r>
      <w:r w:rsidR="00A53F92">
        <w:t xml:space="preserve"> and </w:t>
      </w:r>
      <w:r w:rsidR="005C2163">
        <w:fldChar w:fldCharType="begin"/>
      </w:r>
      <w:r w:rsidR="007C46AE">
        <w:instrText xml:space="preserve"> REF _Ref388437405 \h </w:instrText>
      </w:r>
      <w:r w:rsidR="005C2163">
        <w:fldChar w:fldCharType="separate"/>
      </w:r>
      <w:r w:rsidR="00CD20CF">
        <w:t xml:space="preserve">Table </w:t>
      </w:r>
      <w:r w:rsidR="00CD20CF">
        <w:rPr>
          <w:noProof/>
        </w:rPr>
        <w:t>32</w:t>
      </w:r>
      <w:r w:rsidR="005C2163">
        <w:fldChar w:fldCharType="end"/>
      </w:r>
      <w:r w:rsidR="00A53F92">
        <w:t xml:space="preserve"> provide these details for freezers and refrigerators.</w:t>
      </w:r>
      <w:r w:rsidR="005A755E">
        <w:t xml:space="preserve"> </w:t>
      </w:r>
    </w:p>
    <w:p w:rsidR="00CF1790" w:rsidRDefault="005A755E" w:rsidP="004D6698">
      <w:pPr>
        <w:pStyle w:val="Caption"/>
      </w:pPr>
      <w:bookmarkStart w:id="72" w:name="_Ref388195017"/>
      <w:r>
        <w:t xml:space="preserve">Table </w:t>
      </w:r>
      <w:r w:rsidR="002506E1">
        <w:fldChar w:fldCharType="begin"/>
      </w:r>
      <w:r w:rsidR="002506E1">
        <w:instrText xml:space="preserve"> SEQ Table \* ARABIC </w:instrText>
      </w:r>
      <w:r w:rsidR="002506E1">
        <w:fldChar w:fldCharType="separate"/>
      </w:r>
      <w:r w:rsidR="00CD20CF">
        <w:rPr>
          <w:noProof/>
        </w:rPr>
        <w:t>31</w:t>
      </w:r>
      <w:r w:rsidR="002506E1">
        <w:rPr>
          <w:noProof/>
        </w:rPr>
        <w:fldChar w:fldCharType="end"/>
      </w:r>
      <w:bookmarkEnd w:id="72"/>
      <w:r>
        <w:t xml:space="preserve">. </w:t>
      </w:r>
      <w:r w:rsidR="00A53F92">
        <w:t>Average Baseline Electric Usage for Freezer</w:t>
      </w:r>
      <w:bookmarkStart w:id="73" w:name="_Ref388304215"/>
      <w:r w:rsidR="00DD424F">
        <w:t>*</w:t>
      </w:r>
      <w:bookmarkEnd w:id="73"/>
    </w:p>
    <w:tbl>
      <w:tblPr>
        <w:tblW w:w="500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058"/>
        <w:gridCol w:w="2790"/>
        <w:gridCol w:w="1728"/>
      </w:tblGrid>
      <w:tr w:rsidR="00CF1790" w:rsidTr="003F10CF">
        <w:trPr>
          <w:jc w:val="center"/>
        </w:trPr>
        <w:tc>
          <w:tcPr>
            <w:tcW w:w="2641" w:type="pct"/>
            <w:shd w:val="clear" w:color="auto" w:fill="005DAA"/>
            <w:vAlign w:val="center"/>
            <w:hideMark/>
          </w:tcPr>
          <w:p w:rsidR="00CF1790" w:rsidRPr="00DD424F" w:rsidRDefault="00CF1790" w:rsidP="004D6698">
            <w:pPr>
              <w:spacing w:after="0"/>
              <w:jc w:val="center"/>
              <w:rPr>
                <w:rFonts w:ascii="Calibri" w:eastAsia="Times New Roman" w:hAnsi="Calibri" w:cs="Times New Roman"/>
                <w:b/>
                <w:bCs/>
                <w:color w:val="FFFFFF"/>
              </w:rPr>
            </w:pPr>
            <w:r w:rsidRPr="00DD424F">
              <w:rPr>
                <w:rFonts w:ascii="Calibri" w:eastAsia="Times New Roman" w:hAnsi="Calibri" w:cs="Times New Roman"/>
                <w:b/>
                <w:bCs/>
                <w:color w:val="FFFFFF"/>
              </w:rPr>
              <w:t>Configuration</w:t>
            </w:r>
          </w:p>
        </w:tc>
        <w:tc>
          <w:tcPr>
            <w:tcW w:w="1457" w:type="pct"/>
            <w:shd w:val="clear" w:color="auto" w:fill="005DAA"/>
            <w:vAlign w:val="center"/>
            <w:hideMark/>
          </w:tcPr>
          <w:p w:rsidR="00CF1790" w:rsidRPr="00DD424F" w:rsidRDefault="00CF1790" w:rsidP="004D6698">
            <w:pPr>
              <w:spacing w:after="0"/>
              <w:jc w:val="center"/>
              <w:rPr>
                <w:rFonts w:ascii="Calibri" w:eastAsia="Times New Roman" w:hAnsi="Calibri" w:cs="Times New Roman"/>
                <w:b/>
                <w:bCs/>
                <w:color w:val="FFFFFF"/>
              </w:rPr>
            </w:pPr>
            <w:r w:rsidRPr="00DD424F">
              <w:rPr>
                <w:rFonts w:ascii="Calibri" w:eastAsia="Times New Roman" w:hAnsi="Calibri" w:cs="Times New Roman"/>
                <w:b/>
                <w:bCs/>
                <w:color w:val="FFFFFF"/>
              </w:rPr>
              <w:t xml:space="preserve">Algorithm for </w:t>
            </w:r>
            <w:r w:rsidR="00DD424F" w:rsidRPr="00DD424F">
              <w:rPr>
                <w:rFonts w:ascii="Calibri" w:eastAsia="Times New Roman" w:hAnsi="Calibri" w:cs="Times New Roman"/>
                <w:b/>
                <w:bCs/>
                <w:color w:val="FFFFFF"/>
              </w:rPr>
              <w:t xml:space="preserve">Determining </w:t>
            </w:r>
            <w:r w:rsidRPr="00DD424F">
              <w:rPr>
                <w:rFonts w:ascii="Calibri" w:eastAsia="Times New Roman" w:hAnsi="Calibri" w:cs="Times New Roman"/>
                <w:b/>
                <w:bCs/>
                <w:color w:val="FFFFFF"/>
              </w:rPr>
              <w:t xml:space="preserve">Baseline </w:t>
            </w:r>
            <w:r w:rsidR="00C561AD" w:rsidRPr="00DD424F">
              <w:rPr>
                <w:rFonts w:ascii="Calibri" w:eastAsia="Times New Roman" w:hAnsi="Calibri" w:cs="Times New Roman"/>
                <w:b/>
                <w:bCs/>
                <w:color w:val="FFFFFF"/>
              </w:rPr>
              <w:t>Consumption</w:t>
            </w:r>
          </w:p>
        </w:tc>
        <w:tc>
          <w:tcPr>
            <w:tcW w:w="902" w:type="pct"/>
            <w:shd w:val="clear" w:color="auto" w:fill="005DAA"/>
            <w:vAlign w:val="center"/>
          </w:tcPr>
          <w:p w:rsidR="00CF1790" w:rsidRPr="00DD424F" w:rsidDel="000F70A9" w:rsidRDefault="00CF1790" w:rsidP="004D6698">
            <w:pPr>
              <w:spacing w:after="0"/>
              <w:jc w:val="center"/>
              <w:rPr>
                <w:rFonts w:ascii="Calibri" w:eastAsia="Times New Roman" w:hAnsi="Calibri" w:cs="Times New Roman"/>
                <w:b/>
                <w:bCs/>
                <w:color w:val="FFFFFF"/>
              </w:rPr>
            </w:pPr>
            <w:r w:rsidRPr="00DD424F">
              <w:rPr>
                <w:rFonts w:ascii="Calibri" w:eastAsia="Times New Roman" w:hAnsi="Calibri" w:cs="Times New Roman"/>
                <w:b/>
                <w:bCs/>
                <w:color w:val="FFFFFF"/>
              </w:rPr>
              <w:t>Baseline Consumption</w:t>
            </w:r>
          </w:p>
        </w:tc>
      </w:tr>
      <w:tr w:rsidR="00CF1790" w:rsidTr="003F10CF">
        <w:trPr>
          <w:jc w:val="center"/>
        </w:trPr>
        <w:tc>
          <w:tcPr>
            <w:tcW w:w="2641" w:type="pct"/>
            <w:vAlign w:val="center"/>
            <w:hideMark/>
          </w:tcPr>
          <w:p w:rsidR="00CF1790" w:rsidRDefault="00CF1790" w:rsidP="004D6698">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Upright freezers with manual defrost</w:t>
            </w:r>
          </w:p>
        </w:tc>
        <w:tc>
          <w:tcPr>
            <w:tcW w:w="1457" w:type="pct"/>
            <w:vAlign w:val="center"/>
            <w:hideMark/>
          </w:tcPr>
          <w:p w:rsidR="00CF1790" w:rsidRDefault="00CF1790" w:rsidP="004D6698">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(7.55 * AV) + 258.3</w:t>
            </w:r>
          </w:p>
        </w:tc>
        <w:tc>
          <w:tcPr>
            <w:tcW w:w="902" w:type="pct"/>
            <w:vAlign w:val="center"/>
          </w:tcPr>
          <w:p w:rsidR="00CF1790" w:rsidRDefault="00E20EDE" w:rsidP="004D6698">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n/a</w:t>
            </w:r>
          </w:p>
        </w:tc>
      </w:tr>
      <w:tr w:rsidR="00CF1790" w:rsidTr="003F10CF">
        <w:trPr>
          <w:jc w:val="center"/>
        </w:trPr>
        <w:tc>
          <w:tcPr>
            <w:tcW w:w="2641" w:type="pct"/>
            <w:vAlign w:val="center"/>
            <w:hideMark/>
          </w:tcPr>
          <w:p w:rsidR="00CF1790" w:rsidRDefault="00CF1790" w:rsidP="004D6698">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Upright freezers with automatic defrost</w:t>
            </w:r>
          </w:p>
        </w:tc>
        <w:tc>
          <w:tcPr>
            <w:tcW w:w="1457" w:type="pct"/>
            <w:vAlign w:val="center"/>
            <w:hideMark/>
          </w:tcPr>
          <w:p w:rsidR="00CF1790" w:rsidRDefault="00CF1790" w:rsidP="004D6698">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(12.43 * AV) + 326.1</w:t>
            </w:r>
          </w:p>
        </w:tc>
        <w:tc>
          <w:tcPr>
            <w:tcW w:w="902" w:type="pct"/>
            <w:vAlign w:val="center"/>
          </w:tcPr>
          <w:p w:rsidR="00CF1790" w:rsidRDefault="00CF1790" w:rsidP="004D6698">
            <w:pPr>
              <w:spacing w:after="0"/>
              <w:jc w:val="right"/>
              <w:rPr>
                <w:rFonts w:ascii="Calibri" w:eastAsia="Times New Roman" w:hAnsi="Calibri" w:cs="Times New Roman"/>
                <w:color w:val="000000"/>
                <w:sz w:val="20"/>
                <w:szCs w:val="20"/>
              </w:rPr>
            </w:pPr>
            <w:r>
              <w:rPr>
                <w:rFonts w:ascii="Calibri" w:hAnsi="Calibri"/>
                <w:color w:val="000000"/>
              </w:rPr>
              <w:t>1.60</w:t>
            </w:r>
          </w:p>
        </w:tc>
      </w:tr>
      <w:tr w:rsidR="00CF1790" w:rsidTr="003F10CF">
        <w:trPr>
          <w:jc w:val="center"/>
        </w:trPr>
        <w:tc>
          <w:tcPr>
            <w:tcW w:w="2641" w:type="pct"/>
            <w:vAlign w:val="center"/>
            <w:hideMark/>
          </w:tcPr>
          <w:p w:rsidR="00CF1790" w:rsidRDefault="00CF1790" w:rsidP="004D6698">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Chest freezers and all other freezers except compacts</w:t>
            </w:r>
          </w:p>
        </w:tc>
        <w:tc>
          <w:tcPr>
            <w:tcW w:w="1457" w:type="pct"/>
            <w:vAlign w:val="center"/>
            <w:hideMark/>
          </w:tcPr>
          <w:p w:rsidR="00CF1790" w:rsidRDefault="00CF1790" w:rsidP="004D6698">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(9.88 * AV) + 143.7</w:t>
            </w:r>
          </w:p>
        </w:tc>
        <w:tc>
          <w:tcPr>
            <w:tcW w:w="902" w:type="pct"/>
            <w:vAlign w:val="center"/>
          </w:tcPr>
          <w:p w:rsidR="00CF1790" w:rsidRDefault="00CF1790" w:rsidP="004D6698">
            <w:pPr>
              <w:spacing w:after="0"/>
              <w:jc w:val="right"/>
              <w:rPr>
                <w:rFonts w:ascii="Calibri" w:eastAsia="Times New Roman" w:hAnsi="Calibri" w:cs="Times New Roman"/>
                <w:color w:val="000000"/>
                <w:sz w:val="20"/>
                <w:szCs w:val="20"/>
              </w:rPr>
            </w:pPr>
            <w:r>
              <w:rPr>
                <w:rFonts w:ascii="Calibri" w:hAnsi="Calibri"/>
                <w:color w:val="000000"/>
              </w:rPr>
              <w:t>1.18</w:t>
            </w:r>
          </w:p>
        </w:tc>
      </w:tr>
    </w:tbl>
    <w:p w:rsidR="00DD424F" w:rsidRPr="00141712" w:rsidRDefault="00DD424F" w:rsidP="004D6698">
      <w:pPr>
        <w:spacing w:after="0" w:line="240" w:lineRule="auto"/>
        <w:ind w:left="90" w:hanging="90"/>
        <w:rPr>
          <w:sz w:val="20"/>
          <w:szCs w:val="20"/>
        </w:rPr>
      </w:pPr>
      <w:bookmarkStart w:id="74" w:name="_Ref388195022"/>
      <w:r w:rsidRPr="00141712">
        <w:rPr>
          <w:sz w:val="20"/>
          <w:szCs w:val="20"/>
        </w:rPr>
        <w:t xml:space="preserve">*Federal Register Part IX, 10 CFR Part 430, Vol. 63, No. 81, </w:t>
      </w:r>
      <w:r w:rsidRPr="00141712">
        <w:rPr>
          <w:i/>
          <w:sz w:val="20"/>
          <w:szCs w:val="20"/>
        </w:rPr>
        <w:t>Energy Conservation Program for Consumer Products: Energy Conservation Standards for Refrigerators, Refrigerator-Freezers and Freezers</w:t>
      </w:r>
      <w:r w:rsidRPr="00141712">
        <w:rPr>
          <w:sz w:val="20"/>
          <w:szCs w:val="20"/>
        </w:rPr>
        <w:t>; Final Rule.</w:t>
      </w:r>
      <w:r w:rsidR="00DE1457" w:rsidRPr="00141712">
        <w:rPr>
          <w:sz w:val="20"/>
          <w:szCs w:val="20"/>
        </w:rPr>
        <w:t xml:space="preserve"> </w:t>
      </w:r>
      <w:r w:rsidRPr="00141712">
        <w:rPr>
          <w:sz w:val="20"/>
          <w:szCs w:val="20"/>
        </w:rPr>
        <w:t>Published Monday, April 28, 1997.</w:t>
      </w:r>
      <w:r w:rsidR="00DE1457" w:rsidRPr="00141712">
        <w:rPr>
          <w:sz w:val="20"/>
          <w:szCs w:val="20"/>
        </w:rPr>
        <w:t xml:space="preserve"> </w:t>
      </w:r>
      <w:r w:rsidRPr="00141712">
        <w:rPr>
          <w:sz w:val="20"/>
          <w:szCs w:val="20"/>
        </w:rPr>
        <w:t>Effective July 1, 2001.</w:t>
      </w:r>
    </w:p>
    <w:p w:rsidR="00DD424F" w:rsidRPr="007C46AE" w:rsidRDefault="00DD424F" w:rsidP="003F10CF">
      <w:pPr>
        <w:pStyle w:val="NormalAfterTablesandFigures"/>
      </w:pPr>
    </w:p>
    <w:p w:rsidR="00A53F92" w:rsidRDefault="00A53F92" w:rsidP="002D0B64">
      <w:pPr>
        <w:pStyle w:val="Caption"/>
      </w:pPr>
      <w:bookmarkStart w:id="75" w:name="_Ref388437405"/>
      <w:r>
        <w:lastRenderedPageBreak/>
        <w:t xml:space="preserve">Table </w:t>
      </w:r>
      <w:r w:rsidR="002506E1">
        <w:fldChar w:fldCharType="begin"/>
      </w:r>
      <w:r w:rsidR="002506E1">
        <w:instrText xml:space="preserve"> SEQ Table \* ARABIC </w:instrText>
      </w:r>
      <w:r w:rsidR="002506E1">
        <w:fldChar w:fldCharType="separate"/>
      </w:r>
      <w:r w:rsidR="00CD20CF">
        <w:rPr>
          <w:noProof/>
        </w:rPr>
        <w:t>32</w:t>
      </w:r>
      <w:r w:rsidR="002506E1">
        <w:rPr>
          <w:noProof/>
        </w:rPr>
        <w:fldChar w:fldCharType="end"/>
      </w:r>
      <w:bookmarkEnd w:id="74"/>
      <w:bookmarkEnd w:id="75"/>
      <w:r>
        <w:t>. Average Baseline Electric Usage for Refrigerators</w:t>
      </w:r>
      <w:r w:rsidR="00BE7D3F">
        <w:t>*</w:t>
      </w:r>
    </w:p>
    <w:tbl>
      <w:tblPr>
        <w:tblW w:w="500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43"/>
        <w:gridCol w:w="1735"/>
        <w:gridCol w:w="1620"/>
        <w:gridCol w:w="2522"/>
        <w:gridCol w:w="1456"/>
      </w:tblGrid>
      <w:tr w:rsidR="00CF1790" w:rsidTr="003F10CF">
        <w:trPr>
          <w:jc w:val="center"/>
        </w:trPr>
        <w:tc>
          <w:tcPr>
            <w:tcW w:w="1171" w:type="pct"/>
            <w:shd w:val="clear" w:color="auto" w:fill="005DAA"/>
            <w:vAlign w:val="center"/>
            <w:hideMark/>
          </w:tcPr>
          <w:p w:rsidR="00CF1790" w:rsidRDefault="00CF1790" w:rsidP="003F10CF">
            <w:pPr>
              <w:keepNext/>
              <w:keepLines/>
              <w:spacing w:after="0"/>
              <w:jc w:val="center"/>
              <w:rPr>
                <w:rFonts w:ascii="Calibri" w:eastAsia="Times New Roman" w:hAnsi="Calibri" w:cs="Times New Roman"/>
                <w:b/>
                <w:bCs/>
                <w:color w:val="FFFFFF"/>
              </w:rPr>
            </w:pPr>
            <w:r>
              <w:rPr>
                <w:rFonts w:ascii="Calibri" w:eastAsia="Times New Roman" w:hAnsi="Calibri" w:cs="Times New Roman"/>
                <w:b/>
                <w:bCs/>
                <w:color w:val="FFFFFF"/>
                <w:szCs w:val="20"/>
              </w:rPr>
              <w:t>Configuration</w:t>
            </w:r>
          </w:p>
        </w:tc>
        <w:tc>
          <w:tcPr>
            <w:tcW w:w="906" w:type="pct"/>
            <w:shd w:val="clear" w:color="auto" w:fill="005DAA"/>
            <w:vAlign w:val="center"/>
            <w:hideMark/>
          </w:tcPr>
          <w:p w:rsidR="00CF1790" w:rsidRDefault="00CF1790" w:rsidP="003F10CF">
            <w:pPr>
              <w:keepNext/>
              <w:keepLines/>
              <w:spacing w:after="0"/>
              <w:jc w:val="center"/>
              <w:rPr>
                <w:rFonts w:ascii="Calibri" w:eastAsia="Times New Roman" w:hAnsi="Calibri" w:cs="Times New Roman"/>
                <w:b/>
                <w:bCs/>
                <w:color w:val="FFFFFF"/>
              </w:rPr>
            </w:pPr>
            <w:r>
              <w:rPr>
                <w:rFonts w:ascii="Calibri" w:eastAsia="Times New Roman" w:hAnsi="Calibri" w:cs="Times New Roman"/>
                <w:b/>
                <w:bCs/>
                <w:color w:val="FFFFFF"/>
                <w:szCs w:val="20"/>
              </w:rPr>
              <w:t>Defrost</w:t>
            </w:r>
          </w:p>
        </w:tc>
        <w:tc>
          <w:tcPr>
            <w:tcW w:w="846" w:type="pct"/>
            <w:shd w:val="clear" w:color="auto" w:fill="005DAA"/>
            <w:vAlign w:val="center"/>
            <w:hideMark/>
          </w:tcPr>
          <w:p w:rsidR="00CF1790" w:rsidRDefault="00CF1790" w:rsidP="003F10CF">
            <w:pPr>
              <w:keepNext/>
              <w:keepLines/>
              <w:spacing w:after="0"/>
              <w:jc w:val="center"/>
              <w:rPr>
                <w:rFonts w:ascii="Calibri" w:eastAsia="Times New Roman" w:hAnsi="Calibri" w:cs="Times New Roman"/>
                <w:b/>
                <w:bCs/>
                <w:color w:val="FFFFFF"/>
              </w:rPr>
            </w:pPr>
            <w:r>
              <w:rPr>
                <w:rFonts w:ascii="Calibri" w:eastAsia="Times New Roman" w:hAnsi="Calibri" w:cs="Times New Roman"/>
                <w:b/>
                <w:bCs/>
                <w:color w:val="FFFFFF"/>
                <w:szCs w:val="20"/>
              </w:rPr>
              <w:t>Through-the-Door Ice</w:t>
            </w:r>
          </w:p>
        </w:tc>
        <w:tc>
          <w:tcPr>
            <w:tcW w:w="1317" w:type="pct"/>
            <w:shd w:val="clear" w:color="auto" w:fill="005DAA"/>
            <w:vAlign w:val="center"/>
            <w:hideMark/>
          </w:tcPr>
          <w:p w:rsidR="00CF1790" w:rsidRDefault="00CF1790" w:rsidP="003F10CF">
            <w:pPr>
              <w:keepNext/>
              <w:keepLines/>
              <w:spacing w:after="0"/>
              <w:jc w:val="center"/>
              <w:rPr>
                <w:rFonts w:ascii="Calibri" w:eastAsia="Times New Roman" w:hAnsi="Calibri" w:cs="Times New Roman"/>
                <w:b/>
                <w:bCs/>
                <w:color w:val="FFFFFF"/>
              </w:rPr>
            </w:pPr>
            <w:r>
              <w:rPr>
                <w:rFonts w:ascii="Calibri" w:eastAsia="Times New Roman" w:hAnsi="Calibri" w:cs="Times New Roman"/>
                <w:b/>
                <w:bCs/>
                <w:color w:val="FFFFFF"/>
                <w:szCs w:val="20"/>
              </w:rPr>
              <w:t>Algorithm for Determining Baseline Consumption</w:t>
            </w:r>
          </w:p>
        </w:tc>
        <w:tc>
          <w:tcPr>
            <w:tcW w:w="760" w:type="pct"/>
            <w:shd w:val="clear" w:color="auto" w:fill="005DAA"/>
            <w:vAlign w:val="center"/>
          </w:tcPr>
          <w:p w:rsidR="00CF1790" w:rsidRDefault="00CF1790" w:rsidP="003F10CF">
            <w:pPr>
              <w:keepNext/>
              <w:keepLines/>
              <w:spacing w:after="0"/>
              <w:jc w:val="center"/>
              <w:rPr>
                <w:rFonts w:ascii="Calibri" w:eastAsia="Times New Roman" w:hAnsi="Calibri" w:cs="Times New Roman"/>
                <w:b/>
                <w:bCs/>
                <w:color w:val="FFFFFF"/>
                <w:szCs w:val="20"/>
              </w:rPr>
            </w:pPr>
            <w:r>
              <w:rPr>
                <w:rFonts w:ascii="Calibri" w:eastAsia="Times New Roman" w:hAnsi="Calibri" w:cs="Times New Roman"/>
                <w:b/>
                <w:bCs/>
                <w:color w:val="FFFFFF"/>
                <w:szCs w:val="20"/>
              </w:rPr>
              <w:t>Baseline Consumption</w:t>
            </w:r>
          </w:p>
        </w:tc>
      </w:tr>
      <w:tr w:rsidR="00E20EDE" w:rsidTr="003F10CF">
        <w:trPr>
          <w:jc w:val="center"/>
        </w:trPr>
        <w:tc>
          <w:tcPr>
            <w:tcW w:w="1171" w:type="pct"/>
            <w:vAlign w:val="center"/>
            <w:hideMark/>
          </w:tcPr>
          <w:p w:rsidR="00E20EDE" w:rsidRDefault="00E20EDE" w:rsidP="003F10C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Any</w:t>
            </w:r>
          </w:p>
        </w:tc>
        <w:tc>
          <w:tcPr>
            <w:tcW w:w="906" w:type="pct"/>
            <w:vAlign w:val="center"/>
            <w:hideMark/>
          </w:tcPr>
          <w:p w:rsidR="00E20EDE" w:rsidRDefault="00E20EDE" w:rsidP="003F10C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Manual</w:t>
            </w:r>
          </w:p>
        </w:tc>
        <w:tc>
          <w:tcPr>
            <w:tcW w:w="846" w:type="pct"/>
            <w:vAlign w:val="center"/>
            <w:hideMark/>
          </w:tcPr>
          <w:p w:rsidR="00E20EDE" w:rsidRDefault="00E20EDE" w:rsidP="003F10C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Any</w:t>
            </w:r>
          </w:p>
        </w:tc>
        <w:tc>
          <w:tcPr>
            <w:tcW w:w="1317" w:type="pct"/>
            <w:vAlign w:val="center"/>
            <w:hideMark/>
          </w:tcPr>
          <w:p w:rsidR="00E20EDE" w:rsidRDefault="00E20EDE" w:rsidP="003F10CF">
            <w:pPr>
              <w:keepNext/>
              <w:keepLines/>
              <w:spacing w:after="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8.82*AV+248.4</w:t>
            </w:r>
          </w:p>
        </w:tc>
        <w:tc>
          <w:tcPr>
            <w:tcW w:w="760" w:type="pct"/>
            <w:vAlign w:val="center"/>
          </w:tcPr>
          <w:p w:rsidR="00E20EDE" w:rsidRDefault="00E20EDE" w:rsidP="003F10CF">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n/a</w:t>
            </w:r>
          </w:p>
        </w:tc>
      </w:tr>
      <w:tr w:rsidR="00E20EDE" w:rsidTr="003F10CF">
        <w:trPr>
          <w:jc w:val="center"/>
        </w:trPr>
        <w:tc>
          <w:tcPr>
            <w:tcW w:w="1171" w:type="pct"/>
            <w:vAlign w:val="center"/>
            <w:hideMark/>
          </w:tcPr>
          <w:p w:rsidR="00E20EDE" w:rsidRDefault="00E20EDE" w:rsidP="003F10C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Any</w:t>
            </w:r>
          </w:p>
        </w:tc>
        <w:tc>
          <w:tcPr>
            <w:tcW w:w="906" w:type="pct"/>
            <w:vAlign w:val="center"/>
            <w:hideMark/>
          </w:tcPr>
          <w:p w:rsidR="00E20EDE" w:rsidRDefault="00E20EDE" w:rsidP="003F10C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Partial Automatic</w:t>
            </w:r>
          </w:p>
        </w:tc>
        <w:tc>
          <w:tcPr>
            <w:tcW w:w="846" w:type="pct"/>
            <w:vAlign w:val="center"/>
            <w:hideMark/>
          </w:tcPr>
          <w:p w:rsidR="00E20EDE" w:rsidRDefault="00E20EDE" w:rsidP="003F10C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Any</w:t>
            </w:r>
          </w:p>
        </w:tc>
        <w:tc>
          <w:tcPr>
            <w:tcW w:w="1317" w:type="pct"/>
            <w:vAlign w:val="center"/>
            <w:hideMark/>
          </w:tcPr>
          <w:p w:rsidR="00E20EDE" w:rsidRDefault="00E20EDE" w:rsidP="003F10CF">
            <w:pPr>
              <w:keepNext/>
              <w:keepLines/>
              <w:spacing w:after="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8.82*AV+248.4</w:t>
            </w:r>
          </w:p>
        </w:tc>
        <w:tc>
          <w:tcPr>
            <w:tcW w:w="760" w:type="pct"/>
            <w:vAlign w:val="center"/>
          </w:tcPr>
          <w:p w:rsidR="00E20EDE" w:rsidRDefault="00E20EDE" w:rsidP="003F10CF">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n/a</w:t>
            </w:r>
          </w:p>
        </w:tc>
      </w:tr>
      <w:tr w:rsidR="00E20EDE" w:rsidTr="003F10CF">
        <w:trPr>
          <w:jc w:val="center"/>
        </w:trPr>
        <w:tc>
          <w:tcPr>
            <w:tcW w:w="1171" w:type="pct"/>
            <w:vAlign w:val="center"/>
            <w:hideMark/>
          </w:tcPr>
          <w:p w:rsidR="00E20EDE" w:rsidRDefault="00E20EDE" w:rsidP="003F10C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All-Refrigerator (No Frozen Compartment)</w:t>
            </w:r>
          </w:p>
        </w:tc>
        <w:tc>
          <w:tcPr>
            <w:tcW w:w="906" w:type="pct"/>
            <w:vAlign w:val="center"/>
            <w:hideMark/>
          </w:tcPr>
          <w:p w:rsidR="00E20EDE" w:rsidRDefault="00E20EDE" w:rsidP="003F10C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Automatic</w:t>
            </w:r>
          </w:p>
        </w:tc>
        <w:tc>
          <w:tcPr>
            <w:tcW w:w="846" w:type="pct"/>
            <w:vAlign w:val="center"/>
            <w:hideMark/>
          </w:tcPr>
          <w:p w:rsidR="00E20EDE" w:rsidRDefault="00E20EDE" w:rsidP="003F10C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Any</w:t>
            </w:r>
          </w:p>
        </w:tc>
        <w:tc>
          <w:tcPr>
            <w:tcW w:w="1317" w:type="pct"/>
            <w:vAlign w:val="center"/>
            <w:hideMark/>
          </w:tcPr>
          <w:p w:rsidR="00E20EDE" w:rsidRDefault="00E20EDE" w:rsidP="003F10CF">
            <w:pPr>
              <w:keepNext/>
              <w:keepLines/>
              <w:spacing w:after="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9.8*AV+276</w:t>
            </w:r>
          </w:p>
        </w:tc>
        <w:tc>
          <w:tcPr>
            <w:tcW w:w="760" w:type="pct"/>
            <w:vAlign w:val="center"/>
          </w:tcPr>
          <w:p w:rsidR="00E20EDE" w:rsidRDefault="00E20EDE" w:rsidP="003F10CF">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n/a</w:t>
            </w:r>
          </w:p>
        </w:tc>
      </w:tr>
      <w:tr w:rsidR="00CF1790" w:rsidTr="003F10CF">
        <w:trPr>
          <w:jc w:val="center"/>
        </w:trPr>
        <w:tc>
          <w:tcPr>
            <w:tcW w:w="1171" w:type="pct"/>
            <w:vAlign w:val="center"/>
            <w:hideMark/>
          </w:tcPr>
          <w:p w:rsidR="00CF1790" w:rsidRDefault="00CF1790" w:rsidP="003F10C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Top Mount Freezer</w:t>
            </w:r>
          </w:p>
        </w:tc>
        <w:tc>
          <w:tcPr>
            <w:tcW w:w="906" w:type="pct"/>
            <w:vAlign w:val="center"/>
            <w:hideMark/>
          </w:tcPr>
          <w:p w:rsidR="00CF1790" w:rsidRDefault="00CF1790" w:rsidP="003F10C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Automatic</w:t>
            </w:r>
          </w:p>
        </w:tc>
        <w:tc>
          <w:tcPr>
            <w:tcW w:w="846" w:type="pct"/>
            <w:vAlign w:val="center"/>
            <w:hideMark/>
          </w:tcPr>
          <w:p w:rsidR="00CF1790" w:rsidRDefault="00CF1790" w:rsidP="003F10C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No</w:t>
            </w:r>
          </w:p>
        </w:tc>
        <w:tc>
          <w:tcPr>
            <w:tcW w:w="1317" w:type="pct"/>
            <w:vAlign w:val="center"/>
            <w:hideMark/>
          </w:tcPr>
          <w:p w:rsidR="00CF1790" w:rsidRDefault="00CF1790" w:rsidP="003F10CF">
            <w:pPr>
              <w:keepNext/>
              <w:keepLines/>
              <w:spacing w:after="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9.8*AV+276</w:t>
            </w:r>
          </w:p>
        </w:tc>
        <w:tc>
          <w:tcPr>
            <w:tcW w:w="760" w:type="pct"/>
            <w:vAlign w:val="center"/>
          </w:tcPr>
          <w:p w:rsidR="00CF1790" w:rsidRDefault="00CF1790" w:rsidP="003F10CF">
            <w:pPr>
              <w:keepNext/>
              <w:keepLines/>
              <w:spacing w:after="0"/>
              <w:jc w:val="right"/>
              <w:rPr>
                <w:rFonts w:ascii="Calibri" w:eastAsia="Times New Roman" w:hAnsi="Calibri" w:cs="Times New Roman"/>
                <w:color w:val="000000"/>
                <w:sz w:val="20"/>
                <w:szCs w:val="20"/>
              </w:rPr>
            </w:pPr>
            <w:r>
              <w:rPr>
                <w:rFonts w:ascii="Calibri" w:hAnsi="Calibri"/>
                <w:color w:val="000000"/>
              </w:rPr>
              <w:t>492.93</w:t>
            </w:r>
          </w:p>
        </w:tc>
      </w:tr>
      <w:tr w:rsidR="00CF1790" w:rsidTr="003F10CF">
        <w:trPr>
          <w:jc w:val="center"/>
        </w:trPr>
        <w:tc>
          <w:tcPr>
            <w:tcW w:w="1171" w:type="pct"/>
            <w:vAlign w:val="center"/>
            <w:hideMark/>
          </w:tcPr>
          <w:p w:rsidR="00CF1790" w:rsidRDefault="00CF1790" w:rsidP="003F10C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Side Mount Freezer</w:t>
            </w:r>
          </w:p>
        </w:tc>
        <w:tc>
          <w:tcPr>
            <w:tcW w:w="906" w:type="pct"/>
            <w:vAlign w:val="center"/>
            <w:hideMark/>
          </w:tcPr>
          <w:p w:rsidR="00CF1790" w:rsidRDefault="00CF1790" w:rsidP="003F10C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Automatic</w:t>
            </w:r>
          </w:p>
        </w:tc>
        <w:tc>
          <w:tcPr>
            <w:tcW w:w="846" w:type="pct"/>
            <w:vAlign w:val="center"/>
            <w:hideMark/>
          </w:tcPr>
          <w:p w:rsidR="00CF1790" w:rsidRDefault="00CF1790" w:rsidP="003F10C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No</w:t>
            </w:r>
          </w:p>
        </w:tc>
        <w:tc>
          <w:tcPr>
            <w:tcW w:w="1317" w:type="pct"/>
            <w:vAlign w:val="center"/>
            <w:hideMark/>
          </w:tcPr>
          <w:p w:rsidR="00CF1790" w:rsidRDefault="00CF1790" w:rsidP="003F10CF">
            <w:pPr>
              <w:keepNext/>
              <w:keepLines/>
              <w:spacing w:after="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4.91*AV+507.5</w:t>
            </w:r>
          </w:p>
        </w:tc>
        <w:tc>
          <w:tcPr>
            <w:tcW w:w="760" w:type="pct"/>
            <w:vAlign w:val="center"/>
          </w:tcPr>
          <w:p w:rsidR="00CF1790" w:rsidRDefault="00CF1790" w:rsidP="003F10CF">
            <w:pPr>
              <w:keepNext/>
              <w:keepLines/>
              <w:spacing w:after="0"/>
              <w:jc w:val="right"/>
              <w:rPr>
                <w:rFonts w:ascii="Calibri" w:eastAsia="Times New Roman" w:hAnsi="Calibri" w:cs="Times New Roman"/>
                <w:color w:val="000000"/>
                <w:sz w:val="20"/>
                <w:szCs w:val="20"/>
              </w:rPr>
            </w:pPr>
          </w:p>
        </w:tc>
      </w:tr>
      <w:tr w:rsidR="00CF1790" w:rsidTr="003F10CF">
        <w:trPr>
          <w:jc w:val="center"/>
        </w:trPr>
        <w:tc>
          <w:tcPr>
            <w:tcW w:w="1171" w:type="pct"/>
            <w:vAlign w:val="center"/>
            <w:hideMark/>
          </w:tcPr>
          <w:p w:rsidR="00CF1790" w:rsidRDefault="00CF1790" w:rsidP="003F10C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Bottom Mount Freezer</w:t>
            </w:r>
          </w:p>
        </w:tc>
        <w:tc>
          <w:tcPr>
            <w:tcW w:w="906" w:type="pct"/>
            <w:vAlign w:val="center"/>
            <w:hideMark/>
          </w:tcPr>
          <w:p w:rsidR="00CF1790" w:rsidRDefault="00CF1790" w:rsidP="003F10C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Automatic</w:t>
            </w:r>
          </w:p>
        </w:tc>
        <w:tc>
          <w:tcPr>
            <w:tcW w:w="846" w:type="pct"/>
            <w:vAlign w:val="center"/>
            <w:hideMark/>
          </w:tcPr>
          <w:p w:rsidR="00CF1790" w:rsidRDefault="00CF1790" w:rsidP="003F10C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No</w:t>
            </w:r>
          </w:p>
        </w:tc>
        <w:tc>
          <w:tcPr>
            <w:tcW w:w="1317" w:type="pct"/>
            <w:vAlign w:val="center"/>
            <w:hideMark/>
          </w:tcPr>
          <w:p w:rsidR="00CF1790" w:rsidRDefault="00CF1790" w:rsidP="003F10CF">
            <w:pPr>
              <w:keepNext/>
              <w:keepLines/>
              <w:spacing w:after="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4.6*AV+459</w:t>
            </w:r>
          </w:p>
        </w:tc>
        <w:tc>
          <w:tcPr>
            <w:tcW w:w="760" w:type="pct"/>
            <w:vAlign w:val="center"/>
          </w:tcPr>
          <w:p w:rsidR="00CF1790" w:rsidRDefault="00CF1790" w:rsidP="003F10CF">
            <w:pPr>
              <w:keepNext/>
              <w:keepLines/>
              <w:spacing w:after="0"/>
              <w:jc w:val="right"/>
              <w:rPr>
                <w:rFonts w:ascii="Calibri" w:eastAsia="Times New Roman" w:hAnsi="Calibri" w:cs="Times New Roman"/>
                <w:color w:val="000000"/>
                <w:sz w:val="20"/>
                <w:szCs w:val="20"/>
              </w:rPr>
            </w:pPr>
            <w:r>
              <w:rPr>
                <w:rFonts w:ascii="Calibri" w:hAnsi="Calibri"/>
                <w:color w:val="000000"/>
              </w:rPr>
              <w:t>580.24</w:t>
            </w:r>
          </w:p>
        </w:tc>
      </w:tr>
      <w:tr w:rsidR="00CF1790" w:rsidTr="003F10CF">
        <w:trPr>
          <w:jc w:val="center"/>
        </w:trPr>
        <w:tc>
          <w:tcPr>
            <w:tcW w:w="1171" w:type="pct"/>
            <w:vAlign w:val="center"/>
            <w:hideMark/>
          </w:tcPr>
          <w:p w:rsidR="00CF1790" w:rsidRDefault="00CF1790" w:rsidP="003F10C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Top Mount Freezer</w:t>
            </w:r>
          </w:p>
        </w:tc>
        <w:tc>
          <w:tcPr>
            <w:tcW w:w="906" w:type="pct"/>
            <w:vAlign w:val="center"/>
            <w:hideMark/>
          </w:tcPr>
          <w:p w:rsidR="00CF1790" w:rsidRDefault="00CF1790" w:rsidP="003F10C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Automatic</w:t>
            </w:r>
          </w:p>
        </w:tc>
        <w:tc>
          <w:tcPr>
            <w:tcW w:w="846" w:type="pct"/>
            <w:vAlign w:val="center"/>
            <w:hideMark/>
          </w:tcPr>
          <w:p w:rsidR="00CF1790" w:rsidRDefault="00CF1790" w:rsidP="003F10C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Yes</w:t>
            </w:r>
          </w:p>
        </w:tc>
        <w:tc>
          <w:tcPr>
            <w:tcW w:w="1317" w:type="pct"/>
            <w:vAlign w:val="center"/>
            <w:hideMark/>
          </w:tcPr>
          <w:p w:rsidR="00CF1790" w:rsidRDefault="00CF1790" w:rsidP="003F10CF">
            <w:pPr>
              <w:keepNext/>
              <w:keepLines/>
              <w:spacing w:after="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10.2*AV+356</w:t>
            </w:r>
          </w:p>
        </w:tc>
        <w:tc>
          <w:tcPr>
            <w:tcW w:w="760" w:type="pct"/>
            <w:vAlign w:val="center"/>
          </w:tcPr>
          <w:p w:rsidR="00CF1790" w:rsidRDefault="00CF1790" w:rsidP="003F10CF">
            <w:pPr>
              <w:keepNext/>
              <w:keepLines/>
              <w:spacing w:after="0"/>
              <w:jc w:val="right"/>
              <w:rPr>
                <w:rFonts w:ascii="Calibri" w:eastAsia="Times New Roman" w:hAnsi="Calibri" w:cs="Times New Roman"/>
                <w:color w:val="000000"/>
                <w:sz w:val="20"/>
                <w:szCs w:val="20"/>
              </w:rPr>
            </w:pPr>
          </w:p>
        </w:tc>
      </w:tr>
      <w:tr w:rsidR="00CF1790" w:rsidTr="003F10CF">
        <w:trPr>
          <w:jc w:val="center"/>
        </w:trPr>
        <w:tc>
          <w:tcPr>
            <w:tcW w:w="1171" w:type="pct"/>
            <w:vAlign w:val="center"/>
            <w:hideMark/>
          </w:tcPr>
          <w:p w:rsidR="00CF1790" w:rsidRDefault="00CF1790" w:rsidP="003F10C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Side Mount Freezer</w:t>
            </w:r>
          </w:p>
        </w:tc>
        <w:tc>
          <w:tcPr>
            <w:tcW w:w="906" w:type="pct"/>
            <w:vAlign w:val="center"/>
            <w:hideMark/>
          </w:tcPr>
          <w:p w:rsidR="00CF1790" w:rsidRDefault="00CF1790" w:rsidP="003F10C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Automatic</w:t>
            </w:r>
          </w:p>
        </w:tc>
        <w:tc>
          <w:tcPr>
            <w:tcW w:w="846" w:type="pct"/>
            <w:vAlign w:val="center"/>
            <w:hideMark/>
          </w:tcPr>
          <w:p w:rsidR="00CF1790" w:rsidRDefault="00CF1790" w:rsidP="003F10C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Yes</w:t>
            </w:r>
          </w:p>
        </w:tc>
        <w:tc>
          <w:tcPr>
            <w:tcW w:w="1317" w:type="pct"/>
            <w:vAlign w:val="center"/>
            <w:hideMark/>
          </w:tcPr>
          <w:p w:rsidR="00CF1790" w:rsidRDefault="00CF1790" w:rsidP="003F10CF">
            <w:pPr>
              <w:keepNext/>
              <w:keepLines/>
              <w:spacing w:after="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10.1*AV+406</w:t>
            </w:r>
          </w:p>
        </w:tc>
        <w:tc>
          <w:tcPr>
            <w:tcW w:w="760" w:type="pct"/>
            <w:vAlign w:val="center"/>
          </w:tcPr>
          <w:p w:rsidR="00CF1790" w:rsidRDefault="00CF1790" w:rsidP="003F10CF">
            <w:pPr>
              <w:keepNext/>
              <w:keepLines/>
              <w:spacing w:after="0"/>
              <w:jc w:val="right"/>
              <w:rPr>
                <w:rFonts w:ascii="Calibri" w:eastAsia="Times New Roman" w:hAnsi="Calibri" w:cs="Times New Roman"/>
                <w:color w:val="000000"/>
                <w:sz w:val="20"/>
                <w:szCs w:val="20"/>
              </w:rPr>
            </w:pPr>
            <w:r>
              <w:rPr>
                <w:rFonts w:ascii="Calibri" w:hAnsi="Calibri"/>
                <w:color w:val="000000"/>
              </w:rPr>
              <w:t>715.20</w:t>
            </w:r>
          </w:p>
        </w:tc>
      </w:tr>
      <w:tr w:rsidR="00CF1790" w:rsidTr="003F10CF">
        <w:trPr>
          <w:jc w:val="center"/>
        </w:trPr>
        <w:tc>
          <w:tcPr>
            <w:tcW w:w="1171" w:type="pct"/>
            <w:vAlign w:val="center"/>
            <w:hideMark/>
          </w:tcPr>
          <w:p w:rsidR="00CF1790" w:rsidRDefault="00CF1790" w:rsidP="003F10C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Bottom Mount Freezer</w:t>
            </w:r>
          </w:p>
        </w:tc>
        <w:tc>
          <w:tcPr>
            <w:tcW w:w="906" w:type="pct"/>
            <w:vAlign w:val="center"/>
            <w:hideMark/>
          </w:tcPr>
          <w:p w:rsidR="00CF1790" w:rsidRDefault="00CF1790" w:rsidP="003F10C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Automatic</w:t>
            </w:r>
          </w:p>
        </w:tc>
        <w:tc>
          <w:tcPr>
            <w:tcW w:w="846" w:type="pct"/>
            <w:vAlign w:val="center"/>
            <w:hideMark/>
          </w:tcPr>
          <w:p w:rsidR="00CF1790" w:rsidRDefault="00CF1790" w:rsidP="003F10C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Yes</w:t>
            </w:r>
          </w:p>
        </w:tc>
        <w:tc>
          <w:tcPr>
            <w:tcW w:w="1317" w:type="pct"/>
            <w:vAlign w:val="center"/>
            <w:hideMark/>
          </w:tcPr>
          <w:p w:rsidR="00CF1790" w:rsidRDefault="00CF1790" w:rsidP="003F10CF">
            <w:pPr>
              <w:keepNext/>
              <w:keepLines/>
              <w:spacing w:after="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5.0*AV+539.0</w:t>
            </w:r>
          </w:p>
        </w:tc>
        <w:tc>
          <w:tcPr>
            <w:tcW w:w="760" w:type="pct"/>
            <w:vAlign w:val="center"/>
          </w:tcPr>
          <w:p w:rsidR="00CF1790" w:rsidRDefault="00CF1790" w:rsidP="003F10CF">
            <w:pPr>
              <w:keepNext/>
              <w:keepLines/>
              <w:spacing w:after="0"/>
              <w:jc w:val="right"/>
              <w:rPr>
                <w:rFonts w:ascii="Calibri" w:eastAsia="Times New Roman" w:hAnsi="Calibri" w:cs="Times New Roman"/>
                <w:color w:val="000000"/>
                <w:sz w:val="20"/>
                <w:szCs w:val="20"/>
              </w:rPr>
            </w:pPr>
            <w:r>
              <w:rPr>
                <w:rFonts w:ascii="Calibri" w:hAnsi="Calibri"/>
                <w:color w:val="000000"/>
              </w:rPr>
              <w:t>689.85</w:t>
            </w:r>
          </w:p>
        </w:tc>
      </w:tr>
    </w:tbl>
    <w:p w:rsidR="00A53F92" w:rsidRPr="00BE7D3F" w:rsidRDefault="00BE7D3F" w:rsidP="003F10CF">
      <w:pPr>
        <w:tabs>
          <w:tab w:val="left" w:pos="3894"/>
        </w:tabs>
        <w:spacing w:after="0" w:line="240" w:lineRule="auto"/>
        <w:ind w:left="90" w:hanging="90"/>
        <w:rPr>
          <w:sz w:val="20"/>
          <w:szCs w:val="20"/>
        </w:rPr>
      </w:pPr>
      <w:r w:rsidRPr="00BE7D3F">
        <w:rPr>
          <w:sz w:val="20"/>
          <w:szCs w:val="20"/>
        </w:rPr>
        <w:t>*Federal Register Part IX, 10 CFR Part 430, Vol. 63, No. 81</w:t>
      </w:r>
      <w:r w:rsidR="005E0893">
        <w:rPr>
          <w:sz w:val="20"/>
          <w:szCs w:val="20"/>
        </w:rPr>
        <w:t xml:space="preserve">, </w:t>
      </w:r>
      <w:r w:rsidRPr="005E0893">
        <w:rPr>
          <w:i/>
          <w:sz w:val="20"/>
          <w:szCs w:val="20"/>
        </w:rPr>
        <w:t>Energy Conservation Program for Consumer Products: Energy Conservation Standards for Refrigerators, Refrigerator-Freezers and Freezers</w:t>
      </w:r>
      <w:r w:rsidRPr="00BE7D3F">
        <w:rPr>
          <w:sz w:val="20"/>
          <w:szCs w:val="20"/>
        </w:rPr>
        <w:t>; Final Rule.</w:t>
      </w:r>
      <w:r w:rsidR="00DE1457">
        <w:rPr>
          <w:sz w:val="20"/>
          <w:szCs w:val="20"/>
        </w:rPr>
        <w:t xml:space="preserve"> </w:t>
      </w:r>
      <w:r w:rsidRPr="00BE7D3F">
        <w:rPr>
          <w:sz w:val="20"/>
          <w:szCs w:val="20"/>
        </w:rPr>
        <w:t>Published Monday, April 28, 1997.</w:t>
      </w:r>
      <w:r w:rsidR="00DE1457">
        <w:rPr>
          <w:sz w:val="20"/>
          <w:szCs w:val="20"/>
        </w:rPr>
        <w:t xml:space="preserve"> </w:t>
      </w:r>
      <w:r w:rsidRPr="00BE7D3F">
        <w:rPr>
          <w:sz w:val="20"/>
          <w:szCs w:val="20"/>
        </w:rPr>
        <w:t>Effective July 1, 2001.</w:t>
      </w:r>
    </w:p>
    <w:p w:rsidR="00BE7D3F" w:rsidRDefault="00BE7D3F" w:rsidP="00BE7D3F">
      <w:pPr>
        <w:pStyle w:val="NormalAfterTablesandFigures"/>
      </w:pPr>
    </w:p>
    <w:p w:rsidR="00A53F92" w:rsidRDefault="005E0893" w:rsidP="00BE7D3F">
      <w:r>
        <w:t>T</w:t>
      </w:r>
      <w:r w:rsidR="00A53F92">
        <w:t xml:space="preserve">he Evaluation Team </w:t>
      </w:r>
      <w:r>
        <w:t xml:space="preserve">also </w:t>
      </w:r>
      <w:r w:rsidR="00A53F92">
        <w:t xml:space="preserve">assumed newly installed units </w:t>
      </w:r>
      <w:r>
        <w:t xml:space="preserve">would </w:t>
      </w:r>
      <w:r w:rsidR="00A53F92">
        <w:t>have the same adjusted volume as existing unit</w:t>
      </w:r>
      <w:r>
        <w:t>s</w:t>
      </w:r>
      <w:r w:rsidR="00A53F92">
        <w:t>.</w:t>
      </w:r>
    </w:p>
    <w:p w:rsidR="0075584D" w:rsidRDefault="0075584D" w:rsidP="0075584D">
      <w:r>
        <w:t>The primary driver of the realization rate for the freezer measures relate</w:t>
      </w:r>
      <w:r w:rsidR="00027A6F">
        <w:t>d</w:t>
      </w:r>
      <w:r>
        <w:t xml:space="preserve"> to 2011 </w:t>
      </w:r>
      <w:r w:rsidRPr="00027A6F">
        <w:rPr>
          <w:i/>
        </w:rPr>
        <w:t>ex ante</w:t>
      </w:r>
      <w:r>
        <w:t xml:space="preserve"> savings claimed in the program-tracking database. </w:t>
      </w:r>
      <w:r w:rsidR="00822328">
        <w:t>A</w:t>
      </w:r>
      <w:r>
        <w:t xml:space="preserve">verage </w:t>
      </w:r>
      <w:r w:rsidRPr="0075584D">
        <w:rPr>
          <w:i/>
        </w:rPr>
        <w:t>ex ante</w:t>
      </w:r>
      <w:r>
        <w:t xml:space="preserve"> savings reported in the utility tracking data appear</w:t>
      </w:r>
      <w:r w:rsidR="00822328">
        <w:t>ed</w:t>
      </w:r>
      <w:r>
        <w:t xml:space="preserve"> closer to estimate</w:t>
      </w:r>
      <w:r w:rsidR="00822328">
        <w:t>s</w:t>
      </w:r>
      <w:r>
        <w:t xml:space="preserve"> of lifetime savings</w:t>
      </w:r>
      <w:r w:rsidR="00822328">
        <w:t>,</w:t>
      </w:r>
      <w:r>
        <w:rPr>
          <w:rStyle w:val="FootnoteReference"/>
        </w:rPr>
        <w:footnoteReference w:id="22"/>
      </w:r>
      <w:r>
        <w:t xml:space="preserve"> rather than first</w:t>
      </w:r>
      <w:r w:rsidR="00822328">
        <w:t>-</w:t>
      </w:r>
      <w:r>
        <w:t xml:space="preserve">year savings for freezer replacements. </w:t>
      </w:r>
    </w:p>
    <w:p w:rsidR="0067604A" w:rsidRDefault="0067604A" w:rsidP="00BE7D3F">
      <w:r>
        <w:t xml:space="preserve">The </w:t>
      </w:r>
      <w:r w:rsidR="004F54B9">
        <w:t xml:space="preserve">Evaluation Team </w:t>
      </w:r>
      <w:r>
        <w:t xml:space="preserve">evaluated </w:t>
      </w:r>
      <w:r w:rsidR="00A17527">
        <w:t xml:space="preserve">refrigerators and freezer replacements </w:t>
      </w:r>
      <w:r>
        <w:t>as lost opportunity measure</w:t>
      </w:r>
      <w:r w:rsidR="00A17527">
        <w:t>s, which assumed the replacement of a standard efficiency unit, rather than an existing baseline, with an ENERGY STAR unit</w:t>
      </w:r>
      <w:r>
        <w:t>.</w:t>
      </w:r>
      <w:r w:rsidR="00DE1457">
        <w:t xml:space="preserve"> </w:t>
      </w:r>
      <w:r w:rsidR="00A17527">
        <w:t>S</w:t>
      </w:r>
      <w:r>
        <w:t xml:space="preserve">avings </w:t>
      </w:r>
      <w:r w:rsidR="00BE4877">
        <w:t xml:space="preserve">were </w:t>
      </w:r>
      <w:r>
        <w:t xml:space="preserve">evaluated and reported on a per-annum basis, meaning </w:t>
      </w:r>
      <w:r w:rsidR="001C3F4D">
        <w:rPr>
          <w:i/>
        </w:rPr>
        <w:t>evaluated gross</w:t>
      </w:r>
      <w:r>
        <w:t xml:space="preserve"> savings only account</w:t>
      </w:r>
      <w:r w:rsidR="00BE4877">
        <w:t>ed</w:t>
      </w:r>
      <w:r>
        <w:t xml:space="preserve"> for one year of savings</w:t>
      </w:r>
      <w:r w:rsidR="00BE4877">
        <w:t xml:space="preserve"> (</w:t>
      </w:r>
      <w:r>
        <w:t xml:space="preserve">rather than four (and/or </w:t>
      </w:r>
      <w:r w:rsidR="00BE4877">
        <w:t>11</w:t>
      </w:r>
      <w:r>
        <w:t>) years of savings</w:t>
      </w:r>
      <w:r w:rsidR="00BE4877">
        <w:t>)</w:t>
      </w:r>
      <w:r>
        <w:t>.</w:t>
      </w:r>
    </w:p>
    <w:p w:rsidR="0067604A" w:rsidRDefault="0067604A" w:rsidP="00BE7D3F">
      <w:r>
        <w:t xml:space="preserve">For refrigerators, the primary factors driving the realization rate </w:t>
      </w:r>
      <w:r w:rsidR="00BE4877">
        <w:t xml:space="preserve">were the </w:t>
      </w:r>
      <w:r>
        <w:t>evaluated energy consumption of the installed and baseline (federal standard) units.</w:t>
      </w:r>
      <w:r w:rsidR="00DE1457">
        <w:t xml:space="preserve"> </w:t>
      </w:r>
      <w:r>
        <w:t xml:space="preserve">The </w:t>
      </w:r>
      <w:r w:rsidR="004F54B9">
        <w:t xml:space="preserve">Evaluation Team </w:t>
      </w:r>
      <w:r>
        <w:t>relied on the tracking data to identify the installed unit’s energy consumption</w:t>
      </w:r>
      <w:r w:rsidR="00BE4877">
        <w:t>,</w:t>
      </w:r>
      <w:r>
        <w:t xml:space="preserve"> based on the ENERGY STAR database</w:t>
      </w:r>
      <w:r w:rsidR="00BE4877">
        <w:t xml:space="preserve">, and </w:t>
      </w:r>
      <w:r>
        <w:t>then assumed the existing unit was the same size (</w:t>
      </w:r>
      <w:r w:rsidR="00BE4877">
        <w:t xml:space="preserve">i.e., the </w:t>
      </w:r>
      <w:r>
        <w:t>adjusted volume) and configuration as the installed unit</w:t>
      </w:r>
      <w:r w:rsidR="00BE4877">
        <w:t xml:space="preserve">. </w:t>
      </w:r>
    </w:p>
    <w:p w:rsidR="00CA10A6" w:rsidRPr="00CA10A6" w:rsidRDefault="00CA10A6" w:rsidP="00BE7D3F">
      <w:pPr>
        <w:pStyle w:val="Heading5"/>
      </w:pPr>
      <w:r>
        <w:lastRenderedPageBreak/>
        <w:t>Clothes Washers</w:t>
      </w:r>
    </w:p>
    <w:p w:rsidR="002D0B64" w:rsidRPr="00CA10A6" w:rsidRDefault="002D0B64" w:rsidP="00BE7D3F">
      <w:r>
        <w:t xml:space="preserve">The Evaluation Team calculated savings for clothes washer installations using the 2013 PSD algorithms and the assumption that if a dryer fuel was not listed, the dryer savings </w:t>
      </w:r>
      <w:r w:rsidR="00BE4877">
        <w:t xml:space="preserve">would be </w:t>
      </w:r>
      <w:r>
        <w:t xml:space="preserve">accounted for </w:t>
      </w:r>
      <w:r w:rsidR="00BE4877">
        <w:t xml:space="preserve">using </w:t>
      </w:r>
      <w:r>
        <w:t xml:space="preserve">the algorithm for </w:t>
      </w:r>
      <w:r w:rsidR="00BE4877">
        <w:t xml:space="preserve">an </w:t>
      </w:r>
      <w:r>
        <w:t>unknown fuel type outlined in the PSD</w:t>
      </w:r>
      <w:r w:rsidR="00F20499">
        <w:t>.</w:t>
      </w:r>
      <w:r w:rsidR="00DE1457">
        <w:t xml:space="preserve"> </w:t>
      </w:r>
      <w:r>
        <w:t>The Evaluation Team matched the program tracked units to the ENERGY STAR database</w:t>
      </w:r>
      <w:r w:rsidR="00BE4877">
        <w:t>,</w:t>
      </w:r>
      <w:r>
        <w:t xml:space="preserve"> using the unit make and model number recorded in the utility tracking data</w:t>
      </w:r>
      <w:r w:rsidR="00BE4877">
        <w:t>,</w:t>
      </w:r>
      <w:r>
        <w:t xml:space="preserve"> determin</w:t>
      </w:r>
      <w:r w:rsidR="00BE4877">
        <w:t>ing</w:t>
      </w:r>
      <w:r>
        <w:t xml:space="preserve"> the unit capacity and modified energy factor (MEF).</w:t>
      </w:r>
      <w:r w:rsidR="00DE1457">
        <w:t xml:space="preserve"> </w:t>
      </w:r>
      <w:r>
        <w:t xml:space="preserve">In some instances, the </w:t>
      </w:r>
      <w:r w:rsidR="004F54B9">
        <w:t xml:space="preserve">Evaluation Team </w:t>
      </w:r>
      <w:r>
        <w:t xml:space="preserve">found tracked savings were allocated incorrectly, such as when a </w:t>
      </w:r>
      <w:r w:rsidRPr="00CA10A6">
        <w:t xml:space="preserve">residence was classified as having a </w:t>
      </w:r>
      <w:r w:rsidR="004D6698">
        <w:t>gas</w:t>
      </w:r>
      <w:r w:rsidR="006401CF">
        <w:t xml:space="preserve"> </w:t>
      </w:r>
      <w:r w:rsidRPr="00CA10A6">
        <w:t xml:space="preserve">washer/dryer setup, but </w:t>
      </w:r>
      <w:r w:rsidR="00BE4877">
        <w:t xml:space="preserve">recorded </w:t>
      </w:r>
      <w:r w:rsidRPr="00CA10A6">
        <w:t>savings in kWh.</w:t>
      </w:r>
      <w:r w:rsidR="00DE1457">
        <w:t xml:space="preserve"> </w:t>
      </w:r>
    </w:p>
    <w:p w:rsidR="002D0B64" w:rsidRDefault="002D0B64" w:rsidP="00BE7D3F">
      <w:r w:rsidRPr="00CA10A6">
        <w:t xml:space="preserve">The average capacity and MEF for installed units were evaluated </w:t>
      </w:r>
      <w:r w:rsidR="00BE4877">
        <w:t>at</w:t>
      </w:r>
      <w:r w:rsidRPr="00CA10A6">
        <w:t xml:space="preserve"> 3.7 cubic feet and 2.5 cubic fee</w:t>
      </w:r>
      <w:r w:rsidR="00F20499">
        <w:t>t</w:t>
      </w:r>
      <w:r w:rsidRPr="00CA10A6">
        <w:t>/kWh per</w:t>
      </w:r>
      <w:r w:rsidR="00BE4877">
        <w:t xml:space="preserve"> </w:t>
      </w:r>
      <w:r w:rsidRPr="00CA10A6">
        <w:t>cycle, respectively.</w:t>
      </w:r>
      <w:r w:rsidR="00DE1457">
        <w:t xml:space="preserve"> </w:t>
      </w:r>
      <w:r w:rsidRPr="00CA10A6">
        <w:t xml:space="preserve">The PSD outlined baseline MEF </w:t>
      </w:r>
      <w:r w:rsidR="00BE4877">
        <w:t>was</w:t>
      </w:r>
      <w:r w:rsidRPr="00CA10A6">
        <w:t xml:space="preserve"> 1.8 cubic feet/kWh per cycle</w:t>
      </w:r>
      <w:r w:rsidR="00BE4877">
        <w:t xml:space="preserve">; the </w:t>
      </w:r>
      <w:r w:rsidRPr="00CA10A6">
        <w:t>evaluated electric realization rate was 45%, with per-unit and per-household savings of 1,285 kWh.</w:t>
      </w:r>
    </w:p>
    <w:p w:rsidR="00CA10A6" w:rsidRDefault="00B20586" w:rsidP="00BE7D3F">
      <w:pPr>
        <w:rPr>
          <w:b/>
          <w:i/>
        </w:rPr>
      </w:pPr>
      <w:r>
        <w:t>The primary factor driving the clothes washer realization rate was that evaluated savings used the lost opportunity savings calculation approach (assuming a standard baseline) as opposed to calculating savings based on early retirement (assuming an existing baseline).</w:t>
      </w:r>
    </w:p>
    <w:p w:rsidR="00CA10A6" w:rsidRPr="00CA10A6" w:rsidRDefault="00CA10A6" w:rsidP="00BE7D3F">
      <w:pPr>
        <w:pStyle w:val="Heading5"/>
      </w:pPr>
      <w:r>
        <w:t>Dehumidifiers</w:t>
      </w:r>
    </w:p>
    <w:p w:rsidR="002D0B64" w:rsidRPr="004260E7" w:rsidRDefault="002D0B64" w:rsidP="00BE7D3F">
      <w:bookmarkStart w:id="76" w:name="_Ref388197003"/>
      <w:r>
        <w:t>Dehumidifiers were evaluated as a lost opportunity measure using the 2013 PSD</w:t>
      </w:r>
      <w:r w:rsidR="00BE4877">
        <w:t>,</w:t>
      </w:r>
      <w:r>
        <w:t xml:space="preserve"> based on savings realized by installing a new, high-efficiency unit rather than installing a unit meet</w:t>
      </w:r>
      <w:r w:rsidR="00BE4877">
        <w:t xml:space="preserve">ing </w:t>
      </w:r>
      <w:r>
        <w:t xml:space="preserve">the minimum federal standard. Using the 2012 Federal Standard, the Evaluation Team assessed baseline efficiency, as shown in </w:t>
      </w:r>
      <w:r w:rsidR="005C2163">
        <w:fldChar w:fldCharType="begin"/>
      </w:r>
      <w:r w:rsidR="00BE7D3F">
        <w:instrText xml:space="preserve"> REF _Ref388431429 \h </w:instrText>
      </w:r>
      <w:r w:rsidR="005C2163">
        <w:fldChar w:fldCharType="separate"/>
      </w:r>
      <w:r w:rsidR="00CD20CF">
        <w:t xml:space="preserve">Table </w:t>
      </w:r>
      <w:r w:rsidR="00CD20CF">
        <w:rPr>
          <w:noProof/>
        </w:rPr>
        <w:t>33</w:t>
      </w:r>
      <w:r w:rsidR="005C2163">
        <w:fldChar w:fldCharType="end"/>
      </w:r>
      <w:r>
        <w:t>.</w:t>
      </w:r>
    </w:p>
    <w:p w:rsidR="004260E7" w:rsidRDefault="004260E7" w:rsidP="00F20499">
      <w:pPr>
        <w:pStyle w:val="Caption"/>
      </w:pPr>
      <w:bookmarkStart w:id="77" w:name="_Ref388431429"/>
      <w:r>
        <w:t xml:space="preserve">Table </w:t>
      </w:r>
      <w:r w:rsidR="002506E1">
        <w:fldChar w:fldCharType="begin"/>
      </w:r>
      <w:r w:rsidR="002506E1">
        <w:instrText xml:space="preserve"> SEQ Table \* ARABIC </w:instrText>
      </w:r>
      <w:r w:rsidR="002506E1">
        <w:fldChar w:fldCharType="separate"/>
      </w:r>
      <w:r w:rsidR="00CD20CF">
        <w:rPr>
          <w:noProof/>
        </w:rPr>
        <w:t>33</w:t>
      </w:r>
      <w:r w:rsidR="002506E1">
        <w:rPr>
          <w:noProof/>
        </w:rPr>
        <w:fldChar w:fldCharType="end"/>
      </w:r>
      <w:bookmarkEnd w:id="76"/>
      <w:bookmarkEnd w:id="77"/>
      <w:r>
        <w:t xml:space="preserve">. Average Baseline Electric Efficiency for </w:t>
      </w:r>
      <w:r w:rsidR="00CA10A6">
        <w:t>Dehumidifier</w:t>
      </w:r>
      <w:r w:rsidR="00BE4877">
        <w:t>s</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60"/>
        <w:gridCol w:w="5139"/>
      </w:tblGrid>
      <w:tr w:rsidR="00CA10A6" w:rsidTr="00BE7D3F">
        <w:trPr>
          <w:jc w:val="center"/>
        </w:trPr>
        <w:tc>
          <w:tcPr>
            <w:tcW w:w="0" w:type="auto"/>
            <w:shd w:val="clear" w:color="auto" w:fill="005DAA"/>
            <w:vAlign w:val="center"/>
            <w:hideMark/>
          </w:tcPr>
          <w:p w:rsidR="00CA10A6" w:rsidRPr="00BE7D3F" w:rsidRDefault="00CA10A6" w:rsidP="00BE7D3F">
            <w:pPr>
              <w:keepNext/>
              <w:keepLines/>
              <w:spacing w:after="0"/>
              <w:jc w:val="center"/>
              <w:rPr>
                <w:rFonts w:ascii="Calibri" w:eastAsia="Times New Roman" w:hAnsi="Calibri" w:cs="Times New Roman"/>
                <w:b/>
                <w:bCs/>
                <w:color w:val="FFFFFF"/>
              </w:rPr>
            </w:pPr>
            <w:r w:rsidRPr="00BE7D3F">
              <w:rPr>
                <w:rFonts w:ascii="Calibri" w:eastAsia="Times New Roman" w:hAnsi="Calibri" w:cs="Times New Roman"/>
                <w:b/>
                <w:bCs/>
                <w:color w:val="FFFFFF"/>
              </w:rPr>
              <w:t>Capacity (Pints/day)</w:t>
            </w:r>
          </w:p>
        </w:tc>
        <w:tc>
          <w:tcPr>
            <w:tcW w:w="0" w:type="auto"/>
            <w:shd w:val="clear" w:color="auto" w:fill="005DAA"/>
            <w:vAlign w:val="center"/>
            <w:hideMark/>
          </w:tcPr>
          <w:p w:rsidR="00CA10A6" w:rsidRPr="00BE7D3F" w:rsidRDefault="00CA10A6" w:rsidP="00BE7D3F">
            <w:pPr>
              <w:keepNext/>
              <w:keepLines/>
              <w:spacing w:after="0"/>
              <w:jc w:val="center"/>
              <w:rPr>
                <w:rFonts w:ascii="Calibri" w:eastAsia="Times New Roman" w:hAnsi="Calibri" w:cs="Times New Roman"/>
                <w:b/>
                <w:bCs/>
                <w:color w:val="FFFFFF"/>
              </w:rPr>
            </w:pPr>
            <w:r w:rsidRPr="00BE7D3F">
              <w:rPr>
                <w:rFonts w:ascii="Calibri" w:eastAsia="Times New Roman" w:hAnsi="Calibri" w:cs="Times New Roman"/>
                <w:b/>
                <w:bCs/>
                <w:color w:val="FFFFFF"/>
              </w:rPr>
              <w:t>2012 Federal Standard for Dehumidifier Energy Factor</w:t>
            </w:r>
          </w:p>
        </w:tc>
      </w:tr>
      <w:tr w:rsidR="00CA10A6" w:rsidTr="00BE7D3F">
        <w:trPr>
          <w:jc w:val="center"/>
        </w:trPr>
        <w:tc>
          <w:tcPr>
            <w:tcW w:w="0" w:type="auto"/>
            <w:vAlign w:val="center"/>
            <w:hideMark/>
          </w:tcPr>
          <w:p w:rsidR="00CA10A6" w:rsidRDefault="00CA10A6" w:rsidP="00BE7D3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 25</w:t>
            </w:r>
          </w:p>
        </w:tc>
        <w:tc>
          <w:tcPr>
            <w:tcW w:w="0" w:type="auto"/>
            <w:vMerge w:val="restart"/>
            <w:vAlign w:val="center"/>
            <w:hideMark/>
          </w:tcPr>
          <w:p w:rsidR="00CA10A6" w:rsidRDefault="00CA10A6" w:rsidP="00BE7D3F">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1.35</w:t>
            </w:r>
          </w:p>
        </w:tc>
      </w:tr>
      <w:tr w:rsidR="00CA10A6" w:rsidTr="00BE7D3F">
        <w:trPr>
          <w:jc w:val="center"/>
        </w:trPr>
        <w:tc>
          <w:tcPr>
            <w:tcW w:w="0" w:type="auto"/>
            <w:vAlign w:val="center"/>
            <w:hideMark/>
          </w:tcPr>
          <w:p w:rsidR="00CA10A6" w:rsidRDefault="00CA10A6" w:rsidP="00BE7D3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&gt; 25 to ≤ 35</w:t>
            </w:r>
          </w:p>
        </w:tc>
        <w:tc>
          <w:tcPr>
            <w:tcW w:w="0" w:type="auto"/>
            <w:vMerge/>
            <w:vAlign w:val="center"/>
            <w:hideMark/>
          </w:tcPr>
          <w:p w:rsidR="00CA10A6" w:rsidRDefault="00CA10A6" w:rsidP="00BE7D3F">
            <w:pPr>
              <w:keepNext/>
              <w:keepLines/>
              <w:spacing w:after="0"/>
              <w:jc w:val="right"/>
              <w:rPr>
                <w:rFonts w:ascii="Calibri" w:eastAsia="Times New Roman" w:hAnsi="Calibri" w:cs="Times New Roman"/>
                <w:color w:val="000000"/>
                <w:sz w:val="20"/>
                <w:szCs w:val="20"/>
              </w:rPr>
            </w:pPr>
          </w:p>
        </w:tc>
      </w:tr>
      <w:tr w:rsidR="00CA10A6" w:rsidTr="00BE7D3F">
        <w:trPr>
          <w:jc w:val="center"/>
        </w:trPr>
        <w:tc>
          <w:tcPr>
            <w:tcW w:w="0" w:type="auto"/>
            <w:vAlign w:val="center"/>
            <w:hideMark/>
          </w:tcPr>
          <w:p w:rsidR="00CA10A6" w:rsidRDefault="00CA10A6" w:rsidP="00BE7D3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&gt; 35 to ≤ 45</w:t>
            </w:r>
          </w:p>
        </w:tc>
        <w:tc>
          <w:tcPr>
            <w:tcW w:w="0" w:type="auto"/>
            <w:vAlign w:val="center"/>
            <w:hideMark/>
          </w:tcPr>
          <w:p w:rsidR="00CA10A6" w:rsidRDefault="00CA10A6" w:rsidP="00BE7D3F">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1.5</w:t>
            </w:r>
          </w:p>
        </w:tc>
      </w:tr>
      <w:tr w:rsidR="00CA10A6" w:rsidTr="00BE7D3F">
        <w:trPr>
          <w:jc w:val="center"/>
        </w:trPr>
        <w:tc>
          <w:tcPr>
            <w:tcW w:w="0" w:type="auto"/>
            <w:vAlign w:val="center"/>
            <w:hideMark/>
          </w:tcPr>
          <w:p w:rsidR="00CA10A6" w:rsidRDefault="00CA10A6" w:rsidP="00BE7D3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&gt; 45 to ≤ 54</w:t>
            </w:r>
          </w:p>
        </w:tc>
        <w:tc>
          <w:tcPr>
            <w:tcW w:w="0" w:type="auto"/>
            <w:vAlign w:val="center"/>
            <w:hideMark/>
          </w:tcPr>
          <w:p w:rsidR="00CA10A6" w:rsidRDefault="00CA10A6" w:rsidP="00BE7D3F">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1.6</w:t>
            </w:r>
          </w:p>
        </w:tc>
      </w:tr>
      <w:tr w:rsidR="00CA10A6" w:rsidTr="00BE7D3F">
        <w:trPr>
          <w:jc w:val="center"/>
        </w:trPr>
        <w:tc>
          <w:tcPr>
            <w:tcW w:w="0" w:type="auto"/>
            <w:vAlign w:val="center"/>
            <w:hideMark/>
          </w:tcPr>
          <w:p w:rsidR="00CA10A6" w:rsidRDefault="00CA10A6" w:rsidP="00BE7D3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&gt; 54 to &lt; 75</w:t>
            </w:r>
          </w:p>
        </w:tc>
        <w:tc>
          <w:tcPr>
            <w:tcW w:w="0" w:type="auto"/>
            <w:vAlign w:val="center"/>
            <w:hideMark/>
          </w:tcPr>
          <w:p w:rsidR="00CA10A6" w:rsidRDefault="00CA10A6" w:rsidP="00BE7D3F">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1.7</w:t>
            </w:r>
          </w:p>
        </w:tc>
      </w:tr>
      <w:tr w:rsidR="00CA10A6" w:rsidTr="00BE7D3F">
        <w:trPr>
          <w:jc w:val="center"/>
        </w:trPr>
        <w:tc>
          <w:tcPr>
            <w:tcW w:w="0" w:type="auto"/>
            <w:vAlign w:val="center"/>
            <w:hideMark/>
          </w:tcPr>
          <w:p w:rsidR="00CA10A6" w:rsidRDefault="00CA10A6" w:rsidP="00BE7D3F">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 75 to ≤ 185</w:t>
            </w:r>
          </w:p>
        </w:tc>
        <w:tc>
          <w:tcPr>
            <w:tcW w:w="0" w:type="auto"/>
            <w:vAlign w:val="center"/>
            <w:hideMark/>
          </w:tcPr>
          <w:p w:rsidR="00CA10A6" w:rsidRDefault="00CA10A6" w:rsidP="00BE7D3F">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2.5</w:t>
            </w:r>
          </w:p>
        </w:tc>
      </w:tr>
    </w:tbl>
    <w:p w:rsidR="00CA10A6" w:rsidRPr="00CA10A6" w:rsidRDefault="00CA10A6" w:rsidP="00BE7D3F">
      <w:pPr>
        <w:pStyle w:val="NormalAfterTablesandFigures"/>
      </w:pPr>
    </w:p>
    <w:p w:rsidR="002D0B64" w:rsidRDefault="002D0B64" w:rsidP="00BE7D3F">
      <w:r>
        <w:t>The average energy factor of newly installed units was determined by matching unit model numbers against the ENERGY STAR database.</w:t>
      </w:r>
      <w:r w:rsidR="00DE1457">
        <w:t xml:space="preserve"> </w:t>
      </w:r>
      <w:r>
        <w:t>The majority of installed units occurred within higher</w:t>
      </w:r>
      <w:r w:rsidR="00BE4877">
        <w:t>-</w:t>
      </w:r>
      <w:r>
        <w:t>capacity bins</w:t>
      </w:r>
      <w:r w:rsidRPr="00A05E10">
        <w:t>.</w:t>
      </w:r>
      <w:r w:rsidR="00DE1457">
        <w:t xml:space="preserve"> </w:t>
      </w:r>
      <w:r>
        <w:t>Units in the lower</w:t>
      </w:r>
      <w:r w:rsidR="00BE4877">
        <w:t>-</w:t>
      </w:r>
      <w:r>
        <w:t xml:space="preserve">capacity bins actually realized negative savings, as the units installed were below the efficiency level outlined in the 2012 Federal Standard. </w:t>
      </w:r>
      <w:r w:rsidR="00141712">
        <w:t xml:space="preserve">Consequently, </w:t>
      </w:r>
      <w:r w:rsidR="001A4237">
        <w:t xml:space="preserve">although the unit was considered efficient during the 2011 program year, when evaluated using the 2013 PSD, the unit would be less efficient than the baseline outlined by the PSD. </w:t>
      </w:r>
      <w:r>
        <w:t>As a result, some units installed in 2011 actually consum</w:t>
      </w:r>
      <w:r w:rsidR="00BE4877">
        <w:t>ed</w:t>
      </w:r>
      <w:r>
        <w:t xml:space="preserve"> more energy than baseline units, resulting in negative savings.</w:t>
      </w:r>
    </w:p>
    <w:p w:rsidR="00CA10A6" w:rsidRDefault="00CA10A6" w:rsidP="001D5EAA">
      <w:pPr>
        <w:pStyle w:val="Caption"/>
        <w:pageBreakBefore/>
      </w:pPr>
      <w:r>
        <w:lastRenderedPageBreak/>
        <w:t xml:space="preserve">Table </w:t>
      </w:r>
      <w:r w:rsidR="002506E1">
        <w:fldChar w:fldCharType="begin"/>
      </w:r>
      <w:r w:rsidR="002506E1">
        <w:instrText xml:space="preserve"> SEQ Table \* ARABIC </w:instrText>
      </w:r>
      <w:r w:rsidR="002506E1">
        <w:fldChar w:fldCharType="separate"/>
      </w:r>
      <w:r w:rsidR="00CD20CF">
        <w:rPr>
          <w:noProof/>
        </w:rPr>
        <w:t>34</w:t>
      </w:r>
      <w:r w:rsidR="002506E1">
        <w:rPr>
          <w:noProof/>
        </w:rPr>
        <w:fldChar w:fldCharType="end"/>
      </w:r>
      <w:r>
        <w:t>. Average Dehumidifier Energy Factor</w:t>
      </w:r>
    </w:p>
    <w:tbl>
      <w:tblPr>
        <w:tblW w:w="500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08"/>
        <w:gridCol w:w="4746"/>
        <w:gridCol w:w="2022"/>
      </w:tblGrid>
      <w:tr w:rsidR="00CA10A6" w:rsidTr="001D5EAA">
        <w:trPr>
          <w:cantSplit/>
          <w:trHeight w:val="309"/>
          <w:jc w:val="center"/>
        </w:trPr>
        <w:tc>
          <w:tcPr>
            <w:tcW w:w="1466" w:type="pct"/>
            <w:vMerge w:val="restart"/>
            <w:shd w:val="clear" w:color="auto" w:fill="005DAA"/>
            <w:vAlign w:val="center"/>
            <w:hideMark/>
          </w:tcPr>
          <w:p w:rsidR="00CA10A6" w:rsidRDefault="00CA10A6" w:rsidP="00BE7D3F">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Capacity (Pints/day)</w:t>
            </w:r>
          </w:p>
        </w:tc>
        <w:tc>
          <w:tcPr>
            <w:tcW w:w="2478" w:type="pct"/>
            <w:vMerge w:val="restart"/>
            <w:shd w:val="clear" w:color="auto" w:fill="005DAA"/>
            <w:vAlign w:val="center"/>
            <w:hideMark/>
          </w:tcPr>
          <w:p w:rsidR="00CA10A6" w:rsidRDefault="00CA10A6" w:rsidP="00BE7D3F">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Average Energy Factor from Utility Tracking Data</w:t>
            </w:r>
          </w:p>
        </w:tc>
        <w:tc>
          <w:tcPr>
            <w:tcW w:w="1056" w:type="pct"/>
            <w:vMerge w:val="restart"/>
            <w:shd w:val="clear" w:color="auto" w:fill="005DAA"/>
            <w:vAlign w:val="center"/>
            <w:hideMark/>
          </w:tcPr>
          <w:p w:rsidR="00CA10A6" w:rsidRDefault="00CA10A6" w:rsidP="00BE7D3F">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Number of Units</w:t>
            </w:r>
          </w:p>
        </w:tc>
      </w:tr>
      <w:tr w:rsidR="00CA10A6" w:rsidTr="001D5EAA">
        <w:trPr>
          <w:cantSplit/>
          <w:trHeight w:val="309"/>
          <w:jc w:val="center"/>
        </w:trPr>
        <w:tc>
          <w:tcPr>
            <w:tcW w:w="1466" w:type="pct"/>
            <w:vMerge/>
            <w:vAlign w:val="center"/>
            <w:hideMark/>
          </w:tcPr>
          <w:p w:rsidR="00CA10A6" w:rsidRDefault="00CA10A6" w:rsidP="00BE7D3F">
            <w:pPr>
              <w:spacing w:after="0"/>
              <w:rPr>
                <w:rFonts w:ascii="Calibri" w:eastAsia="Times New Roman" w:hAnsi="Calibri" w:cs="Times New Roman"/>
                <w:b/>
                <w:bCs/>
                <w:color w:val="FFFFFF"/>
              </w:rPr>
            </w:pPr>
          </w:p>
        </w:tc>
        <w:tc>
          <w:tcPr>
            <w:tcW w:w="2478" w:type="pct"/>
            <w:vMerge/>
            <w:vAlign w:val="center"/>
            <w:hideMark/>
          </w:tcPr>
          <w:p w:rsidR="00CA10A6" w:rsidRDefault="00CA10A6" w:rsidP="00BE7D3F">
            <w:pPr>
              <w:spacing w:after="0"/>
              <w:rPr>
                <w:rFonts w:ascii="Calibri" w:eastAsia="Times New Roman" w:hAnsi="Calibri" w:cs="Times New Roman"/>
                <w:b/>
                <w:bCs/>
                <w:color w:val="FFFFFF"/>
              </w:rPr>
            </w:pPr>
          </w:p>
        </w:tc>
        <w:tc>
          <w:tcPr>
            <w:tcW w:w="1056" w:type="pct"/>
            <w:vMerge/>
            <w:vAlign w:val="center"/>
            <w:hideMark/>
          </w:tcPr>
          <w:p w:rsidR="00CA10A6" w:rsidRDefault="00CA10A6" w:rsidP="00BE7D3F">
            <w:pPr>
              <w:spacing w:after="0"/>
              <w:rPr>
                <w:rFonts w:ascii="Calibri" w:eastAsia="Times New Roman" w:hAnsi="Calibri" w:cs="Times New Roman"/>
                <w:b/>
                <w:bCs/>
                <w:color w:val="FFFFFF"/>
              </w:rPr>
            </w:pPr>
          </w:p>
        </w:tc>
      </w:tr>
      <w:tr w:rsidR="00CA10A6" w:rsidTr="001D5EAA">
        <w:trPr>
          <w:cantSplit/>
          <w:jc w:val="center"/>
        </w:trPr>
        <w:tc>
          <w:tcPr>
            <w:tcW w:w="1466" w:type="pct"/>
            <w:vAlign w:val="center"/>
            <w:hideMark/>
          </w:tcPr>
          <w:p w:rsidR="00CA10A6" w:rsidRDefault="00CA10A6" w:rsidP="00BE7D3F">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 25</w:t>
            </w:r>
          </w:p>
        </w:tc>
        <w:tc>
          <w:tcPr>
            <w:tcW w:w="2478" w:type="pct"/>
            <w:vAlign w:val="center"/>
            <w:hideMark/>
          </w:tcPr>
          <w:p w:rsidR="00CA10A6" w:rsidRDefault="00CA10A6" w:rsidP="00BE7D3F">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1.20</w:t>
            </w:r>
          </w:p>
        </w:tc>
        <w:tc>
          <w:tcPr>
            <w:tcW w:w="1056" w:type="pct"/>
            <w:vAlign w:val="center"/>
            <w:hideMark/>
          </w:tcPr>
          <w:p w:rsidR="00CA10A6" w:rsidRDefault="00CA10A6" w:rsidP="00BE7D3F">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11.00</w:t>
            </w:r>
          </w:p>
        </w:tc>
      </w:tr>
      <w:tr w:rsidR="00CA10A6" w:rsidTr="001D5EAA">
        <w:trPr>
          <w:cantSplit/>
          <w:jc w:val="center"/>
        </w:trPr>
        <w:tc>
          <w:tcPr>
            <w:tcW w:w="1466" w:type="pct"/>
            <w:vAlign w:val="center"/>
            <w:hideMark/>
          </w:tcPr>
          <w:p w:rsidR="00CA10A6" w:rsidRDefault="00CA10A6" w:rsidP="00BE7D3F">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&gt; 25 to ≤ 35</w:t>
            </w:r>
          </w:p>
        </w:tc>
        <w:tc>
          <w:tcPr>
            <w:tcW w:w="2478" w:type="pct"/>
            <w:vAlign w:val="center"/>
            <w:hideMark/>
          </w:tcPr>
          <w:p w:rsidR="00CA10A6" w:rsidRDefault="00CA10A6" w:rsidP="00BE7D3F">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1.40</w:t>
            </w:r>
          </w:p>
        </w:tc>
        <w:tc>
          <w:tcPr>
            <w:tcW w:w="1056" w:type="pct"/>
            <w:vAlign w:val="center"/>
            <w:hideMark/>
          </w:tcPr>
          <w:p w:rsidR="00CA10A6" w:rsidRDefault="00CA10A6" w:rsidP="00BE7D3F">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25.00</w:t>
            </w:r>
          </w:p>
        </w:tc>
      </w:tr>
      <w:tr w:rsidR="00CA10A6" w:rsidTr="001D5EAA">
        <w:trPr>
          <w:cantSplit/>
          <w:jc w:val="center"/>
        </w:trPr>
        <w:tc>
          <w:tcPr>
            <w:tcW w:w="1466" w:type="pct"/>
            <w:vAlign w:val="center"/>
            <w:hideMark/>
          </w:tcPr>
          <w:p w:rsidR="00CA10A6" w:rsidRDefault="00CA10A6" w:rsidP="00BE7D3F">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&gt; 35 to ≤ 45</w:t>
            </w:r>
          </w:p>
        </w:tc>
        <w:tc>
          <w:tcPr>
            <w:tcW w:w="2478" w:type="pct"/>
            <w:vAlign w:val="center"/>
            <w:hideMark/>
          </w:tcPr>
          <w:p w:rsidR="00CA10A6" w:rsidRDefault="00CA10A6" w:rsidP="00BE7D3F">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1.50</w:t>
            </w:r>
          </w:p>
        </w:tc>
        <w:tc>
          <w:tcPr>
            <w:tcW w:w="1056" w:type="pct"/>
            <w:vAlign w:val="center"/>
            <w:hideMark/>
          </w:tcPr>
          <w:p w:rsidR="00CA10A6" w:rsidRDefault="00CA10A6" w:rsidP="00BE7D3F">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15.00</w:t>
            </w:r>
          </w:p>
        </w:tc>
      </w:tr>
      <w:tr w:rsidR="00CA10A6" w:rsidTr="001D5EAA">
        <w:trPr>
          <w:cantSplit/>
          <w:jc w:val="center"/>
        </w:trPr>
        <w:tc>
          <w:tcPr>
            <w:tcW w:w="1466" w:type="pct"/>
            <w:vAlign w:val="center"/>
            <w:hideMark/>
          </w:tcPr>
          <w:p w:rsidR="00CA10A6" w:rsidRDefault="00CA10A6" w:rsidP="00BE7D3F">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&gt; 45 to ≤ 54</w:t>
            </w:r>
          </w:p>
        </w:tc>
        <w:tc>
          <w:tcPr>
            <w:tcW w:w="2478" w:type="pct"/>
            <w:vAlign w:val="center"/>
            <w:hideMark/>
          </w:tcPr>
          <w:p w:rsidR="00CA10A6" w:rsidRDefault="00CA10A6" w:rsidP="00BE7D3F">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1.60</w:t>
            </w:r>
          </w:p>
        </w:tc>
        <w:tc>
          <w:tcPr>
            <w:tcW w:w="1056" w:type="pct"/>
            <w:vAlign w:val="center"/>
            <w:hideMark/>
          </w:tcPr>
          <w:p w:rsidR="00CA10A6" w:rsidRDefault="00CA10A6" w:rsidP="00BE7D3F">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66.00</w:t>
            </w:r>
          </w:p>
        </w:tc>
      </w:tr>
      <w:tr w:rsidR="00CA10A6" w:rsidTr="001D5EAA">
        <w:trPr>
          <w:cantSplit/>
          <w:jc w:val="center"/>
        </w:trPr>
        <w:tc>
          <w:tcPr>
            <w:tcW w:w="1466" w:type="pct"/>
            <w:vAlign w:val="center"/>
            <w:hideMark/>
          </w:tcPr>
          <w:p w:rsidR="00CA10A6" w:rsidRDefault="00CA10A6" w:rsidP="00BE7D3F">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&gt; 54 to &lt; 75</w:t>
            </w:r>
          </w:p>
        </w:tc>
        <w:tc>
          <w:tcPr>
            <w:tcW w:w="2478" w:type="pct"/>
            <w:vAlign w:val="center"/>
            <w:hideMark/>
          </w:tcPr>
          <w:p w:rsidR="00CA10A6" w:rsidRDefault="00CA10A6" w:rsidP="00BE7D3F">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1.80</w:t>
            </w:r>
          </w:p>
        </w:tc>
        <w:tc>
          <w:tcPr>
            <w:tcW w:w="1056" w:type="pct"/>
            <w:vAlign w:val="center"/>
            <w:hideMark/>
          </w:tcPr>
          <w:p w:rsidR="00CA10A6" w:rsidRDefault="00CA10A6" w:rsidP="00BE7D3F">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57.00</w:t>
            </w:r>
          </w:p>
        </w:tc>
      </w:tr>
      <w:tr w:rsidR="00CA10A6" w:rsidTr="001D5EAA">
        <w:trPr>
          <w:cantSplit/>
          <w:jc w:val="center"/>
        </w:trPr>
        <w:tc>
          <w:tcPr>
            <w:tcW w:w="1466" w:type="pct"/>
            <w:vAlign w:val="center"/>
            <w:hideMark/>
          </w:tcPr>
          <w:p w:rsidR="00CA10A6" w:rsidRDefault="00CA10A6" w:rsidP="00BE7D3F">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 75 to ≤ 185</w:t>
            </w:r>
          </w:p>
        </w:tc>
        <w:tc>
          <w:tcPr>
            <w:tcW w:w="2478" w:type="pct"/>
            <w:vAlign w:val="center"/>
            <w:hideMark/>
          </w:tcPr>
          <w:p w:rsidR="00CA10A6" w:rsidRDefault="00CA10A6" w:rsidP="00BE7D3F">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1056" w:type="pct"/>
            <w:vAlign w:val="center"/>
            <w:hideMark/>
          </w:tcPr>
          <w:p w:rsidR="00CA10A6" w:rsidRDefault="00CA10A6" w:rsidP="00BE7D3F">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bl>
    <w:p w:rsidR="00CA10A6" w:rsidRDefault="00CA10A6" w:rsidP="00BE7D3F">
      <w:pPr>
        <w:pStyle w:val="NormalAfterTablesandFigures"/>
      </w:pPr>
    </w:p>
    <w:p w:rsidR="002D0B64" w:rsidRPr="00DB1DC4" w:rsidRDefault="002D0B64" w:rsidP="00BE7D3F">
      <w:r>
        <w:t>The key realization rate</w:t>
      </w:r>
      <w:r w:rsidR="001E2617">
        <w:t xml:space="preserve"> driver</w:t>
      </w:r>
      <w:r>
        <w:t xml:space="preserve"> for the dehumidifier measure </w:t>
      </w:r>
      <w:r w:rsidR="001E2617">
        <w:t xml:space="preserve">resulted from </w:t>
      </w:r>
      <w:r>
        <w:t>the shift in baseline and efficient conditions.</w:t>
      </w:r>
      <w:r w:rsidR="00DE1457">
        <w:t xml:space="preserve"> </w:t>
      </w:r>
      <w:r>
        <w:t>The 2011 PSD use</w:t>
      </w:r>
      <w:r w:rsidR="001E2617">
        <w:t>d</w:t>
      </w:r>
      <w:r>
        <w:t xml:space="preserve"> the 2008 ENERGY STAR standard as the efficient condition.</w:t>
      </w:r>
      <w:r w:rsidR="00DE1457">
        <w:t xml:space="preserve"> </w:t>
      </w:r>
      <w:r>
        <w:t xml:space="preserve">In 2012, a new federal standard was </w:t>
      </w:r>
      <w:r w:rsidR="00BC7F26">
        <w:t xml:space="preserve">introduced that was </w:t>
      </w:r>
      <w:r>
        <w:t xml:space="preserve">as efficient–if not more </w:t>
      </w:r>
      <w:r w:rsidR="001E2617">
        <w:t>so</w:t>
      </w:r>
      <w:r>
        <w:t>–than the 2008 ENERGY STAR standards.</w:t>
      </w:r>
      <w:r w:rsidR="00DE1457">
        <w:t xml:space="preserve"> </w:t>
      </w:r>
      <w:r>
        <w:t>The 2013 PSD use</w:t>
      </w:r>
      <w:r w:rsidR="001E2617">
        <w:t>d</w:t>
      </w:r>
      <w:r>
        <w:t xml:space="preserve"> the 2012 Federal Standard as the </w:t>
      </w:r>
      <w:r>
        <w:rPr>
          <w:i/>
        </w:rPr>
        <w:t>baseline</w:t>
      </w:r>
      <w:r>
        <w:t xml:space="preserve"> efficiency</w:t>
      </w:r>
      <w:r w:rsidR="001E2617">
        <w:t>; s</w:t>
      </w:r>
      <w:r>
        <w:t>o what was considered an efficient unit in 2011</w:t>
      </w:r>
      <w:r w:rsidR="001E2617">
        <w:t xml:space="preserve"> </w:t>
      </w:r>
      <w:r w:rsidR="00141712">
        <w:t xml:space="preserve">then </w:t>
      </w:r>
      <w:r w:rsidR="001E2617">
        <w:t>operate</w:t>
      </w:r>
      <w:r w:rsidR="00141712">
        <w:t>d</w:t>
      </w:r>
      <w:r w:rsidR="001E2617">
        <w:t xml:space="preserve"> </w:t>
      </w:r>
      <w:r>
        <w:t>at or below the baseline efficiency level.</w:t>
      </w:r>
      <w:r w:rsidR="00DE1457">
        <w:t xml:space="preserve"> </w:t>
      </w:r>
      <w:r w:rsidR="00141712">
        <w:t xml:space="preserve">Thus, </w:t>
      </w:r>
      <w:r>
        <w:t xml:space="preserve">evaluated savings and </w:t>
      </w:r>
      <w:r w:rsidR="004D6698">
        <w:t xml:space="preserve">realization rate </w:t>
      </w:r>
      <w:r>
        <w:t xml:space="preserve">for this measure </w:t>
      </w:r>
      <w:r w:rsidR="00141712">
        <w:t>were</w:t>
      </w:r>
      <w:r>
        <w:t xml:space="preserve"> very low, </w:t>
      </w:r>
      <w:r w:rsidR="001E2617">
        <w:t xml:space="preserve">given </w:t>
      </w:r>
      <w:r>
        <w:t>only the most efficient units installed in 2011 receive</w:t>
      </w:r>
      <w:r w:rsidR="001E2617">
        <w:t>d</w:t>
      </w:r>
      <w:r>
        <w:t xml:space="preserve"> savings after the baseline shifted.</w:t>
      </w:r>
    </w:p>
    <w:p w:rsidR="00654B4F" w:rsidRDefault="0085314A" w:rsidP="00654B4F">
      <w:pPr>
        <w:pStyle w:val="Heading3"/>
      </w:pPr>
      <w:bookmarkStart w:id="78" w:name="_Ref389127928"/>
      <w:r>
        <w:t xml:space="preserve">HES </w:t>
      </w:r>
      <w:r w:rsidR="00654B4F">
        <w:t>Natural Gas</w:t>
      </w:r>
      <w:r w:rsidR="006C0178">
        <w:t xml:space="preserve"> </w:t>
      </w:r>
      <w:r w:rsidR="001A4237">
        <w:t>Savings</w:t>
      </w:r>
      <w:bookmarkEnd w:id="78"/>
    </w:p>
    <w:p w:rsidR="002C62A8" w:rsidRPr="005520AB" w:rsidRDefault="002C62A8" w:rsidP="002C62A8">
      <w:pPr>
        <w:rPr>
          <w:b/>
        </w:rPr>
      </w:pPr>
      <w:r>
        <w:t>The billing analysis provided estimate</w:t>
      </w:r>
      <w:r w:rsidR="00B0299C">
        <w:t>s</w:t>
      </w:r>
      <w:r>
        <w:t xml:space="preserve"> of gas </w:t>
      </w:r>
      <w:r w:rsidRPr="005520AB">
        <w:t xml:space="preserve">savings </w:t>
      </w:r>
      <w:r>
        <w:t xml:space="preserve">for </w:t>
      </w:r>
      <w:r w:rsidR="001E2617">
        <w:t xml:space="preserve">HES </w:t>
      </w:r>
      <w:r>
        <w:t xml:space="preserve">air sealing. All other estimates of gas savings presented in this section </w:t>
      </w:r>
      <w:r w:rsidR="001E2617">
        <w:t xml:space="preserve">derived from </w:t>
      </w:r>
      <w:r>
        <w:t>engineering algorithms and simulation modeling.</w:t>
      </w:r>
    </w:p>
    <w:p w:rsidR="0021734E" w:rsidRDefault="00D3146F" w:rsidP="00BE7D3F">
      <w:pPr>
        <w:pStyle w:val="Heading4"/>
      </w:pPr>
      <w:r>
        <w:t>Shell Measures and Duct Sealing</w:t>
      </w:r>
    </w:p>
    <w:p w:rsidR="00D67CFB" w:rsidRDefault="007B0830" w:rsidP="007B0830">
      <w:r>
        <w:t>The Evaluation Team estimated natural gas impacts for shell measures (including air sealing</w:t>
      </w:r>
      <w:r w:rsidR="003009EA">
        <w:t>, attic and wall insulation</w:t>
      </w:r>
      <w:r>
        <w:t xml:space="preserve">) and duct sealing </w:t>
      </w:r>
      <w:r w:rsidR="003009EA">
        <w:t xml:space="preserve">primarily </w:t>
      </w:r>
      <w:r w:rsidR="00D67CFB">
        <w:t xml:space="preserve">using a combination of billing analysis and </w:t>
      </w:r>
      <w:r>
        <w:t xml:space="preserve">calibrated building simulation models. </w:t>
      </w:r>
      <w:r w:rsidR="00D67CFB">
        <w:t xml:space="preserve">Specifically, air sealing </w:t>
      </w:r>
      <w:r w:rsidR="00B621AE">
        <w:t xml:space="preserve">savings </w:t>
      </w:r>
      <w:r w:rsidR="00141712">
        <w:t xml:space="preserve">were </w:t>
      </w:r>
      <w:r w:rsidR="00D67CFB">
        <w:t>estimated using billing analysis, given precision estimates meet</w:t>
      </w:r>
      <w:r w:rsidR="00141712">
        <w:t>ing</w:t>
      </w:r>
      <w:r w:rsidR="00D67CFB">
        <w:t xml:space="preserve"> the threshold for this study.</w:t>
      </w:r>
      <w:r w:rsidR="003009EA">
        <w:t xml:space="preserve"> Impacts associated with window replacements </w:t>
      </w:r>
      <w:r w:rsidR="00141712">
        <w:t xml:space="preserve">were </w:t>
      </w:r>
      <w:r w:rsidR="001753FD">
        <w:t xml:space="preserve">assessed </w:t>
      </w:r>
      <w:r w:rsidR="003009EA">
        <w:t>using engineering algorithms due to limited information provided in the program tracking data.</w:t>
      </w:r>
    </w:p>
    <w:p w:rsidR="00D67CFB" w:rsidRDefault="00D67CFB" w:rsidP="00BE7D3F">
      <w:pPr>
        <w:pStyle w:val="Heading5"/>
      </w:pPr>
      <w:r>
        <w:t>Billing Analysis Results</w:t>
      </w:r>
    </w:p>
    <w:p w:rsidR="00D67CFB" w:rsidRPr="007B0830" w:rsidRDefault="00D67CFB" w:rsidP="00D67CFB">
      <w:r>
        <w:t xml:space="preserve">The Evaluation Team estimated air sealing </w:t>
      </w:r>
      <w:r w:rsidR="001E2617">
        <w:t xml:space="preserve">impacts through </w:t>
      </w:r>
      <w:r>
        <w:t xml:space="preserve">billing analysis, </w:t>
      </w:r>
      <w:r w:rsidR="001E2617">
        <w:t xml:space="preserve">as </w:t>
      </w:r>
      <w:r w:rsidR="00AE475E">
        <w:t xml:space="preserve">this </w:t>
      </w:r>
      <w:r>
        <w:t xml:space="preserve">measure achieved a precision </w:t>
      </w:r>
      <w:r w:rsidR="003E3609">
        <w:t xml:space="preserve">estimate </w:t>
      </w:r>
      <w:r w:rsidR="001753FD">
        <w:t>within</w:t>
      </w:r>
      <w:r w:rsidR="003E3609">
        <w:t xml:space="preserve"> than the study threshold</w:t>
      </w:r>
      <w:r>
        <w:t xml:space="preserve">. </w:t>
      </w:r>
      <w:r w:rsidR="005C2163">
        <w:fldChar w:fldCharType="begin"/>
      </w:r>
      <w:r w:rsidR="00BE7D3F">
        <w:instrText xml:space="preserve"> REF _Ref388431603 \h </w:instrText>
      </w:r>
      <w:r w:rsidR="005C2163">
        <w:fldChar w:fldCharType="separate"/>
      </w:r>
      <w:r w:rsidR="00CD20CF">
        <w:t xml:space="preserve">Table </w:t>
      </w:r>
      <w:r w:rsidR="00CD20CF">
        <w:rPr>
          <w:noProof/>
        </w:rPr>
        <w:t>35</w:t>
      </w:r>
      <w:r w:rsidR="005C2163">
        <w:fldChar w:fldCharType="end"/>
      </w:r>
      <w:r>
        <w:t xml:space="preserve"> presents the billing analysis model results. </w:t>
      </w:r>
    </w:p>
    <w:p w:rsidR="00D67CFB" w:rsidRDefault="00D67CFB" w:rsidP="001D5EAA">
      <w:pPr>
        <w:pStyle w:val="Caption"/>
      </w:pPr>
      <w:bookmarkStart w:id="79" w:name="_Ref388431603"/>
      <w:r>
        <w:t xml:space="preserve">Table </w:t>
      </w:r>
      <w:r w:rsidR="002506E1">
        <w:fldChar w:fldCharType="begin"/>
      </w:r>
      <w:r w:rsidR="002506E1">
        <w:instrText xml:space="preserve"> SEQ Table \* ARABIC </w:instrText>
      </w:r>
      <w:r w:rsidR="002506E1">
        <w:fldChar w:fldCharType="separate"/>
      </w:r>
      <w:r w:rsidR="00CD20CF">
        <w:rPr>
          <w:noProof/>
        </w:rPr>
        <w:t>35</w:t>
      </w:r>
      <w:r w:rsidR="002506E1">
        <w:rPr>
          <w:noProof/>
        </w:rPr>
        <w:fldChar w:fldCharType="end"/>
      </w:r>
      <w:bookmarkEnd w:id="79"/>
      <w:r>
        <w:t xml:space="preserve">. HES Billing Analysis Gas Savings Results for Air Sealing and Insulation </w:t>
      </w:r>
      <w:r w:rsidR="00185F9C">
        <w:t>Other</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58"/>
        <w:gridCol w:w="810"/>
        <w:gridCol w:w="990"/>
        <w:gridCol w:w="1620"/>
        <w:gridCol w:w="2340"/>
        <w:gridCol w:w="2358"/>
      </w:tblGrid>
      <w:tr w:rsidR="00D67CFB" w:rsidRPr="0021734E" w:rsidTr="003F10CF">
        <w:tc>
          <w:tcPr>
            <w:tcW w:w="761" w:type="pct"/>
            <w:shd w:val="clear" w:color="000000" w:fill="005DAA"/>
            <w:vAlign w:val="center"/>
            <w:hideMark/>
          </w:tcPr>
          <w:p w:rsidR="00D67CFB" w:rsidRPr="0021734E" w:rsidRDefault="00D67CFB" w:rsidP="00AB1C3B">
            <w:pPr>
              <w:spacing w:after="0"/>
              <w:jc w:val="center"/>
              <w:rPr>
                <w:rFonts w:ascii="Calibri" w:eastAsia="Times New Roman" w:hAnsi="Calibri" w:cs="Times New Roman"/>
                <w:b/>
                <w:bCs/>
                <w:color w:val="FFFFFF"/>
              </w:rPr>
            </w:pPr>
            <w:r w:rsidRPr="0021734E">
              <w:rPr>
                <w:rFonts w:ascii="Calibri" w:eastAsia="Times New Roman" w:hAnsi="Calibri" w:cs="Times New Roman"/>
                <w:b/>
                <w:bCs/>
                <w:color w:val="FFFFFF"/>
              </w:rPr>
              <w:t>Measure</w:t>
            </w:r>
          </w:p>
        </w:tc>
        <w:tc>
          <w:tcPr>
            <w:tcW w:w="423" w:type="pct"/>
            <w:shd w:val="clear" w:color="000000" w:fill="005DAA"/>
            <w:vAlign w:val="center"/>
            <w:hideMark/>
          </w:tcPr>
          <w:p w:rsidR="00D67CFB" w:rsidRPr="0021734E" w:rsidRDefault="00D67CFB" w:rsidP="00AB1C3B">
            <w:pPr>
              <w:spacing w:after="0"/>
              <w:jc w:val="center"/>
              <w:rPr>
                <w:rFonts w:ascii="Calibri" w:eastAsia="Times New Roman" w:hAnsi="Calibri" w:cs="Times New Roman"/>
                <w:b/>
                <w:bCs/>
                <w:color w:val="FFFFFF"/>
              </w:rPr>
            </w:pPr>
            <w:r w:rsidRPr="0021734E">
              <w:rPr>
                <w:rFonts w:ascii="Calibri" w:eastAsia="Times New Roman" w:hAnsi="Calibri" w:cs="Times New Roman"/>
                <w:b/>
                <w:bCs/>
                <w:color w:val="FFFFFF"/>
              </w:rPr>
              <w:t>n</w:t>
            </w:r>
          </w:p>
        </w:tc>
        <w:tc>
          <w:tcPr>
            <w:tcW w:w="517" w:type="pct"/>
            <w:shd w:val="clear" w:color="000000" w:fill="005DAA"/>
            <w:vAlign w:val="center"/>
            <w:hideMark/>
          </w:tcPr>
          <w:p w:rsidR="00D67CFB" w:rsidRPr="0021734E" w:rsidRDefault="00D67CFB" w:rsidP="00AB1C3B">
            <w:pPr>
              <w:spacing w:after="0"/>
              <w:jc w:val="center"/>
              <w:rPr>
                <w:rFonts w:ascii="Calibri" w:eastAsia="Times New Roman" w:hAnsi="Calibri" w:cs="Times New Roman"/>
                <w:b/>
                <w:bCs/>
                <w:color w:val="FFFFFF"/>
              </w:rPr>
            </w:pPr>
            <w:r w:rsidRPr="0021734E">
              <w:rPr>
                <w:rFonts w:ascii="Calibri" w:eastAsia="Times New Roman" w:hAnsi="Calibri" w:cs="Times New Roman"/>
                <w:b/>
                <w:bCs/>
                <w:color w:val="FFFFFF"/>
              </w:rPr>
              <w:t>PRENAC</w:t>
            </w:r>
          </w:p>
        </w:tc>
        <w:tc>
          <w:tcPr>
            <w:tcW w:w="846" w:type="pct"/>
            <w:shd w:val="clear" w:color="000000" w:fill="005DAA"/>
            <w:vAlign w:val="center"/>
            <w:hideMark/>
          </w:tcPr>
          <w:p w:rsidR="00D67CFB" w:rsidRPr="0021734E" w:rsidRDefault="00D67CFB" w:rsidP="00AB1C3B">
            <w:pPr>
              <w:spacing w:after="0"/>
              <w:jc w:val="center"/>
              <w:rPr>
                <w:rFonts w:ascii="Calibri" w:eastAsia="Times New Roman" w:hAnsi="Calibri" w:cs="Times New Roman"/>
                <w:b/>
                <w:bCs/>
                <w:color w:val="FFFFFF"/>
              </w:rPr>
            </w:pPr>
            <w:r w:rsidRPr="0021734E">
              <w:rPr>
                <w:rFonts w:ascii="Calibri" w:eastAsia="Times New Roman" w:hAnsi="Calibri" w:cs="Times New Roman"/>
                <w:b/>
                <w:bCs/>
                <w:color w:val="FFFFFF"/>
              </w:rPr>
              <w:t>Model Savings (CCF)</w:t>
            </w:r>
          </w:p>
        </w:tc>
        <w:tc>
          <w:tcPr>
            <w:tcW w:w="1222" w:type="pct"/>
            <w:shd w:val="clear" w:color="000000" w:fill="005DAA"/>
            <w:vAlign w:val="center"/>
            <w:hideMark/>
          </w:tcPr>
          <w:p w:rsidR="00D67CFB" w:rsidRPr="0021734E" w:rsidRDefault="00D67CFB" w:rsidP="00AB1C3B">
            <w:pPr>
              <w:spacing w:after="0"/>
              <w:jc w:val="center"/>
              <w:rPr>
                <w:rFonts w:ascii="Calibri" w:eastAsia="Times New Roman" w:hAnsi="Calibri" w:cs="Times New Roman"/>
                <w:b/>
                <w:bCs/>
                <w:color w:val="FFFFFF"/>
              </w:rPr>
            </w:pPr>
            <w:r w:rsidRPr="0021734E">
              <w:rPr>
                <w:rFonts w:ascii="Calibri" w:eastAsia="Times New Roman" w:hAnsi="Calibri" w:cs="Times New Roman"/>
                <w:b/>
                <w:bCs/>
                <w:color w:val="FFFFFF"/>
              </w:rPr>
              <w:t>Savings as Percent of Pre-Usage</w:t>
            </w:r>
          </w:p>
        </w:tc>
        <w:tc>
          <w:tcPr>
            <w:tcW w:w="1231" w:type="pct"/>
            <w:shd w:val="clear" w:color="000000" w:fill="005DAA"/>
            <w:vAlign w:val="center"/>
            <w:hideMark/>
          </w:tcPr>
          <w:p w:rsidR="00D67CFB" w:rsidRPr="0021734E" w:rsidRDefault="0021453A" w:rsidP="00AB1C3B">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 xml:space="preserve">Relative </w:t>
            </w:r>
            <w:r w:rsidR="00D67CFB" w:rsidRPr="0021734E">
              <w:rPr>
                <w:rFonts w:ascii="Calibri" w:eastAsia="Times New Roman" w:hAnsi="Calibri" w:cs="Times New Roman"/>
                <w:b/>
                <w:bCs/>
                <w:color w:val="FFFFFF"/>
              </w:rPr>
              <w:t xml:space="preserve">Precision </w:t>
            </w:r>
            <w:r>
              <w:rPr>
                <w:rFonts w:ascii="Calibri" w:eastAsia="Times New Roman" w:hAnsi="Calibri" w:cs="Times New Roman"/>
                <w:b/>
                <w:bCs/>
                <w:color w:val="FFFFFF"/>
              </w:rPr>
              <w:t xml:space="preserve">at </w:t>
            </w:r>
            <w:r w:rsidR="00D67CFB" w:rsidRPr="0021734E">
              <w:rPr>
                <w:rFonts w:ascii="Calibri" w:eastAsia="Times New Roman" w:hAnsi="Calibri" w:cs="Times New Roman"/>
                <w:b/>
                <w:bCs/>
                <w:color w:val="FFFFFF"/>
              </w:rPr>
              <w:t>90%</w:t>
            </w:r>
          </w:p>
        </w:tc>
      </w:tr>
      <w:tr w:rsidR="00D67CFB" w:rsidRPr="0021734E" w:rsidTr="003F10CF">
        <w:tc>
          <w:tcPr>
            <w:tcW w:w="761" w:type="pct"/>
            <w:shd w:val="clear" w:color="auto" w:fill="auto"/>
            <w:vAlign w:val="center"/>
            <w:hideMark/>
          </w:tcPr>
          <w:p w:rsidR="00D67CFB" w:rsidRPr="0021734E" w:rsidRDefault="00D67CFB" w:rsidP="00AB1C3B">
            <w:pPr>
              <w:spacing w:after="0"/>
              <w:rPr>
                <w:rFonts w:ascii="Calibri" w:eastAsia="Times New Roman" w:hAnsi="Calibri" w:cs="Times New Roman"/>
                <w:color w:val="000000"/>
                <w:sz w:val="20"/>
                <w:szCs w:val="20"/>
              </w:rPr>
            </w:pPr>
            <w:r w:rsidRPr="0021734E">
              <w:rPr>
                <w:rFonts w:ascii="Calibri" w:eastAsia="Times New Roman" w:hAnsi="Calibri" w:cs="Times New Roman"/>
                <w:color w:val="000000"/>
                <w:sz w:val="20"/>
                <w:szCs w:val="20"/>
              </w:rPr>
              <w:t>Air Sealing</w:t>
            </w:r>
          </w:p>
        </w:tc>
        <w:tc>
          <w:tcPr>
            <w:tcW w:w="423" w:type="pct"/>
            <w:shd w:val="clear" w:color="auto" w:fill="auto"/>
            <w:vAlign w:val="center"/>
            <w:hideMark/>
          </w:tcPr>
          <w:p w:rsidR="00D67CFB" w:rsidRPr="0021734E" w:rsidRDefault="00D67CFB" w:rsidP="00AB1C3B">
            <w:pPr>
              <w:spacing w:after="0"/>
              <w:jc w:val="right"/>
              <w:rPr>
                <w:rFonts w:ascii="Calibri" w:eastAsia="Times New Roman" w:hAnsi="Calibri" w:cs="Times New Roman"/>
                <w:color w:val="000000"/>
                <w:sz w:val="20"/>
                <w:szCs w:val="20"/>
              </w:rPr>
            </w:pPr>
            <w:r w:rsidRPr="0021734E">
              <w:rPr>
                <w:rFonts w:ascii="Calibri" w:eastAsia="Times New Roman" w:hAnsi="Calibri" w:cs="Times New Roman"/>
                <w:color w:val="000000"/>
                <w:sz w:val="20"/>
                <w:szCs w:val="20"/>
              </w:rPr>
              <w:t>1,713</w:t>
            </w:r>
          </w:p>
        </w:tc>
        <w:tc>
          <w:tcPr>
            <w:tcW w:w="517" w:type="pct"/>
            <w:shd w:val="clear" w:color="auto" w:fill="auto"/>
            <w:vAlign w:val="center"/>
            <w:hideMark/>
          </w:tcPr>
          <w:p w:rsidR="00D67CFB" w:rsidRPr="0021734E" w:rsidRDefault="00D67CFB" w:rsidP="00AB1C3B">
            <w:pPr>
              <w:spacing w:after="0"/>
              <w:jc w:val="right"/>
              <w:rPr>
                <w:rFonts w:ascii="Calibri" w:eastAsia="Times New Roman" w:hAnsi="Calibri" w:cs="Times New Roman"/>
                <w:color w:val="000000"/>
                <w:sz w:val="20"/>
                <w:szCs w:val="20"/>
              </w:rPr>
            </w:pPr>
            <w:r w:rsidRPr="0021734E">
              <w:rPr>
                <w:rFonts w:ascii="Calibri" w:eastAsia="Times New Roman" w:hAnsi="Calibri" w:cs="Times New Roman"/>
                <w:color w:val="000000"/>
                <w:sz w:val="20"/>
                <w:szCs w:val="20"/>
              </w:rPr>
              <w:t>1,059</w:t>
            </w:r>
          </w:p>
        </w:tc>
        <w:tc>
          <w:tcPr>
            <w:tcW w:w="846" w:type="pct"/>
            <w:shd w:val="clear" w:color="auto" w:fill="auto"/>
            <w:vAlign w:val="center"/>
            <w:hideMark/>
          </w:tcPr>
          <w:p w:rsidR="00D67CFB" w:rsidRPr="0021734E" w:rsidRDefault="00D67CFB" w:rsidP="00427C71">
            <w:pPr>
              <w:spacing w:after="0"/>
              <w:jc w:val="right"/>
              <w:rPr>
                <w:rFonts w:ascii="Calibri" w:eastAsia="Times New Roman" w:hAnsi="Calibri" w:cs="Times New Roman"/>
                <w:color w:val="000000"/>
                <w:sz w:val="20"/>
                <w:szCs w:val="20"/>
              </w:rPr>
            </w:pPr>
            <w:r w:rsidRPr="0021734E">
              <w:rPr>
                <w:rFonts w:ascii="Calibri" w:eastAsia="Times New Roman" w:hAnsi="Calibri" w:cs="Times New Roman"/>
                <w:color w:val="000000"/>
                <w:sz w:val="20"/>
                <w:szCs w:val="20"/>
              </w:rPr>
              <w:t>5</w:t>
            </w:r>
            <w:r w:rsidR="00427C71">
              <w:rPr>
                <w:rFonts w:ascii="Calibri" w:eastAsia="Times New Roman" w:hAnsi="Calibri" w:cs="Times New Roman"/>
                <w:color w:val="000000"/>
                <w:sz w:val="20"/>
                <w:szCs w:val="20"/>
              </w:rPr>
              <w:t>7</w:t>
            </w:r>
          </w:p>
        </w:tc>
        <w:tc>
          <w:tcPr>
            <w:tcW w:w="1222" w:type="pct"/>
            <w:shd w:val="clear" w:color="auto" w:fill="auto"/>
            <w:vAlign w:val="center"/>
            <w:hideMark/>
          </w:tcPr>
          <w:p w:rsidR="00D67CFB" w:rsidRPr="0021734E" w:rsidRDefault="00D67CFB" w:rsidP="00AB1C3B">
            <w:pPr>
              <w:spacing w:after="0"/>
              <w:jc w:val="right"/>
              <w:rPr>
                <w:rFonts w:ascii="Calibri" w:eastAsia="Times New Roman" w:hAnsi="Calibri" w:cs="Times New Roman"/>
                <w:color w:val="000000"/>
                <w:sz w:val="20"/>
                <w:szCs w:val="20"/>
              </w:rPr>
            </w:pPr>
            <w:r w:rsidRPr="0021734E">
              <w:rPr>
                <w:rFonts w:ascii="Calibri" w:eastAsia="Times New Roman" w:hAnsi="Calibri" w:cs="Times New Roman"/>
                <w:color w:val="000000"/>
                <w:sz w:val="20"/>
                <w:szCs w:val="20"/>
              </w:rPr>
              <w:t>5%</w:t>
            </w:r>
          </w:p>
        </w:tc>
        <w:tc>
          <w:tcPr>
            <w:tcW w:w="1231" w:type="pct"/>
            <w:shd w:val="clear" w:color="auto" w:fill="auto"/>
            <w:vAlign w:val="center"/>
            <w:hideMark/>
          </w:tcPr>
          <w:p w:rsidR="00D67CFB" w:rsidRPr="0021734E" w:rsidRDefault="0021453A" w:rsidP="00427C71">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D67CFB" w:rsidRPr="0021734E">
              <w:rPr>
                <w:rFonts w:ascii="Calibri" w:eastAsia="Times New Roman" w:hAnsi="Calibri" w:cs="Times New Roman"/>
                <w:color w:val="000000"/>
                <w:sz w:val="20"/>
                <w:szCs w:val="20"/>
              </w:rPr>
              <w:t>1</w:t>
            </w:r>
            <w:r w:rsidR="00427C71">
              <w:rPr>
                <w:rFonts w:ascii="Calibri" w:eastAsia="Times New Roman" w:hAnsi="Calibri" w:cs="Times New Roman"/>
                <w:color w:val="000000"/>
                <w:sz w:val="20"/>
                <w:szCs w:val="20"/>
              </w:rPr>
              <w:t>4</w:t>
            </w:r>
            <w:r w:rsidR="00D67CFB" w:rsidRPr="0021734E">
              <w:rPr>
                <w:rFonts w:ascii="Calibri" w:eastAsia="Times New Roman" w:hAnsi="Calibri" w:cs="Times New Roman"/>
                <w:color w:val="000000"/>
                <w:sz w:val="20"/>
                <w:szCs w:val="20"/>
              </w:rPr>
              <w:t>%</w:t>
            </w:r>
          </w:p>
        </w:tc>
      </w:tr>
    </w:tbl>
    <w:p w:rsidR="00D67CFB" w:rsidRDefault="00D67CFB" w:rsidP="00AB1C3B">
      <w:pPr>
        <w:pStyle w:val="NormalAfterTablesandFigures"/>
      </w:pPr>
    </w:p>
    <w:p w:rsidR="00D67CFB" w:rsidRPr="000E6110" w:rsidRDefault="005C2163" w:rsidP="00D67CFB">
      <w:r>
        <w:fldChar w:fldCharType="begin"/>
      </w:r>
      <w:r w:rsidR="00AB1C3B">
        <w:instrText xml:space="preserve"> REF _Ref388433427 \h </w:instrText>
      </w:r>
      <w:r>
        <w:fldChar w:fldCharType="separate"/>
      </w:r>
      <w:r w:rsidR="00CD20CF">
        <w:t xml:space="preserve">Table </w:t>
      </w:r>
      <w:r w:rsidR="00CD20CF">
        <w:rPr>
          <w:noProof/>
        </w:rPr>
        <w:t>36</w:t>
      </w:r>
      <w:r>
        <w:fldChar w:fldCharType="end"/>
      </w:r>
      <w:r w:rsidR="00D67CFB">
        <w:t xml:space="preserve"> provides </w:t>
      </w:r>
      <w:r w:rsidR="00B621AE">
        <w:t xml:space="preserve">the </w:t>
      </w:r>
      <w:r w:rsidR="00D67CFB">
        <w:t>realiz</w:t>
      </w:r>
      <w:r w:rsidR="00B621AE">
        <w:t>ation rate</w:t>
      </w:r>
      <w:r w:rsidR="00D67CFB">
        <w:t xml:space="preserve"> based on comparing the gross savings estimate from the billing analysis to average </w:t>
      </w:r>
      <w:r w:rsidR="00D67CFB" w:rsidRPr="004E7EA6">
        <w:rPr>
          <w:i/>
        </w:rPr>
        <w:t>ex ante</w:t>
      </w:r>
      <w:r w:rsidR="00D67CFB">
        <w:t xml:space="preserve"> savings per household.</w:t>
      </w:r>
    </w:p>
    <w:p w:rsidR="00D67CFB" w:rsidRDefault="00D67CFB" w:rsidP="00D67CFB">
      <w:pPr>
        <w:pStyle w:val="Caption"/>
      </w:pPr>
      <w:bookmarkStart w:id="80" w:name="_Ref388433427"/>
      <w:r>
        <w:lastRenderedPageBreak/>
        <w:t xml:space="preserve">Table </w:t>
      </w:r>
      <w:r w:rsidR="002506E1">
        <w:fldChar w:fldCharType="begin"/>
      </w:r>
      <w:r w:rsidR="002506E1">
        <w:instrText xml:space="preserve"> SEQ Table \* ARABIC </w:instrText>
      </w:r>
      <w:r w:rsidR="002506E1">
        <w:fldChar w:fldCharType="separate"/>
      </w:r>
      <w:r w:rsidR="00CD20CF">
        <w:rPr>
          <w:noProof/>
        </w:rPr>
        <w:t>36</w:t>
      </w:r>
      <w:r w:rsidR="002506E1">
        <w:rPr>
          <w:noProof/>
        </w:rPr>
        <w:fldChar w:fldCharType="end"/>
      </w:r>
      <w:bookmarkEnd w:id="80"/>
      <w:r>
        <w:t xml:space="preserve">. HES Billing Analysis Realization Rate Summary for Air Sealing and Insulation </w:t>
      </w:r>
      <w:r w:rsidR="00185F9C">
        <w:t>Other</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53"/>
        <w:gridCol w:w="1529"/>
        <w:gridCol w:w="1906"/>
        <w:gridCol w:w="1305"/>
        <w:gridCol w:w="1584"/>
        <w:gridCol w:w="1899"/>
      </w:tblGrid>
      <w:tr w:rsidR="003F10CF" w:rsidRPr="0021734E" w:rsidTr="003F10CF">
        <w:tc>
          <w:tcPr>
            <w:tcW w:w="702" w:type="pct"/>
            <w:shd w:val="clear" w:color="000000" w:fill="005DAA"/>
            <w:vAlign w:val="center"/>
            <w:hideMark/>
          </w:tcPr>
          <w:p w:rsidR="00D67CFB" w:rsidRPr="0021734E" w:rsidRDefault="00D67CFB" w:rsidP="00AB1C3B">
            <w:pPr>
              <w:spacing w:after="0"/>
              <w:jc w:val="center"/>
              <w:rPr>
                <w:rFonts w:ascii="Calibri" w:eastAsia="Times New Roman" w:hAnsi="Calibri" w:cs="Times New Roman"/>
                <w:b/>
                <w:bCs/>
                <w:color w:val="FFFFFF"/>
              </w:rPr>
            </w:pPr>
            <w:r w:rsidRPr="0021734E">
              <w:rPr>
                <w:rFonts w:ascii="Calibri" w:eastAsia="Times New Roman" w:hAnsi="Calibri" w:cs="Times New Roman"/>
                <w:b/>
                <w:bCs/>
                <w:color w:val="FFFFFF"/>
              </w:rPr>
              <w:t>Measure</w:t>
            </w:r>
          </w:p>
        </w:tc>
        <w:tc>
          <w:tcPr>
            <w:tcW w:w="797" w:type="pct"/>
            <w:shd w:val="clear" w:color="000000" w:fill="005DAA"/>
            <w:vAlign w:val="center"/>
            <w:hideMark/>
          </w:tcPr>
          <w:p w:rsidR="00D67CFB" w:rsidRPr="0021734E" w:rsidRDefault="00D67CFB" w:rsidP="00AB1C3B">
            <w:pPr>
              <w:spacing w:after="0"/>
              <w:jc w:val="center"/>
              <w:rPr>
                <w:rFonts w:ascii="Calibri" w:eastAsia="Times New Roman" w:hAnsi="Calibri" w:cs="Times New Roman"/>
                <w:b/>
                <w:bCs/>
                <w:color w:val="FFFFFF"/>
              </w:rPr>
            </w:pPr>
            <w:r w:rsidRPr="0021734E">
              <w:rPr>
                <w:rFonts w:ascii="Calibri" w:eastAsia="Times New Roman" w:hAnsi="Calibri" w:cs="Times New Roman"/>
                <w:b/>
                <w:bCs/>
                <w:color w:val="FFFFFF"/>
              </w:rPr>
              <w:t>Gross Model Savings (CCF)</w:t>
            </w:r>
          </w:p>
        </w:tc>
        <w:tc>
          <w:tcPr>
            <w:tcW w:w="1001" w:type="pct"/>
            <w:shd w:val="clear" w:color="000000" w:fill="005DAA"/>
            <w:vAlign w:val="center"/>
            <w:hideMark/>
          </w:tcPr>
          <w:p w:rsidR="00D67CFB" w:rsidRPr="0021734E" w:rsidRDefault="00D67CFB" w:rsidP="00AB1C3B">
            <w:pPr>
              <w:spacing w:after="0"/>
              <w:jc w:val="center"/>
              <w:rPr>
                <w:rFonts w:ascii="Calibri" w:eastAsia="Times New Roman" w:hAnsi="Calibri" w:cs="Times New Roman"/>
                <w:b/>
                <w:bCs/>
                <w:color w:val="FFFFFF"/>
              </w:rPr>
            </w:pPr>
            <w:r w:rsidRPr="0021734E">
              <w:rPr>
                <w:rFonts w:ascii="Calibri" w:eastAsia="Times New Roman" w:hAnsi="Calibri" w:cs="Times New Roman"/>
                <w:b/>
                <w:bCs/>
                <w:color w:val="FFFFFF"/>
              </w:rPr>
              <w:t xml:space="preserve">Reported </w:t>
            </w:r>
            <w:r w:rsidRPr="00CF5867">
              <w:rPr>
                <w:rFonts w:ascii="Calibri" w:eastAsia="Times New Roman" w:hAnsi="Calibri" w:cs="Times New Roman"/>
                <w:b/>
                <w:bCs/>
                <w:i/>
                <w:color w:val="FFFFFF"/>
              </w:rPr>
              <w:t>Ex Ante</w:t>
            </w:r>
            <w:r w:rsidRPr="0021734E">
              <w:rPr>
                <w:rFonts w:ascii="Calibri" w:eastAsia="Times New Roman" w:hAnsi="Calibri" w:cs="Times New Roman"/>
                <w:b/>
                <w:bCs/>
                <w:color w:val="FFFFFF"/>
              </w:rPr>
              <w:t xml:space="preserve"> Savings (CCF)</w:t>
            </w:r>
            <w:r w:rsidR="00427C71">
              <w:rPr>
                <w:rFonts w:ascii="Calibri" w:eastAsia="Times New Roman" w:hAnsi="Calibri" w:cs="Times New Roman"/>
                <w:b/>
                <w:bCs/>
                <w:color w:val="FFFFFF"/>
              </w:rPr>
              <w:t>*</w:t>
            </w:r>
          </w:p>
        </w:tc>
        <w:tc>
          <w:tcPr>
            <w:tcW w:w="676" w:type="pct"/>
            <w:shd w:val="clear" w:color="000000" w:fill="005DAA"/>
            <w:vAlign w:val="center"/>
            <w:hideMark/>
          </w:tcPr>
          <w:p w:rsidR="00D67CFB" w:rsidRPr="0021734E" w:rsidRDefault="00D67CFB" w:rsidP="00AB1C3B">
            <w:pPr>
              <w:spacing w:after="0"/>
              <w:jc w:val="center"/>
              <w:rPr>
                <w:rFonts w:ascii="Calibri" w:eastAsia="Times New Roman" w:hAnsi="Calibri" w:cs="Times New Roman"/>
                <w:b/>
                <w:bCs/>
                <w:color w:val="FFFFFF"/>
              </w:rPr>
            </w:pPr>
            <w:r w:rsidRPr="0021734E">
              <w:rPr>
                <w:rFonts w:ascii="Calibri" w:eastAsia="Times New Roman" w:hAnsi="Calibri" w:cs="Times New Roman"/>
                <w:b/>
                <w:bCs/>
                <w:color w:val="FFFFFF"/>
              </w:rPr>
              <w:t>Realization Rate</w:t>
            </w:r>
          </w:p>
        </w:tc>
        <w:tc>
          <w:tcPr>
            <w:tcW w:w="827" w:type="pct"/>
            <w:shd w:val="clear" w:color="000000" w:fill="005DAA"/>
            <w:vAlign w:val="center"/>
            <w:hideMark/>
          </w:tcPr>
          <w:p w:rsidR="00D67CFB" w:rsidRPr="0021734E" w:rsidRDefault="00D67CFB" w:rsidP="00AB1C3B">
            <w:pPr>
              <w:spacing w:after="0"/>
              <w:jc w:val="center"/>
              <w:rPr>
                <w:rFonts w:ascii="Calibri" w:eastAsia="Times New Roman" w:hAnsi="Calibri" w:cs="Times New Roman"/>
                <w:b/>
                <w:bCs/>
                <w:color w:val="FFFFFF"/>
              </w:rPr>
            </w:pPr>
            <w:r w:rsidRPr="0021734E">
              <w:rPr>
                <w:rFonts w:ascii="Calibri" w:eastAsia="Times New Roman" w:hAnsi="Calibri" w:cs="Times New Roman"/>
                <w:b/>
                <w:bCs/>
                <w:color w:val="FFFFFF"/>
              </w:rPr>
              <w:t>Model Savings as Percent of Pre-Usage</w:t>
            </w:r>
          </w:p>
        </w:tc>
        <w:tc>
          <w:tcPr>
            <w:tcW w:w="996" w:type="pct"/>
            <w:shd w:val="clear" w:color="000000" w:fill="005DAA"/>
            <w:vAlign w:val="center"/>
            <w:hideMark/>
          </w:tcPr>
          <w:p w:rsidR="00D67CFB" w:rsidRPr="0021734E" w:rsidRDefault="00D67CFB" w:rsidP="00AB1C3B">
            <w:pPr>
              <w:spacing w:after="0"/>
              <w:jc w:val="center"/>
              <w:rPr>
                <w:rFonts w:ascii="Calibri" w:eastAsia="Times New Roman" w:hAnsi="Calibri" w:cs="Times New Roman"/>
                <w:b/>
                <w:bCs/>
                <w:color w:val="FFFFFF"/>
              </w:rPr>
            </w:pPr>
            <w:r w:rsidRPr="0021734E">
              <w:rPr>
                <w:rFonts w:ascii="Calibri" w:eastAsia="Times New Roman" w:hAnsi="Calibri" w:cs="Times New Roman"/>
                <w:b/>
                <w:bCs/>
                <w:color w:val="FFFFFF"/>
              </w:rPr>
              <w:t xml:space="preserve">Reported </w:t>
            </w:r>
            <w:r w:rsidRPr="00CF5867">
              <w:rPr>
                <w:rFonts w:ascii="Calibri" w:eastAsia="Times New Roman" w:hAnsi="Calibri" w:cs="Times New Roman"/>
                <w:b/>
                <w:bCs/>
                <w:i/>
                <w:color w:val="FFFFFF"/>
              </w:rPr>
              <w:t>Ex Ante</w:t>
            </w:r>
            <w:r w:rsidRPr="0021734E">
              <w:rPr>
                <w:rFonts w:ascii="Calibri" w:eastAsia="Times New Roman" w:hAnsi="Calibri" w:cs="Times New Roman"/>
                <w:b/>
                <w:bCs/>
                <w:color w:val="FFFFFF"/>
              </w:rPr>
              <w:t xml:space="preserve"> Savings as Percent of Pre-Usage</w:t>
            </w:r>
          </w:p>
        </w:tc>
      </w:tr>
      <w:tr w:rsidR="003F10CF" w:rsidRPr="0021734E" w:rsidTr="003F10CF">
        <w:tc>
          <w:tcPr>
            <w:tcW w:w="702" w:type="pct"/>
            <w:shd w:val="clear" w:color="auto" w:fill="auto"/>
            <w:vAlign w:val="center"/>
            <w:hideMark/>
          </w:tcPr>
          <w:p w:rsidR="00D67CFB" w:rsidRPr="0021734E" w:rsidRDefault="00D67CFB" w:rsidP="00AB1C3B">
            <w:pPr>
              <w:spacing w:after="0"/>
              <w:rPr>
                <w:rFonts w:ascii="Calibri" w:eastAsia="Times New Roman" w:hAnsi="Calibri" w:cs="Times New Roman"/>
                <w:color w:val="000000"/>
                <w:sz w:val="20"/>
                <w:szCs w:val="20"/>
              </w:rPr>
            </w:pPr>
            <w:r w:rsidRPr="0021734E">
              <w:rPr>
                <w:rFonts w:ascii="Calibri" w:eastAsia="Times New Roman" w:hAnsi="Calibri" w:cs="Times New Roman"/>
                <w:color w:val="000000"/>
                <w:sz w:val="20"/>
                <w:szCs w:val="20"/>
              </w:rPr>
              <w:t>Air Sealing</w:t>
            </w:r>
          </w:p>
        </w:tc>
        <w:tc>
          <w:tcPr>
            <w:tcW w:w="797" w:type="pct"/>
            <w:shd w:val="clear" w:color="auto" w:fill="auto"/>
            <w:vAlign w:val="center"/>
            <w:hideMark/>
          </w:tcPr>
          <w:p w:rsidR="00D67CFB" w:rsidRPr="0021734E" w:rsidRDefault="00427C71" w:rsidP="00AB1C3B">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57</w:t>
            </w:r>
          </w:p>
        </w:tc>
        <w:tc>
          <w:tcPr>
            <w:tcW w:w="1001" w:type="pct"/>
            <w:shd w:val="clear" w:color="auto" w:fill="auto"/>
            <w:vAlign w:val="center"/>
            <w:hideMark/>
          </w:tcPr>
          <w:p w:rsidR="00D67CFB" w:rsidRPr="0021734E" w:rsidRDefault="00D67CFB" w:rsidP="00AB1C3B">
            <w:pPr>
              <w:spacing w:after="0"/>
              <w:jc w:val="right"/>
              <w:rPr>
                <w:rFonts w:ascii="Calibri" w:eastAsia="Times New Roman" w:hAnsi="Calibri" w:cs="Times New Roman"/>
                <w:color w:val="000000"/>
                <w:sz w:val="20"/>
                <w:szCs w:val="20"/>
              </w:rPr>
            </w:pPr>
            <w:r w:rsidRPr="0021734E">
              <w:rPr>
                <w:rFonts w:ascii="Calibri" w:eastAsia="Times New Roman" w:hAnsi="Calibri" w:cs="Times New Roman"/>
                <w:color w:val="000000"/>
                <w:sz w:val="20"/>
                <w:szCs w:val="20"/>
              </w:rPr>
              <w:t>62</w:t>
            </w:r>
          </w:p>
        </w:tc>
        <w:tc>
          <w:tcPr>
            <w:tcW w:w="676" w:type="pct"/>
            <w:shd w:val="clear" w:color="auto" w:fill="auto"/>
            <w:vAlign w:val="center"/>
            <w:hideMark/>
          </w:tcPr>
          <w:p w:rsidR="00D67CFB" w:rsidRPr="0021734E" w:rsidRDefault="00427C71" w:rsidP="00AB1C3B">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91</w:t>
            </w:r>
            <w:r w:rsidR="00D67CFB" w:rsidRPr="0021734E">
              <w:rPr>
                <w:rFonts w:ascii="Calibri" w:eastAsia="Times New Roman" w:hAnsi="Calibri" w:cs="Times New Roman"/>
                <w:color w:val="000000"/>
                <w:sz w:val="20"/>
                <w:szCs w:val="20"/>
              </w:rPr>
              <w:t>%</w:t>
            </w:r>
          </w:p>
        </w:tc>
        <w:tc>
          <w:tcPr>
            <w:tcW w:w="827" w:type="pct"/>
            <w:shd w:val="clear" w:color="auto" w:fill="auto"/>
            <w:vAlign w:val="center"/>
            <w:hideMark/>
          </w:tcPr>
          <w:p w:rsidR="00D67CFB" w:rsidRPr="0021734E" w:rsidRDefault="00D67CFB" w:rsidP="00AB1C3B">
            <w:pPr>
              <w:spacing w:after="0"/>
              <w:jc w:val="right"/>
              <w:rPr>
                <w:rFonts w:ascii="Calibri" w:eastAsia="Times New Roman" w:hAnsi="Calibri" w:cs="Times New Roman"/>
                <w:color w:val="000000"/>
                <w:sz w:val="20"/>
                <w:szCs w:val="20"/>
              </w:rPr>
            </w:pPr>
            <w:r w:rsidRPr="0021734E">
              <w:rPr>
                <w:rFonts w:ascii="Calibri" w:eastAsia="Times New Roman" w:hAnsi="Calibri" w:cs="Times New Roman"/>
                <w:color w:val="000000"/>
                <w:sz w:val="20"/>
                <w:szCs w:val="20"/>
              </w:rPr>
              <w:t>5%</w:t>
            </w:r>
          </w:p>
        </w:tc>
        <w:tc>
          <w:tcPr>
            <w:tcW w:w="996" w:type="pct"/>
            <w:shd w:val="clear" w:color="auto" w:fill="auto"/>
            <w:vAlign w:val="center"/>
            <w:hideMark/>
          </w:tcPr>
          <w:p w:rsidR="00D67CFB" w:rsidRPr="0021734E" w:rsidRDefault="00D67CFB" w:rsidP="00AB1C3B">
            <w:pPr>
              <w:spacing w:after="0"/>
              <w:jc w:val="right"/>
              <w:rPr>
                <w:rFonts w:ascii="Calibri" w:eastAsia="Times New Roman" w:hAnsi="Calibri" w:cs="Times New Roman"/>
                <w:color w:val="000000"/>
                <w:sz w:val="20"/>
                <w:szCs w:val="20"/>
              </w:rPr>
            </w:pPr>
            <w:r w:rsidRPr="0021734E">
              <w:rPr>
                <w:rFonts w:ascii="Calibri" w:eastAsia="Times New Roman" w:hAnsi="Calibri" w:cs="Times New Roman"/>
                <w:color w:val="000000"/>
                <w:sz w:val="20"/>
                <w:szCs w:val="20"/>
              </w:rPr>
              <w:t>6%</w:t>
            </w:r>
          </w:p>
        </w:tc>
      </w:tr>
      <w:tr w:rsidR="00427C71" w:rsidRPr="00C46F61" w:rsidTr="00427C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000" w:type="pct"/>
            <w:gridSpan w:val="6"/>
            <w:tcBorders>
              <w:top w:val="nil"/>
              <w:left w:val="nil"/>
              <w:bottom w:val="nil"/>
              <w:right w:val="nil"/>
            </w:tcBorders>
            <w:shd w:val="clear" w:color="auto" w:fill="auto"/>
            <w:noWrap/>
            <w:vAlign w:val="center"/>
            <w:hideMark/>
          </w:tcPr>
          <w:p w:rsidR="00427C71" w:rsidRPr="00C46F61" w:rsidRDefault="003F10CF" w:rsidP="003F10CF">
            <w:pPr>
              <w:spacing w:after="0" w:line="240" w:lineRule="auto"/>
              <w:ind w:left="90" w:hanging="90"/>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427C71">
              <w:rPr>
                <w:rFonts w:ascii="Calibri" w:eastAsia="Times New Roman" w:hAnsi="Calibri" w:cs="Times New Roman"/>
                <w:color w:val="000000"/>
                <w:sz w:val="20"/>
                <w:szCs w:val="20"/>
              </w:rPr>
              <w:t xml:space="preserve">Average </w:t>
            </w:r>
            <w:r w:rsidR="00427C71" w:rsidRPr="005C2B81">
              <w:rPr>
                <w:rFonts w:ascii="Calibri" w:eastAsia="Times New Roman" w:hAnsi="Calibri" w:cs="Times New Roman"/>
                <w:i/>
                <w:color w:val="000000"/>
                <w:sz w:val="20"/>
                <w:szCs w:val="20"/>
              </w:rPr>
              <w:t>ex ante</w:t>
            </w:r>
            <w:r w:rsidR="00427C71">
              <w:rPr>
                <w:rFonts w:ascii="Calibri" w:eastAsia="Times New Roman" w:hAnsi="Calibri" w:cs="Times New Roman"/>
                <w:color w:val="000000"/>
                <w:sz w:val="20"/>
                <w:szCs w:val="20"/>
              </w:rPr>
              <w:t xml:space="preserve"> savings is based on the participant sample used in the billing analysis and may vary from averages based on the program population.</w:t>
            </w:r>
          </w:p>
        </w:tc>
      </w:tr>
    </w:tbl>
    <w:p w:rsidR="00D67CFB" w:rsidRDefault="00D67CFB" w:rsidP="00AB1C3B">
      <w:pPr>
        <w:pStyle w:val="NormalAfterTablesandFigures"/>
      </w:pPr>
    </w:p>
    <w:p w:rsidR="00D67CFB" w:rsidRPr="00D67CFB" w:rsidRDefault="00D67CFB" w:rsidP="00AB1C3B">
      <w:pPr>
        <w:pStyle w:val="Heading5"/>
      </w:pPr>
      <w:r>
        <w:t>Simulation Modeling Results</w:t>
      </w:r>
    </w:p>
    <w:p w:rsidR="007B0830" w:rsidRDefault="008325F2" w:rsidP="00427C71">
      <w:r>
        <w:t xml:space="preserve">The Evaluation Team used detail provided in the utility tracking data (for each building type and heating fuel combination) to assess corresponding pre- and post-installation information for each measure analyzed using the calibrated simulation approach. </w:t>
      </w:r>
      <w:r w:rsidR="005C2163">
        <w:rPr>
          <w:lang w:eastAsia="ar-SA"/>
        </w:rPr>
        <w:fldChar w:fldCharType="begin"/>
      </w:r>
      <w:r>
        <w:rPr>
          <w:lang w:eastAsia="ar-SA"/>
        </w:rPr>
        <w:instrText xml:space="preserve"> REF _Ref388433445 \h </w:instrText>
      </w:r>
      <w:r w:rsidR="005C2163">
        <w:rPr>
          <w:lang w:eastAsia="ar-SA"/>
        </w:rPr>
      </w:r>
      <w:r w:rsidR="005C2163">
        <w:rPr>
          <w:lang w:eastAsia="ar-SA"/>
        </w:rPr>
        <w:fldChar w:fldCharType="separate"/>
      </w:r>
      <w:r w:rsidR="00CD20CF">
        <w:t xml:space="preserve">Table </w:t>
      </w:r>
      <w:r w:rsidR="00CD20CF">
        <w:rPr>
          <w:noProof/>
        </w:rPr>
        <w:t>37</w:t>
      </w:r>
      <w:r w:rsidR="005C2163">
        <w:rPr>
          <w:lang w:eastAsia="ar-SA"/>
        </w:rPr>
        <w:fldChar w:fldCharType="end"/>
      </w:r>
      <w:r>
        <w:rPr>
          <w:lang w:eastAsia="ar-SA"/>
        </w:rPr>
        <w:t xml:space="preserve"> </w:t>
      </w:r>
      <w:r>
        <w:t>presents these details, including average pre- and post-installation insulation levels (weight</w:t>
      </w:r>
      <w:r w:rsidR="003009EA">
        <w:t>ed by square footage installed) and</w:t>
      </w:r>
      <w:r>
        <w:t xml:space="preserve"> changes in air and duct</w:t>
      </w:r>
      <w:r w:rsidR="00141712">
        <w:t>-</w:t>
      </w:r>
      <w:r>
        <w:t>sealing levels.</w:t>
      </w:r>
    </w:p>
    <w:p w:rsidR="007B0830" w:rsidRDefault="007B0830" w:rsidP="00427C71">
      <w:pPr>
        <w:pStyle w:val="Caption"/>
      </w:pPr>
      <w:bookmarkStart w:id="81" w:name="_Ref388433445"/>
      <w:r>
        <w:t xml:space="preserve">Table </w:t>
      </w:r>
      <w:r w:rsidR="002506E1">
        <w:fldChar w:fldCharType="begin"/>
      </w:r>
      <w:r w:rsidR="002506E1">
        <w:instrText xml:space="preserve"> SEQ Table \* ARABIC </w:instrText>
      </w:r>
      <w:r w:rsidR="002506E1">
        <w:fldChar w:fldCharType="separate"/>
      </w:r>
      <w:r w:rsidR="00CD20CF">
        <w:rPr>
          <w:noProof/>
        </w:rPr>
        <w:t>37</w:t>
      </w:r>
      <w:r w:rsidR="002506E1">
        <w:rPr>
          <w:noProof/>
        </w:rPr>
        <w:fldChar w:fldCharType="end"/>
      </w:r>
      <w:bookmarkEnd w:id="81"/>
      <w:r>
        <w:t>. HES Gas</w:t>
      </w:r>
      <w:r w:rsidR="00B15D23">
        <w:t>—</w:t>
      </w:r>
      <w:r w:rsidR="008325F2">
        <w:t>Shell and Duct</w:t>
      </w:r>
      <w:r w:rsidR="00141712">
        <w:t>-</w:t>
      </w:r>
      <w:r w:rsidR="008325F2">
        <w:t>Sealing Measure Distribution and Installation Details</w:t>
      </w:r>
    </w:p>
    <w:tbl>
      <w:tblPr>
        <w:tblW w:w="5000" w:type="pct"/>
        <w:tblLook w:val="04A0" w:firstRow="1" w:lastRow="0" w:firstColumn="1" w:lastColumn="0" w:noHBand="0" w:noVBand="1"/>
      </w:tblPr>
      <w:tblGrid>
        <w:gridCol w:w="1458"/>
        <w:gridCol w:w="1531"/>
        <w:gridCol w:w="1710"/>
        <w:gridCol w:w="1618"/>
        <w:gridCol w:w="2005"/>
        <w:gridCol w:w="1254"/>
      </w:tblGrid>
      <w:tr w:rsidR="008325F2" w:rsidRPr="008325F2" w:rsidTr="00AE2F5F">
        <w:tc>
          <w:tcPr>
            <w:tcW w:w="761"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8325F2" w:rsidRPr="008325F2" w:rsidRDefault="008325F2" w:rsidP="003F10CF">
            <w:pPr>
              <w:spacing w:after="0"/>
              <w:jc w:val="center"/>
              <w:rPr>
                <w:rFonts w:ascii="Calibri" w:eastAsia="Times New Roman" w:hAnsi="Calibri" w:cs="Times New Roman"/>
                <w:b/>
                <w:bCs/>
                <w:color w:val="FFFFFF"/>
              </w:rPr>
            </w:pPr>
            <w:r w:rsidRPr="008325F2">
              <w:rPr>
                <w:rFonts w:ascii="Calibri" w:eastAsia="Times New Roman" w:hAnsi="Calibri" w:cs="Times New Roman"/>
                <w:b/>
                <w:bCs/>
                <w:color w:val="FFFFFF"/>
              </w:rPr>
              <w:t>Measure</w:t>
            </w:r>
          </w:p>
        </w:tc>
        <w:tc>
          <w:tcPr>
            <w:tcW w:w="799"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8325F2" w:rsidRPr="008325F2" w:rsidRDefault="008325F2" w:rsidP="003F10CF">
            <w:pPr>
              <w:spacing w:after="0"/>
              <w:jc w:val="center"/>
              <w:rPr>
                <w:rFonts w:ascii="Calibri" w:eastAsia="Times New Roman" w:hAnsi="Calibri" w:cs="Times New Roman"/>
                <w:b/>
                <w:bCs/>
                <w:color w:val="FFFFFF"/>
              </w:rPr>
            </w:pPr>
            <w:r w:rsidRPr="008325F2">
              <w:rPr>
                <w:rFonts w:ascii="Calibri" w:eastAsia="Times New Roman" w:hAnsi="Calibri" w:cs="Times New Roman"/>
                <w:b/>
                <w:bCs/>
                <w:color w:val="FFFFFF"/>
              </w:rPr>
              <w:t>Participants*</w:t>
            </w:r>
          </w:p>
        </w:tc>
        <w:tc>
          <w:tcPr>
            <w:tcW w:w="893"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8325F2" w:rsidRPr="008325F2" w:rsidRDefault="008325F2" w:rsidP="003F10CF">
            <w:pPr>
              <w:spacing w:after="0"/>
              <w:jc w:val="center"/>
              <w:rPr>
                <w:rFonts w:ascii="Calibri" w:eastAsia="Times New Roman" w:hAnsi="Calibri" w:cs="Times New Roman"/>
                <w:b/>
                <w:bCs/>
                <w:color w:val="FFFFFF"/>
              </w:rPr>
            </w:pPr>
            <w:r w:rsidRPr="008325F2">
              <w:rPr>
                <w:rFonts w:ascii="Calibri" w:eastAsia="Times New Roman" w:hAnsi="Calibri" w:cs="Times New Roman"/>
                <w:b/>
                <w:bCs/>
                <w:color w:val="FFFFFF"/>
              </w:rPr>
              <w:t>Pre-Condition</w:t>
            </w:r>
          </w:p>
        </w:tc>
        <w:tc>
          <w:tcPr>
            <w:tcW w:w="845"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8325F2" w:rsidRPr="008325F2" w:rsidRDefault="008325F2" w:rsidP="003F10CF">
            <w:pPr>
              <w:spacing w:after="0"/>
              <w:jc w:val="center"/>
              <w:rPr>
                <w:rFonts w:ascii="Calibri" w:eastAsia="Times New Roman" w:hAnsi="Calibri" w:cs="Times New Roman"/>
                <w:b/>
                <w:bCs/>
                <w:color w:val="FFFFFF"/>
              </w:rPr>
            </w:pPr>
            <w:r w:rsidRPr="008325F2">
              <w:rPr>
                <w:rFonts w:ascii="Calibri" w:eastAsia="Times New Roman" w:hAnsi="Calibri" w:cs="Times New Roman"/>
                <w:b/>
                <w:bCs/>
                <w:color w:val="FFFFFF"/>
              </w:rPr>
              <w:t>Post-Condition</w:t>
            </w:r>
          </w:p>
        </w:tc>
        <w:tc>
          <w:tcPr>
            <w:tcW w:w="1047"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8325F2" w:rsidRPr="008325F2" w:rsidRDefault="008325F2" w:rsidP="003F10CF">
            <w:pPr>
              <w:spacing w:after="0"/>
              <w:jc w:val="center"/>
              <w:rPr>
                <w:rFonts w:ascii="Calibri" w:eastAsia="Times New Roman" w:hAnsi="Calibri" w:cs="Times New Roman"/>
                <w:b/>
                <w:bCs/>
                <w:color w:val="FFFFFF"/>
              </w:rPr>
            </w:pPr>
            <w:r w:rsidRPr="008325F2">
              <w:rPr>
                <w:rFonts w:ascii="Calibri" w:eastAsia="Times New Roman" w:hAnsi="Calibri" w:cs="Times New Roman"/>
                <w:b/>
                <w:bCs/>
                <w:color w:val="FFFFFF"/>
              </w:rPr>
              <w:t>Average % Leakage Reduction</w:t>
            </w:r>
          </w:p>
        </w:tc>
        <w:tc>
          <w:tcPr>
            <w:tcW w:w="655"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8325F2" w:rsidRPr="008325F2" w:rsidRDefault="008325F2" w:rsidP="003F10CF">
            <w:pPr>
              <w:spacing w:after="0"/>
              <w:jc w:val="center"/>
              <w:rPr>
                <w:rFonts w:ascii="Calibri" w:eastAsia="Times New Roman" w:hAnsi="Calibri" w:cs="Times New Roman"/>
                <w:b/>
                <w:bCs/>
                <w:color w:val="FFFFFF"/>
              </w:rPr>
            </w:pPr>
            <w:r w:rsidRPr="008325F2">
              <w:rPr>
                <w:rFonts w:ascii="Calibri" w:eastAsia="Times New Roman" w:hAnsi="Calibri" w:cs="Times New Roman"/>
                <w:b/>
                <w:bCs/>
                <w:color w:val="FFFFFF"/>
              </w:rPr>
              <w:t>Units</w:t>
            </w:r>
          </w:p>
        </w:tc>
      </w:tr>
      <w:tr w:rsidR="008325F2" w:rsidRPr="008325F2" w:rsidTr="00AE2F5F">
        <w:tc>
          <w:tcPr>
            <w:tcW w:w="761"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25F2" w:rsidRPr="008325F2" w:rsidRDefault="008325F2" w:rsidP="003F10CF">
            <w:pPr>
              <w:spacing w:after="0"/>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Duct Sealing</w:t>
            </w:r>
          </w:p>
        </w:tc>
        <w:tc>
          <w:tcPr>
            <w:tcW w:w="799"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25F2" w:rsidRPr="008325F2" w:rsidRDefault="008325F2" w:rsidP="003F10CF">
            <w:pPr>
              <w:spacing w:after="0"/>
              <w:jc w:val="right"/>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1,192</w:t>
            </w:r>
          </w:p>
        </w:tc>
        <w:tc>
          <w:tcPr>
            <w:tcW w:w="893"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25F2" w:rsidRPr="008325F2" w:rsidRDefault="008325F2" w:rsidP="003F10CF">
            <w:pPr>
              <w:spacing w:after="0"/>
              <w:jc w:val="right"/>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522</w:t>
            </w:r>
          </w:p>
        </w:tc>
        <w:tc>
          <w:tcPr>
            <w:tcW w:w="84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25F2" w:rsidRPr="008325F2" w:rsidRDefault="008325F2" w:rsidP="003F10CF">
            <w:pPr>
              <w:spacing w:after="0"/>
              <w:jc w:val="right"/>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393</w:t>
            </w:r>
          </w:p>
        </w:tc>
        <w:tc>
          <w:tcPr>
            <w:tcW w:w="1047"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25F2" w:rsidRPr="008325F2" w:rsidRDefault="008325F2" w:rsidP="003F10CF">
            <w:pPr>
              <w:spacing w:after="0"/>
              <w:jc w:val="right"/>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25%</w:t>
            </w:r>
          </w:p>
        </w:tc>
        <w:tc>
          <w:tcPr>
            <w:tcW w:w="65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25F2" w:rsidRPr="008325F2" w:rsidRDefault="008325F2" w:rsidP="003F10CF">
            <w:pPr>
              <w:spacing w:after="0"/>
              <w:jc w:val="right"/>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CFM 25</w:t>
            </w:r>
          </w:p>
        </w:tc>
      </w:tr>
      <w:tr w:rsidR="008325F2" w:rsidRPr="008325F2" w:rsidTr="00AE2F5F">
        <w:tc>
          <w:tcPr>
            <w:tcW w:w="761"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25F2" w:rsidRPr="008325F2" w:rsidRDefault="008325F2" w:rsidP="003F10CF">
            <w:pPr>
              <w:spacing w:after="0"/>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Attic Insulation</w:t>
            </w:r>
          </w:p>
        </w:tc>
        <w:tc>
          <w:tcPr>
            <w:tcW w:w="799"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25F2" w:rsidRPr="008325F2" w:rsidRDefault="008325F2" w:rsidP="003F10CF">
            <w:pPr>
              <w:spacing w:after="0"/>
              <w:jc w:val="right"/>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383</w:t>
            </w:r>
          </w:p>
        </w:tc>
        <w:tc>
          <w:tcPr>
            <w:tcW w:w="893"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25F2" w:rsidRPr="008325F2" w:rsidRDefault="008325F2" w:rsidP="003F10CF">
            <w:pPr>
              <w:spacing w:after="0"/>
              <w:jc w:val="right"/>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R5</w:t>
            </w:r>
          </w:p>
        </w:tc>
        <w:tc>
          <w:tcPr>
            <w:tcW w:w="84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25F2" w:rsidRPr="008325F2" w:rsidRDefault="008325F2" w:rsidP="003F10CF">
            <w:pPr>
              <w:spacing w:after="0"/>
              <w:jc w:val="right"/>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R32</w:t>
            </w:r>
          </w:p>
        </w:tc>
        <w:tc>
          <w:tcPr>
            <w:tcW w:w="1047"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25F2" w:rsidRPr="008325F2" w:rsidRDefault="008325F2" w:rsidP="003F10CF">
            <w:pPr>
              <w:spacing w:after="0"/>
              <w:jc w:val="right"/>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n/a</w:t>
            </w:r>
          </w:p>
        </w:tc>
        <w:tc>
          <w:tcPr>
            <w:tcW w:w="65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25F2" w:rsidRPr="008325F2" w:rsidRDefault="008325F2" w:rsidP="003F10CF">
            <w:pPr>
              <w:spacing w:after="0"/>
              <w:jc w:val="right"/>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R-Value</w:t>
            </w:r>
          </w:p>
        </w:tc>
      </w:tr>
      <w:tr w:rsidR="008325F2" w:rsidRPr="008325F2" w:rsidTr="00AE2F5F">
        <w:tc>
          <w:tcPr>
            <w:tcW w:w="761"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25F2" w:rsidRPr="008325F2" w:rsidRDefault="008325F2" w:rsidP="003F10CF">
            <w:pPr>
              <w:spacing w:after="0"/>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Wall Insulation</w:t>
            </w:r>
          </w:p>
        </w:tc>
        <w:tc>
          <w:tcPr>
            <w:tcW w:w="799"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25F2" w:rsidRPr="008325F2" w:rsidRDefault="008325F2" w:rsidP="003F10CF">
            <w:pPr>
              <w:spacing w:after="0"/>
              <w:jc w:val="right"/>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54</w:t>
            </w:r>
          </w:p>
        </w:tc>
        <w:tc>
          <w:tcPr>
            <w:tcW w:w="893"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25F2" w:rsidRPr="008325F2" w:rsidRDefault="008325F2" w:rsidP="003F10CF">
            <w:pPr>
              <w:spacing w:after="0"/>
              <w:jc w:val="right"/>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R0.5</w:t>
            </w:r>
          </w:p>
        </w:tc>
        <w:tc>
          <w:tcPr>
            <w:tcW w:w="84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25F2" w:rsidRPr="008325F2" w:rsidRDefault="008325F2" w:rsidP="003F10CF">
            <w:pPr>
              <w:spacing w:after="0"/>
              <w:jc w:val="right"/>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R15.5</w:t>
            </w:r>
          </w:p>
        </w:tc>
        <w:tc>
          <w:tcPr>
            <w:tcW w:w="1047"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25F2" w:rsidRPr="008325F2" w:rsidRDefault="008325F2" w:rsidP="003F10CF">
            <w:pPr>
              <w:spacing w:after="0"/>
              <w:jc w:val="right"/>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n/a</w:t>
            </w:r>
          </w:p>
        </w:tc>
        <w:tc>
          <w:tcPr>
            <w:tcW w:w="65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325F2" w:rsidRPr="008325F2" w:rsidRDefault="008325F2" w:rsidP="003F10CF">
            <w:pPr>
              <w:spacing w:after="0"/>
              <w:jc w:val="right"/>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R-Value</w:t>
            </w:r>
          </w:p>
        </w:tc>
      </w:tr>
      <w:tr w:rsidR="008325F2" w:rsidRPr="008325F2" w:rsidTr="003F10CF">
        <w:trPr>
          <w:trHeight w:val="300"/>
        </w:trPr>
        <w:tc>
          <w:tcPr>
            <w:tcW w:w="4345" w:type="pct"/>
            <w:gridSpan w:val="5"/>
            <w:tcBorders>
              <w:top w:val="single" w:sz="4" w:space="0" w:color="BFBFBF"/>
              <w:left w:val="nil"/>
              <w:bottom w:val="nil"/>
              <w:right w:val="nil"/>
            </w:tcBorders>
            <w:shd w:val="clear" w:color="auto" w:fill="auto"/>
            <w:noWrap/>
            <w:vAlign w:val="center"/>
            <w:hideMark/>
          </w:tcPr>
          <w:p w:rsidR="008325F2" w:rsidRPr="008325F2" w:rsidRDefault="008325F2" w:rsidP="003F10CF">
            <w:pPr>
              <w:spacing w:after="0" w:line="240" w:lineRule="auto"/>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 xml:space="preserve">*Count of participants reflects the number with </w:t>
            </w:r>
            <w:r w:rsidRPr="008325F2">
              <w:rPr>
                <w:rFonts w:ascii="Calibri" w:eastAsia="Times New Roman" w:hAnsi="Calibri" w:cs="Times New Roman"/>
                <w:i/>
                <w:iCs/>
                <w:color w:val="000000"/>
                <w:sz w:val="20"/>
                <w:szCs w:val="20"/>
              </w:rPr>
              <w:t>ex ante</w:t>
            </w:r>
            <w:r w:rsidRPr="008325F2">
              <w:rPr>
                <w:rFonts w:ascii="Calibri" w:eastAsia="Times New Roman" w:hAnsi="Calibri" w:cs="Times New Roman"/>
                <w:color w:val="000000"/>
                <w:sz w:val="20"/>
                <w:szCs w:val="20"/>
              </w:rPr>
              <w:t xml:space="preserve"> savings reported for a given measure.</w:t>
            </w:r>
          </w:p>
        </w:tc>
        <w:tc>
          <w:tcPr>
            <w:tcW w:w="655" w:type="pct"/>
            <w:tcBorders>
              <w:top w:val="single" w:sz="4" w:space="0" w:color="BFBFBF"/>
              <w:left w:val="nil"/>
              <w:bottom w:val="nil"/>
              <w:right w:val="nil"/>
            </w:tcBorders>
            <w:shd w:val="clear" w:color="auto" w:fill="auto"/>
            <w:noWrap/>
            <w:vAlign w:val="center"/>
            <w:hideMark/>
          </w:tcPr>
          <w:p w:rsidR="008325F2" w:rsidRPr="008325F2" w:rsidRDefault="008325F2" w:rsidP="003F10CF">
            <w:pPr>
              <w:spacing w:after="0" w:line="240" w:lineRule="auto"/>
              <w:rPr>
                <w:rFonts w:ascii="Calibri" w:eastAsia="Times New Roman" w:hAnsi="Calibri" w:cs="Times New Roman"/>
                <w:color w:val="000000"/>
              </w:rPr>
            </w:pPr>
          </w:p>
        </w:tc>
      </w:tr>
    </w:tbl>
    <w:p w:rsidR="007B0830" w:rsidRDefault="007B0830" w:rsidP="00427C71">
      <w:pPr>
        <w:pStyle w:val="NormalAfterTablesandFigures"/>
      </w:pPr>
    </w:p>
    <w:p w:rsidR="007B0830" w:rsidRDefault="007B0830" w:rsidP="00427C71">
      <w:r>
        <w:t>The Evaluation Team used the energy models to calculate the savings percentage of weather-sensitive load</w:t>
      </w:r>
      <w:r w:rsidR="00AF73B1">
        <w:t>s</w:t>
      </w:r>
      <w:r>
        <w:t xml:space="preserve"> for each measure, which were then applied to pre-period</w:t>
      </w:r>
      <w:r w:rsidR="00AF73B1">
        <w:t>,</w:t>
      </w:r>
      <w:r>
        <w:t xml:space="preserve"> weather</w:t>
      </w:r>
      <w:r w:rsidR="00AF73B1">
        <w:t>-</w:t>
      </w:r>
      <w:r>
        <w:t xml:space="preserve">sensitive usage for each model to calculate evaluated energy savings. </w:t>
      </w:r>
      <w:r w:rsidR="005C2163">
        <w:fldChar w:fldCharType="begin"/>
      </w:r>
      <w:r w:rsidR="00AB1C3B">
        <w:instrText xml:space="preserve"> REF _Ref388433482 \h </w:instrText>
      </w:r>
      <w:r w:rsidR="005C2163">
        <w:fldChar w:fldCharType="separate"/>
      </w:r>
      <w:r w:rsidR="00CD20CF">
        <w:t xml:space="preserve">Table </w:t>
      </w:r>
      <w:r w:rsidR="00CD20CF">
        <w:rPr>
          <w:noProof/>
        </w:rPr>
        <w:t>38</w:t>
      </w:r>
      <w:r w:rsidR="005C2163">
        <w:fldChar w:fldCharType="end"/>
      </w:r>
      <w:r>
        <w:t xml:space="preserve"> presents the weighted household-level </w:t>
      </w:r>
      <w:r w:rsidR="002E3FF4">
        <w:t>gas</w:t>
      </w:r>
      <w:r>
        <w:t xml:space="preserve"> savings for each measure and </w:t>
      </w:r>
      <w:r w:rsidR="00AF73B1">
        <w:t xml:space="preserve">the </w:t>
      </w:r>
      <w:r>
        <w:t xml:space="preserve">realization rates compared to average </w:t>
      </w:r>
      <w:r w:rsidRPr="00CA48C9">
        <w:rPr>
          <w:i/>
        </w:rPr>
        <w:t>ex ante</w:t>
      </w:r>
      <w:r>
        <w:t xml:space="preserve"> savings, along with savings percentages of weather-sensitive load</w:t>
      </w:r>
      <w:r w:rsidR="00AF73B1">
        <w:t>s</w:t>
      </w:r>
      <w:r>
        <w:t>.</w:t>
      </w:r>
    </w:p>
    <w:p w:rsidR="007B0830" w:rsidRDefault="007B0830" w:rsidP="001D5EAA">
      <w:pPr>
        <w:pStyle w:val="Caption"/>
        <w:keepNext w:val="0"/>
        <w:keepLines w:val="0"/>
      </w:pPr>
      <w:bookmarkStart w:id="82" w:name="_Ref388433482"/>
      <w:r>
        <w:t xml:space="preserve">Table </w:t>
      </w:r>
      <w:r w:rsidR="002506E1">
        <w:fldChar w:fldCharType="begin"/>
      </w:r>
      <w:r w:rsidR="002506E1">
        <w:instrText xml:space="preserve"> SEQ Table \* ARABIC </w:instrText>
      </w:r>
      <w:r w:rsidR="002506E1">
        <w:fldChar w:fldCharType="separate"/>
      </w:r>
      <w:r w:rsidR="00CD20CF">
        <w:rPr>
          <w:noProof/>
        </w:rPr>
        <w:t>38</w:t>
      </w:r>
      <w:r w:rsidR="002506E1">
        <w:rPr>
          <w:noProof/>
        </w:rPr>
        <w:fldChar w:fldCharType="end"/>
      </w:r>
      <w:bookmarkEnd w:id="82"/>
      <w:r>
        <w:t>. HES Gas</w:t>
      </w:r>
      <w:r w:rsidR="00AF73B1">
        <w:t>—</w:t>
      </w:r>
      <w:r>
        <w:t>Weighted Household Savings</w:t>
      </w:r>
      <w:r w:rsidRPr="007B0830">
        <w:t xml:space="preserve"> </w:t>
      </w:r>
      <w:r>
        <w:t>for Shell and Duct Measures</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58"/>
        <w:gridCol w:w="1350"/>
        <w:gridCol w:w="2256"/>
        <w:gridCol w:w="1505"/>
        <w:gridCol w:w="1505"/>
        <w:gridCol w:w="1502"/>
      </w:tblGrid>
      <w:tr w:rsidR="008325F2" w:rsidRPr="008325F2" w:rsidTr="00960A68">
        <w:tc>
          <w:tcPr>
            <w:tcW w:w="761" w:type="pct"/>
            <w:shd w:val="clear" w:color="000000" w:fill="005DAA"/>
            <w:vAlign w:val="center"/>
            <w:hideMark/>
          </w:tcPr>
          <w:p w:rsidR="008325F2" w:rsidRPr="008325F2" w:rsidRDefault="008325F2" w:rsidP="003F10CF">
            <w:pPr>
              <w:spacing w:after="0"/>
              <w:jc w:val="center"/>
              <w:rPr>
                <w:rFonts w:ascii="Calibri" w:eastAsia="Times New Roman" w:hAnsi="Calibri" w:cs="Times New Roman"/>
                <w:b/>
                <w:bCs/>
                <w:color w:val="FFFFFF"/>
              </w:rPr>
            </w:pPr>
            <w:r w:rsidRPr="008325F2">
              <w:rPr>
                <w:rFonts w:ascii="Calibri" w:eastAsia="Times New Roman" w:hAnsi="Calibri" w:cs="Times New Roman"/>
                <w:b/>
                <w:bCs/>
                <w:color w:val="FFFFFF"/>
              </w:rPr>
              <w:t>Measures</w:t>
            </w:r>
          </w:p>
        </w:tc>
        <w:tc>
          <w:tcPr>
            <w:tcW w:w="705" w:type="pct"/>
            <w:shd w:val="clear" w:color="000000" w:fill="005DAA"/>
            <w:vAlign w:val="center"/>
            <w:hideMark/>
          </w:tcPr>
          <w:p w:rsidR="008325F2" w:rsidRPr="008325F2" w:rsidRDefault="008325F2" w:rsidP="003F10CF">
            <w:pPr>
              <w:spacing w:after="0"/>
              <w:jc w:val="center"/>
              <w:rPr>
                <w:rFonts w:ascii="Calibri" w:eastAsia="Times New Roman" w:hAnsi="Calibri" w:cs="Times New Roman"/>
                <w:b/>
                <w:bCs/>
                <w:color w:val="FFFFFF"/>
              </w:rPr>
            </w:pPr>
            <w:r w:rsidRPr="008325F2">
              <w:rPr>
                <w:rFonts w:ascii="Calibri" w:eastAsia="Times New Roman" w:hAnsi="Calibri" w:cs="Times New Roman"/>
                <w:b/>
                <w:bCs/>
                <w:color w:val="FFFFFF"/>
              </w:rPr>
              <w:t xml:space="preserve">Average </w:t>
            </w:r>
            <w:r w:rsidR="00960A68">
              <w:rPr>
                <w:rFonts w:ascii="Calibri" w:eastAsia="Times New Roman" w:hAnsi="Calibri" w:cs="Times New Roman"/>
                <w:b/>
                <w:bCs/>
                <w:color w:val="FFFFFF"/>
              </w:rPr>
              <w:br/>
            </w:r>
            <w:r w:rsidRPr="008325F2">
              <w:rPr>
                <w:rFonts w:ascii="Calibri" w:eastAsia="Times New Roman" w:hAnsi="Calibri" w:cs="Times New Roman"/>
                <w:b/>
                <w:bCs/>
                <w:i/>
                <w:iCs/>
                <w:color w:val="FFFFFF"/>
              </w:rPr>
              <w:t>Ex Ante</w:t>
            </w:r>
            <w:r w:rsidRPr="008325F2">
              <w:rPr>
                <w:rFonts w:ascii="Calibri" w:eastAsia="Times New Roman" w:hAnsi="Calibri" w:cs="Times New Roman"/>
                <w:b/>
                <w:bCs/>
                <w:color w:val="FFFFFF"/>
              </w:rPr>
              <w:t xml:space="preserve"> Savings (CCF)</w:t>
            </w:r>
          </w:p>
        </w:tc>
        <w:tc>
          <w:tcPr>
            <w:tcW w:w="1178" w:type="pct"/>
            <w:shd w:val="clear" w:color="000000" w:fill="005DAA"/>
            <w:vAlign w:val="center"/>
            <w:hideMark/>
          </w:tcPr>
          <w:p w:rsidR="008325F2" w:rsidRPr="008325F2" w:rsidRDefault="008325F2" w:rsidP="003F10CF">
            <w:pPr>
              <w:spacing w:after="0"/>
              <w:jc w:val="center"/>
              <w:rPr>
                <w:rFonts w:ascii="Calibri" w:eastAsia="Times New Roman" w:hAnsi="Calibri" w:cs="Times New Roman"/>
                <w:b/>
                <w:bCs/>
                <w:color w:val="FFFFFF"/>
              </w:rPr>
            </w:pPr>
            <w:r w:rsidRPr="008325F2">
              <w:rPr>
                <w:rFonts w:ascii="Calibri" w:eastAsia="Times New Roman" w:hAnsi="Calibri" w:cs="Times New Roman"/>
                <w:b/>
                <w:bCs/>
                <w:color w:val="FFFFFF"/>
              </w:rPr>
              <w:t xml:space="preserve">Average Pre-Installation </w:t>
            </w:r>
            <w:r w:rsidR="00AE0E68">
              <w:rPr>
                <w:rFonts w:ascii="Calibri" w:eastAsia="Times New Roman" w:hAnsi="Calibri" w:cs="Times New Roman"/>
                <w:b/>
                <w:bCs/>
                <w:color w:val="FFFFFF"/>
              </w:rPr>
              <w:t>Weather-</w:t>
            </w:r>
            <w:r w:rsidRPr="008325F2">
              <w:rPr>
                <w:rFonts w:ascii="Calibri" w:eastAsia="Times New Roman" w:hAnsi="Calibri" w:cs="Times New Roman"/>
                <w:b/>
                <w:bCs/>
                <w:color w:val="FFFFFF"/>
              </w:rPr>
              <w:t>Sensitive Consumption (CCF)</w:t>
            </w:r>
          </w:p>
        </w:tc>
        <w:tc>
          <w:tcPr>
            <w:tcW w:w="786" w:type="pct"/>
            <w:shd w:val="clear" w:color="000000" w:fill="005DAA"/>
            <w:vAlign w:val="center"/>
            <w:hideMark/>
          </w:tcPr>
          <w:p w:rsidR="008325F2" w:rsidRPr="008325F2" w:rsidRDefault="008325F2" w:rsidP="003F10CF">
            <w:pPr>
              <w:spacing w:after="0"/>
              <w:jc w:val="center"/>
              <w:rPr>
                <w:rFonts w:ascii="Calibri" w:eastAsia="Times New Roman" w:hAnsi="Calibri" w:cs="Times New Roman"/>
                <w:b/>
                <w:bCs/>
                <w:color w:val="FFFFFF"/>
              </w:rPr>
            </w:pPr>
            <w:r w:rsidRPr="008325F2">
              <w:rPr>
                <w:rFonts w:ascii="Calibri" w:eastAsia="Times New Roman" w:hAnsi="Calibri" w:cs="Times New Roman"/>
                <w:b/>
                <w:bCs/>
                <w:color w:val="FFFFFF"/>
              </w:rPr>
              <w:t>Savings as % of Weather-Sensitive Load</w:t>
            </w:r>
          </w:p>
        </w:tc>
        <w:tc>
          <w:tcPr>
            <w:tcW w:w="786" w:type="pct"/>
            <w:shd w:val="clear" w:color="000000" w:fill="005DAA"/>
            <w:vAlign w:val="center"/>
            <w:hideMark/>
          </w:tcPr>
          <w:p w:rsidR="008325F2" w:rsidRPr="008325F2" w:rsidRDefault="008325F2" w:rsidP="003F10CF">
            <w:pPr>
              <w:spacing w:after="0"/>
              <w:jc w:val="center"/>
              <w:rPr>
                <w:rFonts w:ascii="Calibri" w:eastAsia="Times New Roman" w:hAnsi="Calibri" w:cs="Times New Roman"/>
                <w:b/>
                <w:bCs/>
                <w:color w:val="FFFFFF"/>
              </w:rPr>
            </w:pPr>
            <w:r w:rsidRPr="008325F2">
              <w:rPr>
                <w:rFonts w:ascii="Calibri" w:eastAsia="Times New Roman" w:hAnsi="Calibri" w:cs="Times New Roman"/>
                <w:b/>
                <w:bCs/>
                <w:color w:val="FFFFFF"/>
              </w:rPr>
              <w:t>Average Evaluated Gross Savings (CCF)</w:t>
            </w:r>
          </w:p>
        </w:tc>
        <w:tc>
          <w:tcPr>
            <w:tcW w:w="784" w:type="pct"/>
            <w:shd w:val="clear" w:color="000000" w:fill="005DAA"/>
            <w:vAlign w:val="center"/>
            <w:hideMark/>
          </w:tcPr>
          <w:p w:rsidR="008325F2" w:rsidRPr="008325F2" w:rsidRDefault="008325F2" w:rsidP="003F10CF">
            <w:pPr>
              <w:spacing w:after="0"/>
              <w:jc w:val="center"/>
              <w:rPr>
                <w:rFonts w:ascii="Calibri" w:eastAsia="Times New Roman" w:hAnsi="Calibri" w:cs="Times New Roman"/>
                <w:b/>
                <w:bCs/>
                <w:color w:val="FFFFFF"/>
              </w:rPr>
            </w:pPr>
            <w:r w:rsidRPr="008325F2">
              <w:rPr>
                <w:rFonts w:ascii="Calibri" w:eastAsia="Times New Roman" w:hAnsi="Calibri" w:cs="Times New Roman"/>
                <w:b/>
                <w:bCs/>
                <w:color w:val="FFFFFF"/>
              </w:rPr>
              <w:t>Realization Rate</w:t>
            </w:r>
          </w:p>
        </w:tc>
      </w:tr>
      <w:tr w:rsidR="008325F2" w:rsidRPr="008325F2" w:rsidTr="00960A68">
        <w:tc>
          <w:tcPr>
            <w:tcW w:w="761" w:type="pct"/>
            <w:shd w:val="clear" w:color="auto" w:fill="auto"/>
            <w:vAlign w:val="center"/>
            <w:hideMark/>
          </w:tcPr>
          <w:p w:rsidR="008325F2" w:rsidRPr="008325F2" w:rsidRDefault="008325F2" w:rsidP="003F10CF">
            <w:pPr>
              <w:spacing w:after="0"/>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Duct Sealing</w:t>
            </w:r>
          </w:p>
        </w:tc>
        <w:tc>
          <w:tcPr>
            <w:tcW w:w="705" w:type="pct"/>
            <w:shd w:val="clear" w:color="auto" w:fill="auto"/>
            <w:vAlign w:val="center"/>
            <w:hideMark/>
          </w:tcPr>
          <w:p w:rsidR="008325F2" w:rsidRPr="008325F2" w:rsidRDefault="008325F2" w:rsidP="003F10CF">
            <w:pPr>
              <w:spacing w:after="0"/>
              <w:jc w:val="right"/>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45</w:t>
            </w:r>
          </w:p>
        </w:tc>
        <w:tc>
          <w:tcPr>
            <w:tcW w:w="1178" w:type="pct"/>
            <w:shd w:val="clear" w:color="auto" w:fill="auto"/>
            <w:vAlign w:val="center"/>
            <w:hideMark/>
          </w:tcPr>
          <w:p w:rsidR="008325F2" w:rsidRPr="008325F2" w:rsidRDefault="008325F2" w:rsidP="003F10CF">
            <w:pPr>
              <w:spacing w:after="0"/>
              <w:jc w:val="right"/>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790</w:t>
            </w:r>
          </w:p>
        </w:tc>
        <w:tc>
          <w:tcPr>
            <w:tcW w:w="786" w:type="pct"/>
            <w:shd w:val="clear" w:color="auto" w:fill="auto"/>
            <w:vAlign w:val="center"/>
            <w:hideMark/>
          </w:tcPr>
          <w:p w:rsidR="008325F2" w:rsidRPr="008325F2" w:rsidRDefault="008325F2" w:rsidP="003F10CF">
            <w:pPr>
              <w:spacing w:after="0"/>
              <w:jc w:val="right"/>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2.3%</w:t>
            </w:r>
          </w:p>
        </w:tc>
        <w:tc>
          <w:tcPr>
            <w:tcW w:w="786" w:type="pct"/>
            <w:shd w:val="clear" w:color="auto" w:fill="auto"/>
            <w:vAlign w:val="center"/>
            <w:hideMark/>
          </w:tcPr>
          <w:p w:rsidR="008325F2" w:rsidRPr="008325F2" w:rsidRDefault="008325F2" w:rsidP="003F10CF">
            <w:pPr>
              <w:spacing w:after="0"/>
              <w:jc w:val="right"/>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19</w:t>
            </w:r>
          </w:p>
        </w:tc>
        <w:tc>
          <w:tcPr>
            <w:tcW w:w="784" w:type="pct"/>
            <w:shd w:val="clear" w:color="auto" w:fill="auto"/>
            <w:vAlign w:val="center"/>
            <w:hideMark/>
          </w:tcPr>
          <w:p w:rsidR="008325F2" w:rsidRPr="008325F2" w:rsidRDefault="008325F2" w:rsidP="003F10CF">
            <w:pPr>
              <w:spacing w:after="0"/>
              <w:jc w:val="right"/>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42%</w:t>
            </w:r>
          </w:p>
        </w:tc>
      </w:tr>
      <w:tr w:rsidR="008325F2" w:rsidRPr="008325F2" w:rsidTr="00960A68">
        <w:tc>
          <w:tcPr>
            <w:tcW w:w="761" w:type="pct"/>
            <w:shd w:val="clear" w:color="auto" w:fill="auto"/>
            <w:vAlign w:val="center"/>
            <w:hideMark/>
          </w:tcPr>
          <w:p w:rsidR="008325F2" w:rsidRPr="008325F2" w:rsidRDefault="008325F2" w:rsidP="003F10CF">
            <w:pPr>
              <w:spacing w:after="0"/>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Attic Insulation</w:t>
            </w:r>
          </w:p>
        </w:tc>
        <w:tc>
          <w:tcPr>
            <w:tcW w:w="705" w:type="pct"/>
            <w:shd w:val="clear" w:color="auto" w:fill="auto"/>
            <w:vAlign w:val="center"/>
            <w:hideMark/>
          </w:tcPr>
          <w:p w:rsidR="008325F2" w:rsidRPr="008325F2" w:rsidRDefault="008325F2" w:rsidP="003F10CF">
            <w:pPr>
              <w:spacing w:after="0"/>
              <w:jc w:val="right"/>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179</w:t>
            </w:r>
          </w:p>
        </w:tc>
        <w:tc>
          <w:tcPr>
            <w:tcW w:w="1178" w:type="pct"/>
            <w:shd w:val="clear" w:color="auto" w:fill="auto"/>
            <w:vAlign w:val="center"/>
            <w:hideMark/>
          </w:tcPr>
          <w:p w:rsidR="008325F2" w:rsidRPr="008325F2" w:rsidRDefault="008325F2" w:rsidP="003F10CF">
            <w:pPr>
              <w:spacing w:after="0"/>
              <w:jc w:val="right"/>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964</w:t>
            </w:r>
          </w:p>
        </w:tc>
        <w:tc>
          <w:tcPr>
            <w:tcW w:w="786" w:type="pct"/>
            <w:shd w:val="clear" w:color="auto" w:fill="auto"/>
            <w:vAlign w:val="center"/>
            <w:hideMark/>
          </w:tcPr>
          <w:p w:rsidR="008325F2" w:rsidRPr="008325F2" w:rsidRDefault="008325F2" w:rsidP="003F10CF">
            <w:pPr>
              <w:spacing w:after="0"/>
              <w:jc w:val="right"/>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14.0%</w:t>
            </w:r>
          </w:p>
        </w:tc>
        <w:tc>
          <w:tcPr>
            <w:tcW w:w="786" w:type="pct"/>
            <w:shd w:val="clear" w:color="auto" w:fill="auto"/>
            <w:vAlign w:val="center"/>
            <w:hideMark/>
          </w:tcPr>
          <w:p w:rsidR="008325F2" w:rsidRPr="008325F2" w:rsidRDefault="008325F2" w:rsidP="003F10CF">
            <w:pPr>
              <w:spacing w:after="0"/>
              <w:jc w:val="right"/>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135</w:t>
            </w:r>
          </w:p>
        </w:tc>
        <w:tc>
          <w:tcPr>
            <w:tcW w:w="784" w:type="pct"/>
            <w:shd w:val="clear" w:color="auto" w:fill="auto"/>
            <w:vAlign w:val="center"/>
            <w:hideMark/>
          </w:tcPr>
          <w:p w:rsidR="008325F2" w:rsidRPr="008325F2" w:rsidRDefault="008325F2" w:rsidP="003F10CF">
            <w:pPr>
              <w:spacing w:after="0"/>
              <w:jc w:val="right"/>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76%</w:t>
            </w:r>
          </w:p>
        </w:tc>
      </w:tr>
      <w:tr w:rsidR="008325F2" w:rsidRPr="008325F2" w:rsidTr="00960A68">
        <w:tc>
          <w:tcPr>
            <w:tcW w:w="761" w:type="pct"/>
            <w:shd w:val="clear" w:color="auto" w:fill="auto"/>
            <w:vAlign w:val="center"/>
            <w:hideMark/>
          </w:tcPr>
          <w:p w:rsidR="008325F2" w:rsidRPr="008325F2" w:rsidRDefault="008325F2" w:rsidP="003F10CF">
            <w:pPr>
              <w:spacing w:after="0"/>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Wall Insulation</w:t>
            </w:r>
          </w:p>
        </w:tc>
        <w:tc>
          <w:tcPr>
            <w:tcW w:w="705" w:type="pct"/>
            <w:shd w:val="clear" w:color="auto" w:fill="auto"/>
            <w:vAlign w:val="center"/>
            <w:hideMark/>
          </w:tcPr>
          <w:p w:rsidR="008325F2" w:rsidRPr="008325F2" w:rsidRDefault="008325F2" w:rsidP="003F10CF">
            <w:pPr>
              <w:spacing w:after="0"/>
              <w:jc w:val="right"/>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449</w:t>
            </w:r>
          </w:p>
        </w:tc>
        <w:tc>
          <w:tcPr>
            <w:tcW w:w="1178" w:type="pct"/>
            <w:shd w:val="clear" w:color="auto" w:fill="auto"/>
            <w:vAlign w:val="center"/>
            <w:hideMark/>
          </w:tcPr>
          <w:p w:rsidR="008325F2" w:rsidRPr="008325F2" w:rsidRDefault="008325F2" w:rsidP="003F10CF">
            <w:pPr>
              <w:spacing w:after="0"/>
              <w:jc w:val="right"/>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801</w:t>
            </w:r>
          </w:p>
        </w:tc>
        <w:tc>
          <w:tcPr>
            <w:tcW w:w="786" w:type="pct"/>
            <w:shd w:val="clear" w:color="auto" w:fill="auto"/>
            <w:vAlign w:val="center"/>
            <w:hideMark/>
          </w:tcPr>
          <w:p w:rsidR="008325F2" w:rsidRPr="008325F2" w:rsidRDefault="008325F2" w:rsidP="003F10CF">
            <w:pPr>
              <w:spacing w:after="0"/>
              <w:jc w:val="right"/>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27.9%</w:t>
            </w:r>
          </w:p>
        </w:tc>
        <w:tc>
          <w:tcPr>
            <w:tcW w:w="786" w:type="pct"/>
            <w:shd w:val="clear" w:color="auto" w:fill="auto"/>
            <w:vAlign w:val="center"/>
            <w:hideMark/>
          </w:tcPr>
          <w:p w:rsidR="008325F2" w:rsidRPr="008325F2" w:rsidRDefault="008325F2" w:rsidP="003F10CF">
            <w:pPr>
              <w:spacing w:after="0"/>
              <w:jc w:val="right"/>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224</w:t>
            </w:r>
          </w:p>
        </w:tc>
        <w:tc>
          <w:tcPr>
            <w:tcW w:w="784" w:type="pct"/>
            <w:shd w:val="clear" w:color="auto" w:fill="auto"/>
            <w:vAlign w:val="center"/>
            <w:hideMark/>
          </w:tcPr>
          <w:p w:rsidR="008325F2" w:rsidRPr="008325F2" w:rsidRDefault="008325F2" w:rsidP="003F10CF">
            <w:pPr>
              <w:spacing w:after="0"/>
              <w:jc w:val="right"/>
              <w:rPr>
                <w:rFonts w:ascii="Calibri" w:eastAsia="Times New Roman" w:hAnsi="Calibri" w:cs="Times New Roman"/>
                <w:color w:val="000000"/>
                <w:sz w:val="20"/>
                <w:szCs w:val="20"/>
              </w:rPr>
            </w:pPr>
            <w:r w:rsidRPr="008325F2">
              <w:rPr>
                <w:rFonts w:ascii="Calibri" w:eastAsia="Times New Roman" w:hAnsi="Calibri" w:cs="Times New Roman"/>
                <w:color w:val="000000"/>
                <w:sz w:val="20"/>
                <w:szCs w:val="20"/>
              </w:rPr>
              <w:t>50%</w:t>
            </w:r>
          </w:p>
        </w:tc>
      </w:tr>
    </w:tbl>
    <w:p w:rsidR="008325F2" w:rsidRPr="008325F2" w:rsidRDefault="008325F2" w:rsidP="00960A68">
      <w:pPr>
        <w:pStyle w:val="NormalAfterTablesandFigures"/>
      </w:pPr>
    </w:p>
    <w:p w:rsidR="00110A97" w:rsidRPr="0070346A" w:rsidRDefault="00110A97" w:rsidP="00110A97">
      <w:r>
        <w:t xml:space="preserve">Differences between </w:t>
      </w:r>
      <w:r w:rsidRPr="00110A97">
        <w:rPr>
          <w:i/>
        </w:rPr>
        <w:t>ex ante</w:t>
      </w:r>
      <w:r>
        <w:t xml:space="preserve"> and evaluated savings for shell and duct sealing measures estimated using building simulation models are presented above in the </w:t>
      </w:r>
      <w:r w:rsidR="005C2163">
        <w:fldChar w:fldCharType="begin"/>
      </w:r>
      <w:r>
        <w:instrText xml:space="preserve"> REF _Ref389124294 \h </w:instrText>
      </w:r>
      <w:r w:rsidR="005C2163">
        <w:fldChar w:fldCharType="separate"/>
      </w:r>
      <w:r w:rsidR="00CD20CF">
        <w:t>HES Electric Savings</w:t>
      </w:r>
      <w:r w:rsidR="005C2163">
        <w:fldChar w:fldCharType="end"/>
      </w:r>
      <w:r>
        <w:t xml:space="preserve"> section.</w:t>
      </w:r>
    </w:p>
    <w:p w:rsidR="003009EA" w:rsidRDefault="003009EA" w:rsidP="003009EA">
      <w:pPr>
        <w:pStyle w:val="Heading5"/>
      </w:pPr>
      <w:r>
        <w:lastRenderedPageBreak/>
        <w:t>Engineering Algorithm Results</w:t>
      </w:r>
    </w:p>
    <w:p w:rsidR="003009EA" w:rsidRDefault="003009EA" w:rsidP="003009EA">
      <w:r>
        <w:t>For window replacements, pre- and post-installation data were not available to incorporate into the modeling. Consequently, the Evaluation Team made assumptions regarding window efficiencies and square footage installed.</w:t>
      </w:r>
      <w:r>
        <w:rPr>
          <w:rStyle w:val="FootnoteReference"/>
        </w:rPr>
        <w:footnoteReference w:id="23"/>
      </w:r>
      <w:r>
        <w:t xml:space="preserve"> </w:t>
      </w:r>
      <w:r w:rsidR="005C2163">
        <w:fldChar w:fldCharType="begin"/>
      </w:r>
      <w:r w:rsidR="002F45ED">
        <w:instrText xml:space="preserve"> REF _Ref389219745 \h </w:instrText>
      </w:r>
      <w:r w:rsidR="005C2163">
        <w:fldChar w:fldCharType="separate"/>
      </w:r>
      <w:r w:rsidR="00CD20CF">
        <w:t xml:space="preserve">Table </w:t>
      </w:r>
      <w:r w:rsidR="00CD20CF">
        <w:rPr>
          <w:noProof/>
        </w:rPr>
        <w:t>39</w:t>
      </w:r>
      <w:r w:rsidR="005C2163">
        <w:fldChar w:fldCharType="end"/>
      </w:r>
      <w:r>
        <w:t xml:space="preserve"> lists</w:t>
      </w:r>
      <w:r w:rsidR="00DD172C">
        <w:t>:</w:t>
      </w:r>
      <w:r>
        <w:t xml:space="preserve"> participation</w:t>
      </w:r>
      <w:r w:rsidR="00DD172C">
        <w:t>;</w:t>
      </w:r>
      <w:r>
        <w:t xml:space="preserve"> average installed units</w:t>
      </w:r>
      <w:r w:rsidR="00DD172C">
        <w:t>;</w:t>
      </w:r>
      <w:r>
        <w:t xml:space="preserve"> average household savings</w:t>
      </w:r>
      <w:r w:rsidR="00DD172C">
        <w:t>;</w:t>
      </w:r>
      <w:r>
        <w:t xml:space="preserve"> and realization rates of window measure installations.</w:t>
      </w:r>
    </w:p>
    <w:p w:rsidR="003009EA" w:rsidRDefault="003009EA" w:rsidP="003009EA">
      <w:pPr>
        <w:pStyle w:val="Caption"/>
      </w:pPr>
      <w:bookmarkStart w:id="83" w:name="_Ref389219745"/>
      <w:r>
        <w:t xml:space="preserve">Table </w:t>
      </w:r>
      <w:r w:rsidR="002506E1">
        <w:fldChar w:fldCharType="begin"/>
      </w:r>
      <w:r w:rsidR="002506E1">
        <w:instrText xml:space="preserve"> SEQ Table \* ARABIC </w:instrText>
      </w:r>
      <w:r w:rsidR="002506E1">
        <w:fldChar w:fldCharType="separate"/>
      </w:r>
      <w:r w:rsidR="00CD20CF">
        <w:rPr>
          <w:noProof/>
        </w:rPr>
        <w:t>39</w:t>
      </w:r>
      <w:r w:rsidR="002506E1">
        <w:rPr>
          <w:noProof/>
        </w:rPr>
        <w:fldChar w:fldCharType="end"/>
      </w:r>
      <w:bookmarkEnd w:id="83"/>
      <w:r>
        <w:t>. HES Gas—Evaluated Window Savings</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87"/>
        <w:gridCol w:w="1398"/>
        <w:gridCol w:w="1034"/>
        <w:gridCol w:w="1440"/>
        <w:gridCol w:w="1530"/>
        <w:gridCol w:w="1710"/>
        <w:gridCol w:w="1277"/>
      </w:tblGrid>
      <w:tr w:rsidR="003009EA" w:rsidRPr="00C408F7" w:rsidTr="00432FF0">
        <w:tc>
          <w:tcPr>
            <w:tcW w:w="619" w:type="pct"/>
            <w:shd w:val="clear" w:color="000000" w:fill="005DAA"/>
            <w:vAlign w:val="center"/>
            <w:hideMark/>
          </w:tcPr>
          <w:p w:rsidR="003009EA" w:rsidRPr="00C408F7" w:rsidRDefault="003009EA" w:rsidP="00432FF0">
            <w:pPr>
              <w:spacing w:after="0"/>
              <w:jc w:val="center"/>
              <w:rPr>
                <w:rFonts w:ascii="Calibri" w:eastAsia="Times New Roman" w:hAnsi="Calibri" w:cs="Times New Roman"/>
                <w:b/>
                <w:bCs/>
                <w:color w:val="FFFFFF"/>
              </w:rPr>
            </w:pPr>
            <w:r w:rsidRPr="00C408F7">
              <w:rPr>
                <w:rFonts w:ascii="Calibri" w:eastAsia="Times New Roman" w:hAnsi="Calibri" w:cs="Times New Roman"/>
                <w:b/>
                <w:bCs/>
                <w:color w:val="FFFFFF"/>
              </w:rPr>
              <w:t>Measure</w:t>
            </w:r>
          </w:p>
        </w:tc>
        <w:tc>
          <w:tcPr>
            <w:tcW w:w="730" w:type="pct"/>
            <w:shd w:val="clear" w:color="000000" w:fill="005DAA"/>
            <w:vAlign w:val="center"/>
            <w:hideMark/>
          </w:tcPr>
          <w:p w:rsidR="003009EA" w:rsidRPr="00C408F7" w:rsidRDefault="003009EA" w:rsidP="00432FF0">
            <w:pPr>
              <w:spacing w:after="0"/>
              <w:jc w:val="center"/>
              <w:rPr>
                <w:rFonts w:ascii="Calibri" w:eastAsia="Times New Roman" w:hAnsi="Calibri" w:cs="Times New Roman"/>
                <w:b/>
                <w:bCs/>
                <w:color w:val="FFFFFF"/>
              </w:rPr>
            </w:pPr>
            <w:r w:rsidRPr="00C408F7">
              <w:rPr>
                <w:rFonts w:ascii="Calibri" w:eastAsia="Times New Roman" w:hAnsi="Calibri" w:cs="Times New Roman"/>
                <w:b/>
                <w:bCs/>
                <w:color w:val="FFFFFF"/>
              </w:rPr>
              <w:t>Total Participants</w:t>
            </w:r>
          </w:p>
        </w:tc>
        <w:tc>
          <w:tcPr>
            <w:tcW w:w="540" w:type="pct"/>
            <w:shd w:val="clear" w:color="000000" w:fill="005DAA"/>
            <w:vAlign w:val="center"/>
            <w:hideMark/>
          </w:tcPr>
          <w:p w:rsidR="003009EA" w:rsidRPr="00C408F7" w:rsidRDefault="003009EA" w:rsidP="00432FF0">
            <w:pPr>
              <w:spacing w:after="0"/>
              <w:jc w:val="center"/>
              <w:rPr>
                <w:rFonts w:ascii="Calibri" w:eastAsia="Times New Roman" w:hAnsi="Calibri" w:cs="Times New Roman"/>
                <w:b/>
                <w:bCs/>
                <w:color w:val="FFFFFF"/>
              </w:rPr>
            </w:pPr>
            <w:r w:rsidRPr="00C408F7">
              <w:rPr>
                <w:rFonts w:ascii="Calibri" w:eastAsia="Times New Roman" w:hAnsi="Calibri" w:cs="Times New Roman"/>
                <w:b/>
                <w:bCs/>
                <w:color w:val="FFFFFF"/>
              </w:rPr>
              <w:t>Average Installed Units</w:t>
            </w:r>
          </w:p>
        </w:tc>
        <w:tc>
          <w:tcPr>
            <w:tcW w:w="752" w:type="pct"/>
            <w:shd w:val="clear" w:color="000000" w:fill="005DAA"/>
            <w:vAlign w:val="center"/>
            <w:hideMark/>
          </w:tcPr>
          <w:p w:rsidR="003009EA" w:rsidRPr="00C408F7" w:rsidRDefault="003009EA" w:rsidP="00432FF0">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Evaluated Gross</w:t>
            </w:r>
            <w:r w:rsidRPr="00C408F7">
              <w:rPr>
                <w:rFonts w:ascii="Calibri" w:eastAsia="Times New Roman" w:hAnsi="Calibri" w:cs="Times New Roman"/>
                <w:b/>
                <w:bCs/>
                <w:color w:val="FFFFFF"/>
              </w:rPr>
              <w:t xml:space="preserve"> Unit Savings (</w:t>
            </w:r>
            <w:r>
              <w:rPr>
                <w:rFonts w:ascii="Calibri" w:eastAsia="Times New Roman" w:hAnsi="Calibri" w:cs="Times New Roman"/>
                <w:b/>
                <w:bCs/>
                <w:color w:val="FFFFFF"/>
              </w:rPr>
              <w:t>CCF</w:t>
            </w:r>
            <w:r w:rsidRPr="00C408F7">
              <w:rPr>
                <w:rFonts w:ascii="Calibri" w:eastAsia="Times New Roman" w:hAnsi="Calibri" w:cs="Times New Roman"/>
                <w:b/>
                <w:bCs/>
                <w:color w:val="FFFFFF"/>
              </w:rPr>
              <w:t>)</w:t>
            </w:r>
          </w:p>
        </w:tc>
        <w:tc>
          <w:tcPr>
            <w:tcW w:w="799" w:type="pct"/>
            <w:shd w:val="clear" w:color="000000" w:fill="005DAA"/>
            <w:vAlign w:val="center"/>
            <w:hideMark/>
          </w:tcPr>
          <w:p w:rsidR="003009EA" w:rsidRPr="00C408F7" w:rsidRDefault="003009EA" w:rsidP="00432FF0">
            <w:pPr>
              <w:spacing w:after="0"/>
              <w:jc w:val="center"/>
              <w:rPr>
                <w:rFonts w:ascii="Calibri" w:eastAsia="Times New Roman" w:hAnsi="Calibri" w:cs="Times New Roman"/>
                <w:b/>
                <w:bCs/>
                <w:color w:val="FFFFFF"/>
              </w:rPr>
            </w:pPr>
            <w:r w:rsidRPr="00DD172C">
              <w:rPr>
                <w:rFonts w:ascii="Calibri" w:eastAsia="Times New Roman" w:hAnsi="Calibri" w:cs="Times New Roman"/>
                <w:b/>
                <w:bCs/>
                <w:i/>
                <w:color w:val="FFFFFF"/>
              </w:rPr>
              <w:t>Ex-Ante</w:t>
            </w:r>
            <w:r w:rsidRPr="00C408F7">
              <w:rPr>
                <w:rFonts w:ascii="Calibri" w:eastAsia="Times New Roman" w:hAnsi="Calibri" w:cs="Times New Roman"/>
                <w:b/>
                <w:bCs/>
                <w:color w:val="FFFFFF"/>
              </w:rPr>
              <w:t xml:space="preserve"> Household Savings (</w:t>
            </w:r>
            <w:r>
              <w:rPr>
                <w:rFonts w:ascii="Calibri" w:eastAsia="Times New Roman" w:hAnsi="Calibri" w:cs="Times New Roman"/>
                <w:b/>
                <w:bCs/>
                <w:color w:val="FFFFFF"/>
              </w:rPr>
              <w:t>CCF</w:t>
            </w:r>
            <w:r w:rsidRPr="00C408F7">
              <w:rPr>
                <w:rFonts w:ascii="Calibri" w:eastAsia="Times New Roman" w:hAnsi="Calibri" w:cs="Times New Roman"/>
                <w:b/>
                <w:bCs/>
                <w:color w:val="FFFFFF"/>
              </w:rPr>
              <w:t>)</w:t>
            </w:r>
          </w:p>
        </w:tc>
        <w:tc>
          <w:tcPr>
            <w:tcW w:w="893" w:type="pct"/>
            <w:shd w:val="clear" w:color="000000" w:fill="005DAA"/>
            <w:vAlign w:val="center"/>
            <w:hideMark/>
          </w:tcPr>
          <w:p w:rsidR="003009EA" w:rsidRPr="00C408F7" w:rsidRDefault="003009EA" w:rsidP="00432FF0">
            <w:pPr>
              <w:spacing w:after="0"/>
              <w:jc w:val="center"/>
              <w:rPr>
                <w:rFonts w:ascii="Calibri" w:eastAsia="Times New Roman" w:hAnsi="Calibri" w:cs="Times New Roman"/>
                <w:b/>
                <w:bCs/>
                <w:color w:val="FFFFFF"/>
              </w:rPr>
            </w:pPr>
            <w:r w:rsidRPr="00C408F7">
              <w:rPr>
                <w:rFonts w:ascii="Calibri" w:eastAsia="Times New Roman" w:hAnsi="Calibri" w:cs="Times New Roman"/>
                <w:b/>
                <w:bCs/>
                <w:color w:val="FFFFFF"/>
              </w:rPr>
              <w:t>Evaluated Gross Household Savings (</w:t>
            </w:r>
            <w:r>
              <w:rPr>
                <w:rFonts w:ascii="Calibri" w:eastAsia="Times New Roman" w:hAnsi="Calibri" w:cs="Times New Roman"/>
                <w:b/>
                <w:bCs/>
                <w:color w:val="FFFFFF"/>
              </w:rPr>
              <w:t>CCF</w:t>
            </w:r>
            <w:r w:rsidRPr="00C408F7">
              <w:rPr>
                <w:rFonts w:ascii="Calibri" w:eastAsia="Times New Roman" w:hAnsi="Calibri" w:cs="Times New Roman"/>
                <w:b/>
                <w:bCs/>
                <w:color w:val="FFFFFF"/>
              </w:rPr>
              <w:t>)</w:t>
            </w:r>
          </w:p>
        </w:tc>
        <w:tc>
          <w:tcPr>
            <w:tcW w:w="667" w:type="pct"/>
            <w:shd w:val="clear" w:color="000000" w:fill="005DAA"/>
            <w:vAlign w:val="center"/>
            <w:hideMark/>
          </w:tcPr>
          <w:p w:rsidR="003009EA" w:rsidRPr="00C408F7" w:rsidRDefault="003009EA" w:rsidP="00432FF0">
            <w:pPr>
              <w:spacing w:after="0"/>
              <w:jc w:val="center"/>
              <w:rPr>
                <w:rFonts w:ascii="Calibri" w:eastAsia="Times New Roman" w:hAnsi="Calibri" w:cs="Times New Roman"/>
                <w:b/>
                <w:bCs/>
                <w:color w:val="FFFFFF"/>
              </w:rPr>
            </w:pPr>
            <w:r w:rsidRPr="00C408F7">
              <w:rPr>
                <w:rFonts w:ascii="Calibri" w:eastAsia="Times New Roman" w:hAnsi="Calibri" w:cs="Times New Roman"/>
                <w:b/>
                <w:bCs/>
                <w:color w:val="FFFFFF"/>
              </w:rPr>
              <w:t>Realization Rate</w:t>
            </w:r>
          </w:p>
        </w:tc>
      </w:tr>
      <w:tr w:rsidR="003009EA" w:rsidRPr="00C408F7" w:rsidTr="00432FF0">
        <w:tc>
          <w:tcPr>
            <w:tcW w:w="619" w:type="pct"/>
            <w:shd w:val="clear" w:color="auto" w:fill="auto"/>
            <w:vAlign w:val="center"/>
            <w:hideMark/>
          </w:tcPr>
          <w:p w:rsidR="003009EA" w:rsidRPr="00C408F7" w:rsidRDefault="003009EA" w:rsidP="00432FF0">
            <w:pPr>
              <w:spacing w:after="0"/>
              <w:rPr>
                <w:rFonts w:ascii="Calibri" w:eastAsia="Times New Roman" w:hAnsi="Calibri" w:cs="Times New Roman"/>
                <w:color w:val="000000"/>
                <w:sz w:val="20"/>
                <w:szCs w:val="20"/>
              </w:rPr>
            </w:pPr>
            <w:r w:rsidRPr="00C408F7">
              <w:rPr>
                <w:rFonts w:ascii="Calibri" w:eastAsia="Times New Roman" w:hAnsi="Calibri" w:cs="Times New Roman"/>
                <w:color w:val="000000"/>
                <w:sz w:val="20"/>
                <w:szCs w:val="20"/>
              </w:rPr>
              <w:t>Windows</w:t>
            </w:r>
          </w:p>
        </w:tc>
        <w:tc>
          <w:tcPr>
            <w:tcW w:w="730" w:type="pct"/>
            <w:shd w:val="clear" w:color="auto" w:fill="auto"/>
            <w:vAlign w:val="center"/>
            <w:hideMark/>
          </w:tcPr>
          <w:p w:rsidR="003009EA" w:rsidRPr="00C408F7" w:rsidRDefault="003009EA" w:rsidP="00432FF0">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42</w:t>
            </w:r>
          </w:p>
        </w:tc>
        <w:tc>
          <w:tcPr>
            <w:tcW w:w="540" w:type="pct"/>
            <w:shd w:val="clear" w:color="auto" w:fill="auto"/>
            <w:vAlign w:val="center"/>
            <w:hideMark/>
          </w:tcPr>
          <w:p w:rsidR="003009EA" w:rsidRPr="00C408F7" w:rsidRDefault="003009EA" w:rsidP="00432FF0">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15</w:t>
            </w:r>
          </w:p>
        </w:tc>
        <w:tc>
          <w:tcPr>
            <w:tcW w:w="752" w:type="pct"/>
            <w:shd w:val="clear" w:color="auto" w:fill="auto"/>
            <w:vAlign w:val="center"/>
            <w:hideMark/>
          </w:tcPr>
          <w:p w:rsidR="003009EA" w:rsidRPr="00C408F7" w:rsidRDefault="003009EA" w:rsidP="00432FF0">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w:t>
            </w:r>
          </w:p>
        </w:tc>
        <w:tc>
          <w:tcPr>
            <w:tcW w:w="799" w:type="pct"/>
            <w:shd w:val="clear" w:color="auto" w:fill="auto"/>
            <w:vAlign w:val="center"/>
            <w:hideMark/>
          </w:tcPr>
          <w:p w:rsidR="003009EA" w:rsidRPr="00C408F7" w:rsidRDefault="003009EA" w:rsidP="00432FF0">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136</w:t>
            </w:r>
          </w:p>
        </w:tc>
        <w:tc>
          <w:tcPr>
            <w:tcW w:w="893" w:type="pct"/>
            <w:shd w:val="clear" w:color="auto" w:fill="auto"/>
            <w:vAlign w:val="center"/>
            <w:hideMark/>
          </w:tcPr>
          <w:p w:rsidR="003009EA" w:rsidRPr="00C408F7" w:rsidRDefault="003009EA" w:rsidP="00432FF0">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147</w:t>
            </w:r>
          </w:p>
        </w:tc>
        <w:tc>
          <w:tcPr>
            <w:tcW w:w="667" w:type="pct"/>
            <w:shd w:val="clear" w:color="auto" w:fill="auto"/>
            <w:vAlign w:val="center"/>
            <w:hideMark/>
          </w:tcPr>
          <w:p w:rsidR="003009EA" w:rsidRPr="00C408F7" w:rsidRDefault="003009EA" w:rsidP="00432FF0">
            <w:pPr>
              <w:spacing w:after="0"/>
              <w:jc w:val="right"/>
              <w:rPr>
                <w:rFonts w:ascii="Calibri" w:eastAsia="Times New Roman" w:hAnsi="Calibri" w:cs="Times New Roman"/>
                <w:color w:val="000000"/>
                <w:sz w:val="20"/>
                <w:szCs w:val="20"/>
              </w:rPr>
            </w:pPr>
            <w:r w:rsidRPr="00C408F7">
              <w:rPr>
                <w:rFonts w:ascii="Calibri" w:eastAsia="Times New Roman" w:hAnsi="Calibri" w:cs="Times New Roman"/>
                <w:color w:val="000000"/>
                <w:sz w:val="20"/>
                <w:szCs w:val="20"/>
              </w:rPr>
              <w:t>10</w:t>
            </w:r>
            <w:r>
              <w:rPr>
                <w:rFonts w:ascii="Calibri" w:eastAsia="Times New Roman" w:hAnsi="Calibri" w:cs="Times New Roman"/>
                <w:color w:val="000000"/>
                <w:sz w:val="20"/>
                <w:szCs w:val="20"/>
              </w:rPr>
              <w:t>8</w:t>
            </w:r>
            <w:r w:rsidRPr="00C408F7">
              <w:rPr>
                <w:rFonts w:ascii="Calibri" w:eastAsia="Times New Roman" w:hAnsi="Calibri" w:cs="Times New Roman"/>
                <w:color w:val="000000"/>
                <w:sz w:val="20"/>
                <w:szCs w:val="20"/>
              </w:rPr>
              <w:t>%</w:t>
            </w:r>
          </w:p>
        </w:tc>
      </w:tr>
    </w:tbl>
    <w:p w:rsidR="003009EA" w:rsidRDefault="003009EA" w:rsidP="00432FF0">
      <w:pPr>
        <w:pStyle w:val="NormalAfterTablesandFigures"/>
      </w:pPr>
    </w:p>
    <w:p w:rsidR="00D3164D" w:rsidRDefault="00D3164D" w:rsidP="00AB1C3B">
      <w:pPr>
        <w:pStyle w:val="Heading4"/>
      </w:pPr>
      <w:bookmarkStart w:id="84" w:name="_Ref389128477"/>
      <w:r>
        <w:t>Domestic Hot Water</w:t>
      </w:r>
      <w:bookmarkEnd w:id="84"/>
    </w:p>
    <w:p w:rsidR="009158EF" w:rsidRDefault="009158EF" w:rsidP="00AB1C3B">
      <w:r>
        <w:t xml:space="preserve">The Evaluation Team used engineering algorithms to estimate HES gas savings for each DHW measure: showerheads, faucet aerators, and pipe insulation. Savings calculations were based on a combination of utility tracking data, the 2013 PSD, and other researched assumptions. For each measure, the Evaluation Team performed in-depth benchmarking against a range of other sources (including evaluation studies and TRMs). </w:t>
      </w:r>
      <w:r w:rsidR="002506E1">
        <w:fldChar w:fldCharType="begin"/>
      </w:r>
      <w:r w:rsidR="002506E1">
        <w:instrText xml:space="preserve"> REF _Ref388169250 \h  \* MERGEFORMAT </w:instrText>
      </w:r>
      <w:r w:rsidR="002506E1">
        <w:fldChar w:fldCharType="separate"/>
      </w:r>
      <w:r w:rsidR="00CD20CF">
        <w:t>Appendix B. Engineering Algorithms</w:t>
      </w:r>
      <w:r w:rsidR="002506E1">
        <w:fldChar w:fldCharType="end"/>
      </w:r>
      <w:r w:rsidR="00AF73B1">
        <w:t xml:space="preserve"> presents these detailed findings</w:t>
      </w:r>
      <w:r>
        <w:t>.</w:t>
      </w:r>
    </w:p>
    <w:p w:rsidR="009158EF" w:rsidRDefault="002506E1" w:rsidP="00AB1C3B">
      <w:r>
        <w:fldChar w:fldCharType="begin"/>
      </w:r>
      <w:r>
        <w:instrText xml:space="preserve"> REF _Ref388197541 \h  \* MERGEFORMAT </w:instrText>
      </w:r>
      <w:r>
        <w:fldChar w:fldCharType="separate"/>
      </w:r>
      <w:r w:rsidR="00CD20CF">
        <w:t xml:space="preserve">Table </w:t>
      </w:r>
      <w:r w:rsidR="00CD20CF">
        <w:rPr>
          <w:noProof/>
        </w:rPr>
        <w:t>40</w:t>
      </w:r>
      <w:r>
        <w:fldChar w:fldCharType="end"/>
      </w:r>
      <w:r w:rsidR="00DB4E64">
        <w:t xml:space="preserve"> </w:t>
      </w:r>
      <w:r w:rsidR="009158EF">
        <w:t xml:space="preserve">lists the participation, average installed units, average household savings, and realization rates of DHW measure installations. </w:t>
      </w:r>
    </w:p>
    <w:p w:rsidR="00916122" w:rsidRDefault="009158EF" w:rsidP="009B0767">
      <w:pPr>
        <w:pStyle w:val="Caption"/>
      </w:pPr>
      <w:bookmarkStart w:id="85" w:name="_Ref388197541"/>
      <w:r>
        <w:t xml:space="preserve">Table </w:t>
      </w:r>
      <w:r w:rsidR="002506E1">
        <w:fldChar w:fldCharType="begin"/>
      </w:r>
      <w:r w:rsidR="002506E1">
        <w:instrText xml:space="preserve"> SEQ Table \* ARABIC </w:instrText>
      </w:r>
      <w:r w:rsidR="002506E1">
        <w:fldChar w:fldCharType="separate"/>
      </w:r>
      <w:r w:rsidR="00CD20CF">
        <w:rPr>
          <w:noProof/>
        </w:rPr>
        <w:t>40</w:t>
      </w:r>
      <w:r w:rsidR="002506E1">
        <w:rPr>
          <w:noProof/>
        </w:rPr>
        <w:fldChar w:fldCharType="end"/>
      </w:r>
      <w:bookmarkEnd w:id="85"/>
      <w:r>
        <w:t xml:space="preserve">. </w:t>
      </w:r>
      <w:r w:rsidR="00916122">
        <w:t xml:space="preserve">HES Gas </w:t>
      </w:r>
      <w:r w:rsidR="007405FC">
        <w:t>DHW</w:t>
      </w:r>
      <w:r w:rsidR="00916122">
        <w:t xml:space="preserve"> Measure Distribution and Evaluated Savings</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48"/>
        <w:gridCol w:w="1351"/>
        <w:gridCol w:w="1170"/>
        <w:gridCol w:w="1350"/>
        <w:gridCol w:w="1440"/>
        <w:gridCol w:w="1434"/>
        <w:gridCol w:w="1283"/>
      </w:tblGrid>
      <w:tr w:rsidR="001C3F4D" w:rsidRPr="00DB4E64" w:rsidTr="00AF73B1">
        <w:tc>
          <w:tcPr>
            <w:tcW w:w="808" w:type="pct"/>
            <w:shd w:val="clear" w:color="000000" w:fill="005DAA"/>
            <w:vAlign w:val="center"/>
            <w:hideMark/>
          </w:tcPr>
          <w:p w:rsidR="00DB4E64" w:rsidRPr="00DB4E64" w:rsidRDefault="00DB4E64" w:rsidP="009B0767">
            <w:pPr>
              <w:spacing w:after="0"/>
              <w:jc w:val="center"/>
              <w:rPr>
                <w:rFonts w:ascii="Calibri" w:eastAsia="Times New Roman" w:hAnsi="Calibri" w:cs="Times New Roman"/>
                <w:b/>
                <w:bCs/>
                <w:color w:val="FFFFFF"/>
              </w:rPr>
            </w:pPr>
            <w:r w:rsidRPr="00DB4E64">
              <w:rPr>
                <w:rFonts w:ascii="Calibri" w:eastAsia="Times New Roman" w:hAnsi="Calibri" w:cs="Times New Roman"/>
                <w:b/>
                <w:bCs/>
                <w:color w:val="FFFFFF"/>
              </w:rPr>
              <w:t>Measure</w:t>
            </w:r>
          </w:p>
        </w:tc>
        <w:tc>
          <w:tcPr>
            <w:tcW w:w="705" w:type="pct"/>
            <w:shd w:val="clear" w:color="000000" w:fill="005DAA"/>
            <w:vAlign w:val="center"/>
            <w:hideMark/>
          </w:tcPr>
          <w:p w:rsidR="00DB4E64" w:rsidRPr="00DB4E64" w:rsidRDefault="00DB4E64" w:rsidP="009B0767">
            <w:pPr>
              <w:spacing w:after="0"/>
              <w:jc w:val="center"/>
              <w:rPr>
                <w:rFonts w:ascii="Calibri" w:eastAsia="Times New Roman" w:hAnsi="Calibri" w:cs="Times New Roman"/>
                <w:b/>
                <w:bCs/>
                <w:color w:val="FFFFFF"/>
              </w:rPr>
            </w:pPr>
            <w:r w:rsidRPr="00DB4E64">
              <w:rPr>
                <w:rFonts w:ascii="Calibri" w:eastAsia="Times New Roman" w:hAnsi="Calibri" w:cs="Times New Roman"/>
                <w:b/>
                <w:bCs/>
                <w:color w:val="FFFFFF"/>
              </w:rPr>
              <w:t>Total Participants</w:t>
            </w:r>
          </w:p>
        </w:tc>
        <w:tc>
          <w:tcPr>
            <w:tcW w:w="611" w:type="pct"/>
            <w:shd w:val="clear" w:color="000000" w:fill="005DAA"/>
            <w:vAlign w:val="center"/>
            <w:hideMark/>
          </w:tcPr>
          <w:p w:rsidR="00DB4E64" w:rsidRPr="00DB4E64" w:rsidRDefault="00DB4E64" w:rsidP="009B0767">
            <w:pPr>
              <w:spacing w:after="0"/>
              <w:jc w:val="center"/>
              <w:rPr>
                <w:rFonts w:ascii="Calibri" w:eastAsia="Times New Roman" w:hAnsi="Calibri" w:cs="Times New Roman"/>
                <w:b/>
                <w:bCs/>
                <w:color w:val="FFFFFF"/>
              </w:rPr>
            </w:pPr>
            <w:r w:rsidRPr="00DB4E64">
              <w:rPr>
                <w:rFonts w:ascii="Calibri" w:eastAsia="Times New Roman" w:hAnsi="Calibri" w:cs="Times New Roman"/>
                <w:b/>
                <w:bCs/>
                <w:color w:val="FFFFFF"/>
              </w:rPr>
              <w:t>Average Installed Units</w:t>
            </w:r>
          </w:p>
        </w:tc>
        <w:tc>
          <w:tcPr>
            <w:tcW w:w="705" w:type="pct"/>
            <w:shd w:val="clear" w:color="000000" w:fill="005DAA"/>
            <w:vAlign w:val="center"/>
            <w:hideMark/>
          </w:tcPr>
          <w:p w:rsidR="00DB4E64" w:rsidRPr="00DB4E64" w:rsidRDefault="001C3F4D" w:rsidP="009B0767">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Evaluated Gross U</w:t>
            </w:r>
            <w:r w:rsidR="00DB4E64" w:rsidRPr="00DB4E64">
              <w:rPr>
                <w:rFonts w:ascii="Calibri" w:eastAsia="Times New Roman" w:hAnsi="Calibri" w:cs="Times New Roman"/>
                <w:b/>
                <w:bCs/>
                <w:color w:val="FFFFFF"/>
              </w:rPr>
              <w:t>nit Savings (</w:t>
            </w:r>
            <w:r w:rsidR="007C0D9C">
              <w:rPr>
                <w:rFonts w:ascii="Calibri" w:eastAsia="Times New Roman" w:hAnsi="Calibri" w:cs="Times New Roman"/>
                <w:b/>
                <w:bCs/>
                <w:color w:val="FFFFFF"/>
              </w:rPr>
              <w:t>CCF</w:t>
            </w:r>
            <w:r w:rsidR="00DB4E64" w:rsidRPr="00DB4E64">
              <w:rPr>
                <w:rFonts w:ascii="Calibri" w:eastAsia="Times New Roman" w:hAnsi="Calibri" w:cs="Times New Roman"/>
                <w:b/>
                <w:bCs/>
                <w:color w:val="FFFFFF"/>
              </w:rPr>
              <w:t>)</w:t>
            </w:r>
          </w:p>
        </w:tc>
        <w:tc>
          <w:tcPr>
            <w:tcW w:w="752" w:type="pct"/>
            <w:shd w:val="clear" w:color="000000" w:fill="005DAA"/>
            <w:vAlign w:val="center"/>
            <w:hideMark/>
          </w:tcPr>
          <w:p w:rsidR="00DB4E64" w:rsidRPr="00DB4E64" w:rsidRDefault="00EC4163" w:rsidP="009B0767">
            <w:pPr>
              <w:spacing w:after="0"/>
              <w:jc w:val="center"/>
              <w:rPr>
                <w:rFonts w:ascii="Calibri" w:eastAsia="Times New Roman" w:hAnsi="Calibri" w:cs="Times New Roman"/>
                <w:b/>
                <w:bCs/>
                <w:color w:val="FFFFFF"/>
              </w:rPr>
            </w:pPr>
            <w:r w:rsidRPr="00AF73B1">
              <w:rPr>
                <w:rFonts w:ascii="Calibri" w:eastAsia="Times New Roman" w:hAnsi="Calibri" w:cs="Times New Roman"/>
                <w:b/>
                <w:bCs/>
                <w:i/>
                <w:color w:val="FFFFFF"/>
              </w:rPr>
              <w:t>Ex Ante</w:t>
            </w:r>
            <w:r w:rsidR="00DB4E64" w:rsidRPr="00DB4E64">
              <w:rPr>
                <w:rFonts w:ascii="Calibri" w:eastAsia="Times New Roman" w:hAnsi="Calibri" w:cs="Times New Roman"/>
                <w:b/>
                <w:bCs/>
                <w:color w:val="FFFFFF"/>
              </w:rPr>
              <w:t xml:space="preserve"> Household Savings (</w:t>
            </w:r>
            <w:r w:rsidR="007C0D9C">
              <w:rPr>
                <w:rFonts w:ascii="Calibri" w:eastAsia="Times New Roman" w:hAnsi="Calibri" w:cs="Times New Roman"/>
                <w:b/>
                <w:bCs/>
                <w:color w:val="FFFFFF"/>
              </w:rPr>
              <w:t>CCF</w:t>
            </w:r>
            <w:r w:rsidR="00DB4E64" w:rsidRPr="00DB4E64">
              <w:rPr>
                <w:rFonts w:ascii="Calibri" w:eastAsia="Times New Roman" w:hAnsi="Calibri" w:cs="Times New Roman"/>
                <w:b/>
                <w:bCs/>
                <w:color w:val="FFFFFF"/>
              </w:rPr>
              <w:t>)</w:t>
            </w:r>
          </w:p>
        </w:tc>
        <w:tc>
          <w:tcPr>
            <w:tcW w:w="749" w:type="pct"/>
            <w:shd w:val="clear" w:color="000000" w:fill="005DAA"/>
            <w:vAlign w:val="center"/>
            <w:hideMark/>
          </w:tcPr>
          <w:p w:rsidR="00DB4E64" w:rsidRPr="00DB4E64" w:rsidRDefault="001C3F4D" w:rsidP="009B0767">
            <w:pPr>
              <w:spacing w:after="0"/>
              <w:jc w:val="center"/>
              <w:rPr>
                <w:rFonts w:ascii="Calibri" w:eastAsia="Times New Roman" w:hAnsi="Calibri" w:cs="Times New Roman"/>
                <w:b/>
                <w:bCs/>
                <w:color w:val="FFFFFF"/>
              </w:rPr>
            </w:pPr>
            <w:r w:rsidRPr="001C3F4D">
              <w:rPr>
                <w:rFonts w:ascii="Calibri" w:eastAsia="Times New Roman" w:hAnsi="Calibri" w:cs="Times New Roman"/>
                <w:b/>
                <w:bCs/>
                <w:color w:val="FFFFFF"/>
              </w:rPr>
              <w:t>Evaluated Gross</w:t>
            </w:r>
            <w:r w:rsidR="00DB4E64" w:rsidRPr="00DB4E64">
              <w:rPr>
                <w:rFonts w:ascii="Calibri" w:eastAsia="Times New Roman" w:hAnsi="Calibri" w:cs="Times New Roman"/>
                <w:b/>
                <w:bCs/>
                <w:color w:val="FFFFFF"/>
              </w:rPr>
              <w:t xml:space="preserve"> Household Savings (</w:t>
            </w:r>
            <w:r w:rsidR="007C0D9C">
              <w:rPr>
                <w:rFonts w:ascii="Calibri" w:eastAsia="Times New Roman" w:hAnsi="Calibri" w:cs="Times New Roman"/>
                <w:b/>
                <w:bCs/>
                <w:color w:val="FFFFFF"/>
              </w:rPr>
              <w:t>CCF</w:t>
            </w:r>
            <w:r w:rsidR="00DB4E64" w:rsidRPr="00DB4E64">
              <w:rPr>
                <w:rFonts w:ascii="Calibri" w:eastAsia="Times New Roman" w:hAnsi="Calibri" w:cs="Times New Roman"/>
                <w:b/>
                <w:bCs/>
                <w:color w:val="FFFFFF"/>
              </w:rPr>
              <w:t>)</w:t>
            </w:r>
          </w:p>
        </w:tc>
        <w:tc>
          <w:tcPr>
            <w:tcW w:w="670" w:type="pct"/>
            <w:shd w:val="clear" w:color="000000" w:fill="005DAA"/>
            <w:vAlign w:val="center"/>
            <w:hideMark/>
          </w:tcPr>
          <w:p w:rsidR="00DB4E64" w:rsidRPr="00DB4E64" w:rsidRDefault="00DB4E64" w:rsidP="009B0767">
            <w:pPr>
              <w:spacing w:after="0"/>
              <w:jc w:val="center"/>
              <w:rPr>
                <w:rFonts w:ascii="Calibri" w:eastAsia="Times New Roman" w:hAnsi="Calibri" w:cs="Times New Roman"/>
                <w:b/>
                <w:bCs/>
                <w:color w:val="FFFFFF"/>
              </w:rPr>
            </w:pPr>
            <w:r w:rsidRPr="00DB4E64">
              <w:rPr>
                <w:rFonts w:ascii="Calibri" w:eastAsia="Times New Roman" w:hAnsi="Calibri" w:cs="Times New Roman"/>
                <w:b/>
                <w:bCs/>
                <w:color w:val="FFFFFF"/>
              </w:rPr>
              <w:t>Realization Rate</w:t>
            </w:r>
          </w:p>
        </w:tc>
      </w:tr>
      <w:tr w:rsidR="001C3F4D" w:rsidRPr="00DB4E64" w:rsidTr="00AF73B1">
        <w:tc>
          <w:tcPr>
            <w:tcW w:w="808" w:type="pct"/>
            <w:shd w:val="clear" w:color="auto" w:fill="auto"/>
            <w:vAlign w:val="center"/>
            <w:hideMark/>
          </w:tcPr>
          <w:p w:rsidR="00DB4E64" w:rsidRPr="00DB4E64" w:rsidRDefault="00DB4E64" w:rsidP="009B0767">
            <w:pPr>
              <w:spacing w:after="0"/>
              <w:rPr>
                <w:rFonts w:ascii="Calibri" w:eastAsia="Times New Roman" w:hAnsi="Calibri" w:cs="Times New Roman"/>
                <w:color w:val="000000"/>
                <w:sz w:val="20"/>
                <w:szCs w:val="20"/>
              </w:rPr>
            </w:pPr>
            <w:r w:rsidRPr="00DB4E64">
              <w:rPr>
                <w:rFonts w:ascii="Calibri" w:eastAsia="Times New Roman" w:hAnsi="Calibri" w:cs="Times New Roman"/>
                <w:color w:val="000000"/>
                <w:sz w:val="20"/>
                <w:szCs w:val="20"/>
              </w:rPr>
              <w:t>Showerhead</w:t>
            </w:r>
          </w:p>
        </w:tc>
        <w:tc>
          <w:tcPr>
            <w:tcW w:w="705" w:type="pct"/>
            <w:shd w:val="clear" w:color="auto" w:fill="auto"/>
            <w:vAlign w:val="center"/>
            <w:hideMark/>
          </w:tcPr>
          <w:p w:rsidR="00DB4E64" w:rsidRPr="00DB4E64" w:rsidRDefault="00DB4E64" w:rsidP="009B0767">
            <w:pPr>
              <w:spacing w:after="0"/>
              <w:jc w:val="right"/>
              <w:rPr>
                <w:rFonts w:ascii="Calibri" w:eastAsia="Times New Roman" w:hAnsi="Calibri" w:cs="Times New Roman"/>
                <w:color w:val="000000"/>
                <w:sz w:val="20"/>
                <w:szCs w:val="20"/>
              </w:rPr>
            </w:pPr>
            <w:r w:rsidRPr="00DB4E64">
              <w:rPr>
                <w:rFonts w:ascii="Calibri" w:eastAsia="Times New Roman" w:hAnsi="Calibri" w:cs="Times New Roman"/>
                <w:color w:val="000000"/>
                <w:sz w:val="20"/>
                <w:szCs w:val="20"/>
              </w:rPr>
              <w:t>4,138</w:t>
            </w:r>
          </w:p>
        </w:tc>
        <w:tc>
          <w:tcPr>
            <w:tcW w:w="611" w:type="pct"/>
            <w:shd w:val="clear" w:color="auto" w:fill="auto"/>
            <w:vAlign w:val="center"/>
            <w:hideMark/>
          </w:tcPr>
          <w:p w:rsidR="00DB4E64" w:rsidRPr="00DB4E64" w:rsidRDefault="00DB4E64" w:rsidP="009B0767">
            <w:pPr>
              <w:spacing w:after="0"/>
              <w:jc w:val="right"/>
              <w:rPr>
                <w:rFonts w:ascii="Calibri" w:eastAsia="Times New Roman" w:hAnsi="Calibri" w:cs="Times New Roman"/>
                <w:color w:val="000000"/>
                <w:sz w:val="20"/>
                <w:szCs w:val="20"/>
              </w:rPr>
            </w:pPr>
            <w:r w:rsidRPr="00DB4E64">
              <w:rPr>
                <w:rFonts w:ascii="Calibri" w:eastAsia="Times New Roman" w:hAnsi="Calibri" w:cs="Times New Roman"/>
                <w:color w:val="000000"/>
                <w:sz w:val="20"/>
                <w:szCs w:val="20"/>
              </w:rPr>
              <w:t>1.3 units</w:t>
            </w:r>
          </w:p>
        </w:tc>
        <w:tc>
          <w:tcPr>
            <w:tcW w:w="705" w:type="pct"/>
            <w:shd w:val="clear" w:color="auto" w:fill="auto"/>
            <w:vAlign w:val="center"/>
            <w:hideMark/>
          </w:tcPr>
          <w:p w:rsidR="00DB4E64" w:rsidRPr="00DB4E64" w:rsidRDefault="00DB4E64" w:rsidP="009B0767">
            <w:pPr>
              <w:spacing w:after="0"/>
              <w:jc w:val="right"/>
              <w:rPr>
                <w:rFonts w:ascii="Calibri" w:eastAsia="Times New Roman" w:hAnsi="Calibri" w:cs="Times New Roman"/>
                <w:color w:val="000000"/>
                <w:sz w:val="20"/>
                <w:szCs w:val="20"/>
              </w:rPr>
            </w:pPr>
            <w:r w:rsidRPr="00DB4E64">
              <w:rPr>
                <w:rFonts w:ascii="Calibri" w:eastAsia="Times New Roman" w:hAnsi="Calibri" w:cs="Times New Roman"/>
                <w:color w:val="000000"/>
                <w:sz w:val="20"/>
                <w:szCs w:val="20"/>
              </w:rPr>
              <w:t>7.3</w:t>
            </w:r>
          </w:p>
        </w:tc>
        <w:tc>
          <w:tcPr>
            <w:tcW w:w="752" w:type="pct"/>
            <w:shd w:val="clear" w:color="auto" w:fill="auto"/>
            <w:vAlign w:val="center"/>
            <w:hideMark/>
          </w:tcPr>
          <w:p w:rsidR="00DB4E64" w:rsidRPr="00DB4E64" w:rsidRDefault="00DB4E64" w:rsidP="009B0767">
            <w:pPr>
              <w:spacing w:after="0"/>
              <w:jc w:val="right"/>
              <w:rPr>
                <w:rFonts w:ascii="Calibri" w:eastAsia="Times New Roman" w:hAnsi="Calibri" w:cs="Times New Roman"/>
                <w:color w:val="000000"/>
                <w:sz w:val="20"/>
                <w:szCs w:val="20"/>
              </w:rPr>
            </w:pPr>
            <w:r w:rsidRPr="00DB4E64">
              <w:rPr>
                <w:rFonts w:ascii="Calibri" w:eastAsia="Times New Roman" w:hAnsi="Calibri" w:cs="Times New Roman"/>
                <w:color w:val="000000"/>
                <w:sz w:val="20"/>
                <w:szCs w:val="20"/>
              </w:rPr>
              <w:t>14.5</w:t>
            </w:r>
          </w:p>
        </w:tc>
        <w:tc>
          <w:tcPr>
            <w:tcW w:w="749" w:type="pct"/>
            <w:shd w:val="clear" w:color="auto" w:fill="auto"/>
            <w:vAlign w:val="center"/>
            <w:hideMark/>
          </w:tcPr>
          <w:p w:rsidR="00DB4E64" w:rsidRPr="00DB4E64" w:rsidRDefault="00DB4E64" w:rsidP="009B0767">
            <w:pPr>
              <w:spacing w:after="0"/>
              <w:jc w:val="right"/>
              <w:rPr>
                <w:rFonts w:ascii="Calibri" w:eastAsia="Times New Roman" w:hAnsi="Calibri" w:cs="Times New Roman"/>
                <w:color w:val="000000"/>
                <w:sz w:val="20"/>
                <w:szCs w:val="20"/>
              </w:rPr>
            </w:pPr>
            <w:r w:rsidRPr="00DB4E64">
              <w:rPr>
                <w:rFonts w:ascii="Calibri" w:eastAsia="Times New Roman" w:hAnsi="Calibri" w:cs="Times New Roman"/>
                <w:color w:val="000000"/>
                <w:sz w:val="20"/>
                <w:szCs w:val="20"/>
              </w:rPr>
              <w:t>9.4</w:t>
            </w:r>
          </w:p>
        </w:tc>
        <w:tc>
          <w:tcPr>
            <w:tcW w:w="670" w:type="pct"/>
            <w:shd w:val="clear" w:color="auto" w:fill="auto"/>
            <w:vAlign w:val="center"/>
            <w:hideMark/>
          </w:tcPr>
          <w:p w:rsidR="00DB4E64" w:rsidRPr="00DB4E64" w:rsidRDefault="00DB4E64" w:rsidP="009B0767">
            <w:pPr>
              <w:spacing w:after="0"/>
              <w:jc w:val="right"/>
              <w:rPr>
                <w:rFonts w:ascii="Calibri" w:eastAsia="Times New Roman" w:hAnsi="Calibri" w:cs="Times New Roman"/>
                <w:color w:val="000000"/>
                <w:sz w:val="20"/>
                <w:szCs w:val="20"/>
              </w:rPr>
            </w:pPr>
            <w:r w:rsidRPr="00DB4E64">
              <w:rPr>
                <w:rFonts w:ascii="Calibri" w:eastAsia="Times New Roman" w:hAnsi="Calibri" w:cs="Times New Roman"/>
                <w:color w:val="000000"/>
                <w:sz w:val="20"/>
                <w:szCs w:val="20"/>
              </w:rPr>
              <w:t>65%</w:t>
            </w:r>
          </w:p>
        </w:tc>
      </w:tr>
      <w:tr w:rsidR="001C3F4D" w:rsidRPr="00DB4E64" w:rsidTr="00AF73B1">
        <w:tc>
          <w:tcPr>
            <w:tcW w:w="808" w:type="pct"/>
            <w:shd w:val="clear" w:color="auto" w:fill="auto"/>
            <w:vAlign w:val="center"/>
            <w:hideMark/>
          </w:tcPr>
          <w:p w:rsidR="00DB4E64" w:rsidRPr="00DB4E64" w:rsidRDefault="00DB4E64" w:rsidP="009B0767">
            <w:pPr>
              <w:spacing w:after="0"/>
              <w:rPr>
                <w:rFonts w:ascii="Calibri" w:eastAsia="Times New Roman" w:hAnsi="Calibri" w:cs="Times New Roman"/>
                <w:color w:val="000000"/>
                <w:sz w:val="20"/>
                <w:szCs w:val="20"/>
              </w:rPr>
            </w:pPr>
            <w:r w:rsidRPr="00DB4E64">
              <w:rPr>
                <w:rFonts w:ascii="Calibri" w:eastAsia="Times New Roman" w:hAnsi="Calibri" w:cs="Times New Roman"/>
                <w:color w:val="000000"/>
                <w:sz w:val="20"/>
                <w:szCs w:val="20"/>
              </w:rPr>
              <w:t>Faucet Aerators</w:t>
            </w:r>
          </w:p>
        </w:tc>
        <w:tc>
          <w:tcPr>
            <w:tcW w:w="705" w:type="pct"/>
            <w:shd w:val="clear" w:color="auto" w:fill="auto"/>
            <w:vAlign w:val="center"/>
            <w:hideMark/>
          </w:tcPr>
          <w:p w:rsidR="00DB4E64" w:rsidRPr="00DB4E64" w:rsidRDefault="00DB4E64" w:rsidP="009B0767">
            <w:pPr>
              <w:spacing w:after="0"/>
              <w:jc w:val="right"/>
              <w:rPr>
                <w:rFonts w:ascii="Calibri" w:eastAsia="Times New Roman" w:hAnsi="Calibri" w:cs="Times New Roman"/>
                <w:color w:val="000000"/>
                <w:sz w:val="20"/>
                <w:szCs w:val="20"/>
              </w:rPr>
            </w:pPr>
            <w:r w:rsidRPr="00DB4E64">
              <w:rPr>
                <w:rFonts w:ascii="Calibri" w:eastAsia="Times New Roman" w:hAnsi="Calibri" w:cs="Times New Roman"/>
                <w:color w:val="000000"/>
                <w:sz w:val="20"/>
                <w:szCs w:val="20"/>
              </w:rPr>
              <w:t>3,111</w:t>
            </w:r>
          </w:p>
        </w:tc>
        <w:tc>
          <w:tcPr>
            <w:tcW w:w="611" w:type="pct"/>
            <w:shd w:val="clear" w:color="auto" w:fill="auto"/>
            <w:vAlign w:val="center"/>
            <w:hideMark/>
          </w:tcPr>
          <w:p w:rsidR="00DB4E64" w:rsidRPr="00DB4E64" w:rsidRDefault="00DB4E64" w:rsidP="009B0767">
            <w:pPr>
              <w:spacing w:after="0"/>
              <w:jc w:val="right"/>
              <w:rPr>
                <w:rFonts w:ascii="Calibri" w:eastAsia="Times New Roman" w:hAnsi="Calibri" w:cs="Times New Roman"/>
                <w:color w:val="000000"/>
                <w:sz w:val="20"/>
                <w:szCs w:val="20"/>
              </w:rPr>
            </w:pPr>
            <w:r w:rsidRPr="00DB4E64">
              <w:rPr>
                <w:rFonts w:ascii="Calibri" w:eastAsia="Times New Roman" w:hAnsi="Calibri" w:cs="Times New Roman"/>
                <w:color w:val="000000"/>
                <w:sz w:val="20"/>
                <w:szCs w:val="20"/>
              </w:rPr>
              <w:t>1.3 units</w:t>
            </w:r>
          </w:p>
        </w:tc>
        <w:tc>
          <w:tcPr>
            <w:tcW w:w="705" w:type="pct"/>
            <w:shd w:val="clear" w:color="auto" w:fill="auto"/>
            <w:vAlign w:val="center"/>
            <w:hideMark/>
          </w:tcPr>
          <w:p w:rsidR="00DB4E64" w:rsidRPr="00DB4E64" w:rsidRDefault="00DB4E64" w:rsidP="009B0767">
            <w:pPr>
              <w:spacing w:after="0"/>
              <w:jc w:val="right"/>
              <w:rPr>
                <w:rFonts w:ascii="Calibri" w:eastAsia="Times New Roman" w:hAnsi="Calibri" w:cs="Times New Roman"/>
                <w:color w:val="000000"/>
                <w:sz w:val="20"/>
                <w:szCs w:val="20"/>
              </w:rPr>
            </w:pPr>
            <w:r w:rsidRPr="00DB4E64">
              <w:rPr>
                <w:rFonts w:ascii="Calibri" w:eastAsia="Times New Roman" w:hAnsi="Calibri" w:cs="Times New Roman"/>
                <w:color w:val="000000"/>
                <w:sz w:val="20"/>
                <w:szCs w:val="20"/>
              </w:rPr>
              <w:t>3.0</w:t>
            </w:r>
          </w:p>
        </w:tc>
        <w:tc>
          <w:tcPr>
            <w:tcW w:w="752" w:type="pct"/>
            <w:shd w:val="clear" w:color="auto" w:fill="auto"/>
            <w:vAlign w:val="center"/>
            <w:hideMark/>
          </w:tcPr>
          <w:p w:rsidR="00DB4E64" w:rsidRPr="00DB4E64" w:rsidRDefault="00DB4E64" w:rsidP="009B0767">
            <w:pPr>
              <w:spacing w:after="0"/>
              <w:jc w:val="right"/>
              <w:rPr>
                <w:rFonts w:ascii="Calibri" w:eastAsia="Times New Roman" w:hAnsi="Calibri" w:cs="Times New Roman"/>
                <w:color w:val="000000"/>
                <w:sz w:val="20"/>
                <w:szCs w:val="20"/>
              </w:rPr>
            </w:pPr>
            <w:r w:rsidRPr="00DB4E64">
              <w:rPr>
                <w:rFonts w:ascii="Calibri" w:eastAsia="Times New Roman" w:hAnsi="Calibri" w:cs="Times New Roman"/>
                <w:color w:val="000000"/>
                <w:sz w:val="20"/>
                <w:szCs w:val="20"/>
              </w:rPr>
              <w:t>1.2</w:t>
            </w:r>
          </w:p>
        </w:tc>
        <w:tc>
          <w:tcPr>
            <w:tcW w:w="749" w:type="pct"/>
            <w:shd w:val="clear" w:color="auto" w:fill="auto"/>
            <w:vAlign w:val="center"/>
            <w:hideMark/>
          </w:tcPr>
          <w:p w:rsidR="00DB4E64" w:rsidRPr="00DB4E64" w:rsidRDefault="00DB4E64" w:rsidP="009B0767">
            <w:pPr>
              <w:spacing w:after="0"/>
              <w:jc w:val="right"/>
              <w:rPr>
                <w:rFonts w:ascii="Calibri" w:eastAsia="Times New Roman" w:hAnsi="Calibri" w:cs="Times New Roman"/>
                <w:color w:val="000000"/>
                <w:sz w:val="20"/>
                <w:szCs w:val="20"/>
              </w:rPr>
            </w:pPr>
            <w:r w:rsidRPr="00DB4E64">
              <w:rPr>
                <w:rFonts w:ascii="Calibri" w:eastAsia="Times New Roman" w:hAnsi="Calibri" w:cs="Times New Roman"/>
                <w:color w:val="000000"/>
                <w:sz w:val="20"/>
                <w:szCs w:val="20"/>
              </w:rPr>
              <w:t>3.8</w:t>
            </w:r>
          </w:p>
        </w:tc>
        <w:tc>
          <w:tcPr>
            <w:tcW w:w="670" w:type="pct"/>
            <w:shd w:val="clear" w:color="auto" w:fill="auto"/>
            <w:vAlign w:val="center"/>
            <w:hideMark/>
          </w:tcPr>
          <w:p w:rsidR="00DB4E64" w:rsidRPr="00DB4E64" w:rsidRDefault="00DB4E64" w:rsidP="009B0767">
            <w:pPr>
              <w:spacing w:after="0"/>
              <w:jc w:val="right"/>
              <w:rPr>
                <w:rFonts w:ascii="Calibri" w:eastAsia="Times New Roman" w:hAnsi="Calibri" w:cs="Times New Roman"/>
                <w:color w:val="000000"/>
                <w:sz w:val="20"/>
                <w:szCs w:val="20"/>
              </w:rPr>
            </w:pPr>
            <w:r w:rsidRPr="00DB4E64">
              <w:rPr>
                <w:rFonts w:ascii="Calibri" w:eastAsia="Times New Roman" w:hAnsi="Calibri" w:cs="Times New Roman"/>
                <w:color w:val="000000"/>
                <w:sz w:val="20"/>
                <w:szCs w:val="20"/>
              </w:rPr>
              <w:t>321%</w:t>
            </w:r>
          </w:p>
        </w:tc>
      </w:tr>
      <w:tr w:rsidR="001C3F4D" w:rsidRPr="00DB4E64" w:rsidTr="00AF73B1">
        <w:tc>
          <w:tcPr>
            <w:tcW w:w="808" w:type="pct"/>
            <w:shd w:val="clear" w:color="auto" w:fill="auto"/>
            <w:vAlign w:val="center"/>
            <w:hideMark/>
          </w:tcPr>
          <w:p w:rsidR="00DB4E64" w:rsidRPr="00DB4E64" w:rsidRDefault="00DB4E64" w:rsidP="009B0767">
            <w:pPr>
              <w:spacing w:after="0"/>
              <w:rPr>
                <w:rFonts w:ascii="Calibri" w:eastAsia="Times New Roman" w:hAnsi="Calibri" w:cs="Times New Roman"/>
                <w:color w:val="000000"/>
                <w:sz w:val="20"/>
                <w:szCs w:val="20"/>
              </w:rPr>
            </w:pPr>
            <w:r w:rsidRPr="00DB4E64">
              <w:rPr>
                <w:rFonts w:ascii="Calibri" w:eastAsia="Times New Roman" w:hAnsi="Calibri" w:cs="Times New Roman"/>
                <w:color w:val="000000"/>
                <w:sz w:val="20"/>
                <w:szCs w:val="20"/>
              </w:rPr>
              <w:t xml:space="preserve">Pipe </w:t>
            </w:r>
            <w:r>
              <w:rPr>
                <w:rFonts w:ascii="Calibri" w:eastAsia="Times New Roman" w:hAnsi="Calibri" w:cs="Times New Roman"/>
                <w:color w:val="000000"/>
                <w:sz w:val="20"/>
                <w:szCs w:val="20"/>
              </w:rPr>
              <w:t>Insulation*</w:t>
            </w:r>
          </w:p>
        </w:tc>
        <w:tc>
          <w:tcPr>
            <w:tcW w:w="705" w:type="pct"/>
            <w:shd w:val="clear" w:color="auto" w:fill="auto"/>
            <w:vAlign w:val="center"/>
            <w:hideMark/>
          </w:tcPr>
          <w:p w:rsidR="00DB4E64" w:rsidRPr="00DB4E64" w:rsidRDefault="00DB4E64" w:rsidP="009B0767">
            <w:pPr>
              <w:spacing w:after="0"/>
              <w:jc w:val="right"/>
              <w:rPr>
                <w:rFonts w:ascii="Calibri" w:eastAsia="Times New Roman" w:hAnsi="Calibri" w:cs="Times New Roman"/>
                <w:color w:val="000000"/>
                <w:sz w:val="20"/>
                <w:szCs w:val="20"/>
              </w:rPr>
            </w:pPr>
            <w:r w:rsidRPr="00DB4E64">
              <w:rPr>
                <w:rFonts w:ascii="Calibri" w:eastAsia="Times New Roman" w:hAnsi="Calibri" w:cs="Times New Roman"/>
                <w:color w:val="000000"/>
                <w:sz w:val="20"/>
                <w:szCs w:val="20"/>
              </w:rPr>
              <w:t>2,454</w:t>
            </w:r>
          </w:p>
        </w:tc>
        <w:tc>
          <w:tcPr>
            <w:tcW w:w="611" w:type="pct"/>
            <w:shd w:val="clear" w:color="auto" w:fill="auto"/>
            <w:vAlign w:val="center"/>
            <w:hideMark/>
          </w:tcPr>
          <w:p w:rsidR="00DB4E64" w:rsidRPr="00DB4E64" w:rsidRDefault="00DB4E64" w:rsidP="009B0767">
            <w:pPr>
              <w:spacing w:after="0"/>
              <w:jc w:val="right"/>
              <w:rPr>
                <w:rFonts w:ascii="Calibri" w:eastAsia="Times New Roman" w:hAnsi="Calibri" w:cs="Times New Roman"/>
                <w:color w:val="000000"/>
                <w:sz w:val="20"/>
                <w:szCs w:val="20"/>
              </w:rPr>
            </w:pPr>
            <w:r w:rsidRPr="00DB4E64">
              <w:rPr>
                <w:rFonts w:ascii="Calibri" w:eastAsia="Times New Roman" w:hAnsi="Calibri" w:cs="Times New Roman"/>
                <w:color w:val="000000"/>
                <w:sz w:val="20"/>
                <w:szCs w:val="20"/>
              </w:rPr>
              <w:t xml:space="preserve">5.6 </w:t>
            </w:r>
            <w:r w:rsidR="00033AD2" w:rsidRPr="00DB4E64">
              <w:rPr>
                <w:rFonts w:ascii="Calibri" w:eastAsia="Times New Roman" w:hAnsi="Calibri" w:cs="Times New Roman"/>
                <w:color w:val="000000"/>
                <w:sz w:val="20"/>
                <w:szCs w:val="20"/>
              </w:rPr>
              <w:t>ft.</w:t>
            </w:r>
          </w:p>
        </w:tc>
        <w:tc>
          <w:tcPr>
            <w:tcW w:w="705" w:type="pct"/>
            <w:shd w:val="clear" w:color="auto" w:fill="auto"/>
            <w:vAlign w:val="center"/>
            <w:hideMark/>
          </w:tcPr>
          <w:p w:rsidR="00DB4E64" w:rsidRPr="00DB4E64" w:rsidRDefault="00DB4E64" w:rsidP="009B0767">
            <w:pPr>
              <w:spacing w:after="0"/>
              <w:jc w:val="right"/>
              <w:rPr>
                <w:rFonts w:ascii="Calibri" w:eastAsia="Times New Roman" w:hAnsi="Calibri" w:cs="Times New Roman"/>
                <w:color w:val="000000"/>
                <w:sz w:val="20"/>
                <w:szCs w:val="20"/>
              </w:rPr>
            </w:pPr>
            <w:r w:rsidRPr="00DB4E64">
              <w:rPr>
                <w:rFonts w:ascii="Calibri" w:eastAsia="Times New Roman" w:hAnsi="Calibri" w:cs="Times New Roman"/>
                <w:color w:val="000000"/>
                <w:sz w:val="20"/>
                <w:szCs w:val="20"/>
              </w:rPr>
              <w:t>0.7</w:t>
            </w:r>
          </w:p>
        </w:tc>
        <w:tc>
          <w:tcPr>
            <w:tcW w:w="752" w:type="pct"/>
            <w:shd w:val="clear" w:color="auto" w:fill="auto"/>
            <w:vAlign w:val="center"/>
            <w:hideMark/>
          </w:tcPr>
          <w:p w:rsidR="00DB4E64" w:rsidRPr="00DB4E64" w:rsidRDefault="00DB4E64" w:rsidP="009B0767">
            <w:pPr>
              <w:spacing w:after="0"/>
              <w:jc w:val="right"/>
              <w:rPr>
                <w:rFonts w:ascii="Calibri" w:eastAsia="Times New Roman" w:hAnsi="Calibri" w:cs="Times New Roman"/>
                <w:color w:val="000000"/>
                <w:sz w:val="20"/>
                <w:szCs w:val="20"/>
              </w:rPr>
            </w:pPr>
            <w:r w:rsidRPr="00DB4E64">
              <w:rPr>
                <w:rFonts w:ascii="Calibri" w:eastAsia="Times New Roman" w:hAnsi="Calibri" w:cs="Times New Roman"/>
                <w:color w:val="000000"/>
                <w:sz w:val="20"/>
                <w:szCs w:val="20"/>
              </w:rPr>
              <w:t>3.4</w:t>
            </w:r>
          </w:p>
        </w:tc>
        <w:tc>
          <w:tcPr>
            <w:tcW w:w="749" w:type="pct"/>
            <w:shd w:val="clear" w:color="auto" w:fill="auto"/>
            <w:vAlign w:val="center"/>
            <w:hideMark/>
          </w:tcPr>
          <w:p w:rsidR="00DB4E64" w:rsidRPr="00DB4E64" w:rsidRDefault="00DB4E64" w:rsidP="009B0767">
            <w:pPr>
              <w:spacing w:after="0"/>
              <w:jc w:val="right"/>
              <w:rPr>
                <w:rFonts w:ascii="Calibri" w:eastAsia="Times New Roman" w:hAnsi="Calibri" w:cs="Times New Roman"/>
                <w:color w:val="000000"/>
                <w:sz w:val="20"/>
                <w:szCs w:val="20"/>
              </w:rPr>
            </w:pPr>
            <w:r w:rsidRPr="00DB4E64">
              <w:rPr>
                <w:rFonts w:ascii="Calibri" w:eastAsia="Times New Roman" w:hAnsi="Calibri" w:cs="Times New Roman"/>
                <w:color w:val="000000"/>
                <w:sz w:val="20"/>
                <w:szCs w:val="20"/>
              </w:rPr>
              <w:t>3.9</w:t>
            </w:r>
          </w:p>
        </w:tc>
        <w:tc>
          <w:tcPr>
            <w:tcW w:w="670" w:type="pct"/>
            <w:shd w:val="clear" w:color="auto" w:fill="auto"/>
            <w:vAlign w:val="center"/>
            <w:hideMark/>
          </w:tcPr>
          <w:p w:rsidR="00DB4E64" w:rsidRPr="00DB4E64" w:rsidRDefault="00DB4E64" w:rsidP="009B0767">
            <w:pPr>
              <w:spacing w:after="0"/>
              <w:jc w:val="right"/>
              <w:rPr>
                <w:rFonts w:ascii="Calibri" w:eastAsia="Times New Roman" w:hAnsi="Calibri" w:cs="Times New Roman"/>
                <w:color w:val="000000"/>
                <w:sz w:val="20"/>
                <w:szCs w:val="20"/>
              </w:rPr>
            </w:pPr>
            <w:r w:rsidRPr="00DB4E64">
              <w:rPr>
                <w:rFonts w:ascii="Calibri" w:eastAsia="Times New Roman" w:hAnsi="Calibri" w:cs="Times New Roman"/>
                <w:color w:val="000000"/>
                <w:sz w:val="20"/>
                <w:szCs w:val="20"/>
              </w:rPr>
              <w:t>114%</w:t>
            </w:r>
          </w:p>
        </w:tc>
      </w:tr>
    </w:tbl>
    <w:p w:rsidR="00DB4E64" w:rsidRPr="002B3A3C" w:rsidRDefault="00DB4E64" w:rsidP="009B0767">
      <w:pPr>
        <w:spacing w:after="0"/>
        <w:rPr>
          <w:sz w:val="20"/>
          <w:szCs w:val="20"/>
        </w:rPr>
      </w:pPr>
      <w:r w:rsidRPr="002B3A3C">
        <w:rPr>
          <w:sz w:val="20"/>
          <w:szCs w:val="20"/>
        </w:rPr>
        <w:t xml:space="preserve">*Only the water-heating application of this measure </w:t>
      </w:r>
      <w:r w:rsidR="00AF73B1">
        <w:rPr>
          <w:sz w:val="20"/>
          <w:szCs w:val="20"/>
        </w:rPr>
        <w:t>was</w:t>
      </w:r>
      <w:r w:rsidRPr="002B3A3C">
        <w:rPr>
          <w:sz w:val="20"/>
          <w:szCs w:val="20"/>
        </w:rPr>
        <w:t xml:space="preserve"> evaluated (not space</w:t>
      </w:r>
      <w:r w:rsidR="00AF73B1">
        <w:rPr>
          <w:sz w:val="20"/>
          <w:szCs w:val="20"/>
        </w:rPr>
        <w:t>-</w:t>
      </w:r>
      <w:r w:rsidRPr="002B3A3C">
        <w:rPr>
          <w:sz w:val="20"/>
          <w:szCs w:val="20"/>
        </w:rPr>
        <w:t>heating impacts)</w:t>
      </w:r>
      <w:r w:rsidR="002B3A3C">
        <w:rPr>
          <w:sz w:val="20"/>
          <w:szCs w:val="20"/>
        </w:rPr>
        <w:t>.</w:t>
      </w:r>
      <w:r w:rsidRPr="002B3A3C">
        <w:rPr>
          <w:sz w:val="20"/>
          <w:szCs w:val="20"/>
        </w:rPr>
        <w:t xml:space="preserve"> </w:t>
      </w:r>
    </w:p>
    <w:p w:rsidR="002B3A3C" w:rsidRDefault="002B3A3C" w:rsidP="002B3A3C">
      <w:pPr>
        <w:pStyle w:val="NormalAfterTablesandFigures"/>
      </w:pPr>
    </w:p>
    <w:p w:rsidR="002D0B64" w:rsidRDefault="004D6698" w:rsidP="002B3A3C">
      <w:r>
        <w:t>The primary factor driving realizations for sh</w:t>
      </w:r>
      <w:r w:rsidR="009D464E">
        <w:t>owerheads and aerators was the change in input assumptions used in the 2011 PSD to the 2013 PSD.</w:t>
      </w:r>
      <w:r w:rsidR="00DE1457">
        <w:t xml:space="preserve"> </w:t>
      </w:r>
      <w:r w:rsidR="002D0B64">
        <w:t>In the 2011 PSD</w:t>
      </w:r>
      <w:r w:rsidR="001C3F4D">
        <w:t xml:space="preserve">, </w:t>
      </w:r>
      <w:r w:rsidR="002D0B64">
        <w:t xml:space="preserve">the average </w:t>
      </w:r>
      <w:r w:rsidR="001C3F4D">
        <w:t xml:space="preserve">annual </w:t>
      </w:r>
      <w:r w:rsidR="002D0B64">
        <w:t xml:space="preserve">water savings </w:t>
      </w:r>
      <w:r w:rsidR="00AF73B1">
        <w:t>were</w:t>
      </w:r>
      <w:r w:rsidR="002D0B64">
        <w:t xml:space="preserve"> 3,650 gallons </w:t>
      </w:r>
      <w:r w:rsidR="001C3F4D">
        <w:t>per showerhead and 255.5 gallons per aerator</w:t>
      </w:r>
      <w:r w:rsidR="002D0B64">
        <w:t>.</w:t>
      </w:r>
      <w:r w:rsidR="00DE1457">
        <w:t xml:space="preserve"> </w:t>
      </w:r>
      <w:r w:rsidR="002D0B64">
        <w:t xml:space="preserve">In the 2013 PSD, average </w:t>
      </w:r>
      <w:r w:rsidR="001C3F4D">
        <w:t xml:space="preserve">annual </w:t>
      </w:r>
      <w:r w:rsidR="002D0B64">
        <w:t xml:space="preserve">water savings </w:t>
      </w:r>
      <w:r w:rsidR="00AF73B1">
        <w:t xml:space="preserve">were </w:t>
      </w:r>
      <w:r w:rsidR="002D0B64">
        <w:t xml:space="preserve">1,212.3 gallons </w:t>
      </w:r>
      <w:r w:rsidR="001C3F4D">
        <w:t>per showerhead and 1,238 gallons per aerator</w:t>
      </w:r>
      <w:r w:rsidR="002D0B64">
        <w:t>.</w:t>
      </w:r>
      <w:r w:rsidR="00DE1457">
        <w:t xml:space="preserve"> </w:t>
      </w:r>
      <w:r w:rsidR="002D0B64">
        <w:t xml:space="preserve">On its own, </w:t>
      </w:r>
      <w:r w:rsidR="001C3F4D">
        <w:t xml:space="preserve">these </w:t>
      </w:r>
      <w:r w:rsidR="002D0B64">
        <w:t>change</w:t>
      </w:r>
      <w:r w:rsidR="001C3F4D">
        <w:t>s</w:t>
      </w:r>
      <w:r w:rsidR="002D0B64">
        <w:t xml:space="preserve"> </w:t>
      </w:r>
      <w:r w:rsidR="001753FD">
        <w:t xml:space="preserve">reduce showerhead </w:t>
      </w:r>
      <w:r w:rsidR="002D0B64">
        <w:t>realization rate</w:t>
      </w:r>
      <w:r w:rsidR="001C3F4D">
        <w:t>s</w:t>
      </w:r>
      <w:r w:rsidR="002D0B64">
        <w:t xml:space="preserve"> </w:t>
      </w:r>
      <w:r w:rsidR="001753FD">
        <w:t xml:space="preserve">to </w:t>
      </w:r>
      <w:r w:rsidR="002D0B64">
        <w:t>33%</w:t>
      </w:r>
      <w:r w:rsidR="001C3F4D">
        <w:t xml:space="preserve"> </w:t>
      </w:r>
      <w:r w:rsidR="001753FD">
        <w:t xml:space="preserve">of the 2011 value </w:t>
      </w:r>
      <w:r w:rsidR="00A5497B">
        <w:t xml:space="preserve">and </w:t>
      </w:r>
      <w:r w:rsidR="001753FD">
        <w:t xml:space="preserve">increase aerator realization rates to </w:t>
      </w:r>
      <w:r w:rsidR="001C3F4D">
        <w:t xml:space="preserve">454% </w:t>
      </w:r>
      <w:r w:rsidR="001753FD">
        <w:t>of the 2011 value</w:t>
      </w:r>
      <w:r w:rsidR="002D0B64">
        <w:t>.</w:t>
      </w:r>
      <w:r w:rsidR="00DE1457">
        <w:t xml:space="preserve"> </w:t>
      </w:r>
      <w:r w:rsidR="002D0B64">
        <w:t xml:space="preserve">However, </w:t>
      </w:r>
      <w:r w:rsidR="00A5497B">
        <w:t xml:space="preserve">additional differences in the PSD versions, including </w:t>
      </w:r>
      <w:r w:rsidR="002D0B64">
        <w:lastRenderedPageBreak/>
        <w:t>algorithm refinement</w:t>
      </w:r>
      <w:r w:rsidR="00A5497B">
        <w:t>s</w:t>
      </w:r>
      <w:r w:rsidR="002D0B64">
        <w:t xml:space="preserve"> and changes in input values</w:t>
      </w:r>
      <w:r w:rsidR="00AF73B1">
        <w:t xml:space="preserve"> (e.g.</w:t>
      </w:r>
      <w:r w:rsidR="002D0B64">
        <w:t xml:space="preserve">, number of showerheads </w:t>
      </w:r>
      <w:r w:rsidR="001C3F4D">
        <w:t xml:space="preserve">and faucets </w:t>
      </w:r>
      <w:r w:rsidR="002D0B64">
        <w:t>per home</w:t>
      </w:r>
      <w:r w:rsidR="00AF73B1">
        <w:t>)</w:t>
      </w:r>
      <w:r w:rsidR="00A5497B">
        <w:t xml:space="preserve">, </w:t>
      </w:r>
      <w:r w:rsidR="0072106A">
        <w:t>resulted in the overall realization rate adjustments</w:t>
      </w:r>
      <w:r w:rsidR="001753FD">
        <w:t xml:space="preserve"> presented in </w:t>
      </w:r>
      <w:r w:rsidR="005C2163">
        <w:fldChar w:fldCharType="begin"/>
      </w:r>
      <w:r w:rsidR="001753FD">
        <w:instrText xml:space="preserve"> REF _Ref388197541 \h </w:instrText>
      </w:r>
      <w:r w:rsidR="005C2163">
        <w:fldChar w:fldCharType="separate"/>
      </w:r>
      <w:r w:rsidR="00CD20CF">
        <w:t xml:space="preserve">Table </w:t>
      </w:r>
      <w:r w:rsidR="00CD20CF">
        <w:rPr>
          <w:noProof/>
        </w:rPr>
        <w:t>40</w:t>
      </w:r>
      <w:r w:rsidR="005C2163">
        <w:fldChar w:fldCharType="end"/>
      </w:r>
      <w:r w:rsidR="0072106A">
        <w:t>.</w:t>
      </w:r>
    </w:p>
    <w:p w:rsidR="00AE7AC1" w:rsidRDefault="009C77FF" w:rsidP="00AE7AC1">
      <w:r>
        <w:t xml:space="preserve">Though not outlined in the PSD, </w:t>
      </w:r>
      <w:r w:rsidR="001753FD">
        <w:t xml:space="preserve">a drain factor adjustment </w:t>
      </w:r>
      <w:r w:rsidR="00AD547B">
        <w:t xml:space="preserve">is common in TRMs </w:t>
      </w:r>
      <w:r w:rsidR="001C3F4D">
        <w:t xml:space="preserve">to account </w:t>
      </w:r>
      <w:r w:rsidR="002D0B64">
        <w:t xml:space="preserve">for water usage not dependent on the length of time </w:t>
      </w:r>
      <w:r>
        <w:t>a</w:t>
      </w:r>
      <w:r w:rsidR="002D0B64">
        <w:t xml:space="preserve"> faucet </w:t>
      </w:r>
      <w:r>
        <w:t xml:space="preserve">remains </w:t>
      </w:r>
      <w:r w:rsidR="002D0B64">
        <w:t xml:space="preserve">on, but rather </w:t>
      </w:r>
      <w:r>
        <w:t xml:space="preserve">on </w:t>
      </w:r>
      <w:r w:rsidR="002D0B64">
        <w:t>a specific quantity of water</w:t>
      </w:r>
      <w:r>
        <w:t xml:space="preserve"> (</w:t>
      </w:r>
      <w:r w:rsidR="002D0B64">
        <w:t>such as filling a vessel</w:t>
      </w:r>
      <w:r>
        <w:t>)</w:t>
      </w:r>
      <w:r w:rsidR="002D0B64">
        <w:t>.</w:t>
      </w:r>
      <w:r w:rsidR="00DE1457">
        <w:t xml:space="preserve"> </w:t>
      </w:r>
      <w:r w:rsidR="001753FD">
        <w:t>T</w:t>
      </w:r>
      <w:r w:rsidR="00AE7AC1">
        <w:t>he Evaluation Team used a value of 79.5% for the drain factor, consistent with other TRMs from the region</w:t>
      </w:r>
      <w:r w:rsidR="001753FD">
        <w:t>.</w:t>
      </w:r>
      <w:r w:rsidR="00D727BB">
        <w:rPr>
          <w:rStyle w:val="FootnoteReference"/>
        </w:rPr>
        <w:footnoteReference w:id="24"/>
      </w:r>
      <w:r w:rsidR="001753FD">
        <w:t xml:space="preserve"> F</w:t>
      </w:r>
      <w:r w:rsidR="001A4237">
        <w:t xml:space="preserve">uture </w:t>
      </w:r>
      <w:r w:rsidR="00AE7AC1">
        <w:t xml:space="preserve">primary research </w:t>
      </w:r>
      <w:r w:rsidR="001A4237">
        <w:t xml:space="preserve">would </w:t>
      </w:r>
      <w:r w:rsidR="00AE7AC1">
        <w:t>allow determination of a more accurate value for this input</w:t>
      </w:r>
    </w:p>
    <w:p w:rsidR="002D0B64" w:rsidRDefault="002D0B64" w:rsidP="002B3A3C">
      <w:r>
        <w:t xml:space="preserve">The </w:t>
      </w:r>
      <w:r w:rsidR="004F54B9">
        <w:t xml:space="preserve">Evaluation Team </w:t>
      </w:r>
      <w:r>
        <w:t xml:space="preserve">felt the pipe insulation savings </w:t>
      </w:r>
      <w:r w:rsidR="009C77FF">
        <w:t xml:space="preserve">set forth </w:t>
      </w:r>
      <w:r>
        <w:t xml:space="preserve">in the PSD </w:t>
      </w:r>
      <w:r w:rsidR="009C77FF">
        <w:t xml:space="preserve">proved </w:t>
      </w:r>
      <w:r>
        <w:t xml:space="preserve">reasonable, </w:t>
      </w:r>
      <w:r w:rsidR="009C77FF">
        <w:t xml:space="preserve">though </w:t>
      </w:r>
      <w:r>
        <w:t xml:space="preserve">the savings should be capped at </w:t>
      </w:r>
      <w:r w:rsidR="009C77FF">
        <w:t>six</w:t>
      </w:r>
      <w:r>
        <w:t xml:space="preserve"> feet of insulation.</w:t>
      </w:r>
      <w:r w:rsidR="00DE1457">
        <w:t xml:space="preserve"> </w:t>
      </w:r>
      <w:r>
        <w:t xml:space="preserve">Currently, the PSD allows the same </w:t>
      </w:r>
      <w:r w:rsidR="009C77FF">
        <w:t xml:space="preserve">savings </w:t>
      </w:r>
      <w:r>
        <w:t>level for each foot of installation, with</w:t>
      </w:r>
      <w:r w:rsidR="009C77FF">
        <w:t>out a</w:t>
      </w:r>
      <w:r>
        <w:t xml:space="preserve"> cap.</w:t>
      </w:r>
      <w:r w:rsidR="0072106A">
        <w:t xml:space="preserve"> However, </w:t>
      </w:r>
      <w:r w:rsidR="0054785A">
        <w:t>as savings decrease as distance increases away from the water heater, incremental savings are negligible beyond approximately six feet.</w:t>
      </w:r>
      <w:r w:rsidR="00DE1457">
        <w:t xml:space="preserve"> </w:t>
      </w:r>
      <w:r w:rsidR="009C77FF">
        <w:t xml:space="preserve">Consequently, </w:t>
      </w:r>
      <w:r>
        <w:t xml:space="preserve">installations </w:t>
      </w:r>
      <w:r w:rsidR="009C77FF">
        <w:t xml:space="preserve">with </w:t>
      </w:r>
      <w:r>
        <w:t xml:space="preserve">more than six feet of insulation installed only </w:t>
      </w:r>
      <w:r w:rsidR="001C3F4D">
        <w:t>received evaluated gross</w:t>
      </w:r>
      <w:r>
        <w:t xml:space="preserve"> savings for the first six feet</w:t>
      </w:r>
      <w:r w:rsidR="001C3F4D">
        <w:t>, and thus resulted in a realization rate lower than 100%</w:t>
      </w:r>
      <w:r>
        <w:t>.</w:t>
      </w:r>
    </w:p>
    <w:p w:rsidR="00D3164D" w:rsidRDefault="00D3164D" w:rsidP="002B3A3C">
      <w:pPr>
        <w:pStyle w:val="Heading4"/>
      </w:pPr>
      <w:r>
        <w:t>HVAC</w:t>
      </w:r>
      <w:r w:rsidR="008751A5">
        <w:t>: Heating System Replacement</w:t>
      </w:r>
    </w:p>
    <w:p w:rsidR="00861939" w:rsidRDefault="00861939" w:rsidP="00861939">
      <w:r>
        <w:t>The Evaluation Team used an engineering algorithm to estimate savings for heating system replacement measures. Savings calculations were based on a combination of utility tracking data, the 2013 PSD, and other researched assumptions.</w:t>
      </w:r>
      <w:r w:rsidRPr="00861939">
        <w:t xml:space="preserve"> </w:t>
      </w:r>
      <w:r>
        <w:t xml:space="preserve">The measure category “heating system replacement” in the utility tracking data can include installations of new energy-efficient boilers and furnaces, though only efficient furnaces occurred under the 2011 HES program. Based on the utility tracking data, the average efficiency of installed units is 96% AFUE. </w:t>
      </w:r>
      <w:r w:rsidR="005C2163">
        <w:fldChar w:fldCharType="begin"/>
      </w:r>
      <w:r w:rsidR="0046347F">
        <w:instrText xml:space="preserve"> REF _Ref389468187 \h </w:instrText>
      </w:r>
      <w:r w:rsidR="005C2163">
        <w:fldChar w:fldCharType="separate"/>
      </w:r>
      <w:r w:rsidR="00CD20CF">
        <w:t xml:space="preserve">Table </w:t>
      </w:r>
      <w:r w:rsidR="00CD20CF">
        <w:rPr>
          <w:noProof/>
        </w:rPr>
        <w:t>41</w:t>
      </w:r>
      <w:r w:rsidR="005C2163">
        <w:fldChar w:fldCharType="end"/>
      </w:r>
      <w:r w:rsidR="009D464E">
        <w:t xml:space="preserve"> </w:t>
      </w:r>
      <w:r>
        <w:t xml:space="preserve">provides the distribution of participants, average </w:t>
      </w:r>
      <w:r w:rsidRPr="00CF5867">
        <w:rPr>
          <w:i/>
        </w:rPr>
        <w:t>ex ante</w:t>
      </w:r>
      <w:r>
        <w:t xml:space="preserve"> and evaluated savings, and a realization for HES appliance measures.</w:t>
      </w:r>
    </w:p>
    <w:p w:rsidR="00861939" w:rsidRDefault="00861939" w:rsidP="00861939">
      <w:pPr>
        <w:pStyle w:val="Caption"/>
      </w:pPr>
      <w:bookmarkStart w:id="86" w:name="_Ref389468187"/>
      <w:r>
        <w:t xml:space="preserve">Table </w:t>
      </w:r>
      <w:r w:rsidR="002506E1">
        <w:fldChar w:fldCharType="begin"/>
      </w:r>
      <w:r w:rsidR="002506E1">
        <w:instrText xml:space="preserve"> SEQ Table \* ARABIC </w:instrText>
      </w:r>
      <w:r w:rsidR="002506E1">
        <w:fldChar w:fldCharType="separate"/>
      </w:r>
      <w:r w:rsidR="00CD20CF">
        <w:rPr>
          <w:noProof/>
        </w:rPr>
        <w:t>41</w:t>
      </w:r>
      <w:r w:rsidR="002506E1">
        <w:rPr>
          <w:noProof/>
        </w:rPr>
        <w:fldChar w:fldCharType="end"/>
      </w:r>
      <w:bookmarkEnd w:id="86"/>
      <w:r>
        <w:t xml:space="preserve">. HES Gas Heating System Replacement Distribution and Evaluated Savings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18"/>
        <w:gridCol w:w="1350"/>
        <w:gridCol w:w="1980"/>
        <w:gridCol w:w="2019"/>
        <w:gridCol w:w="1509"/>
      </w:tblGrid>
      <w:tr w:rsidR="00861939" w:rsidRPr="00A53F92" w:rsidTr="00432FF0">
        <w:tc>
          <w:tcPr>
            <w:tcW w:w="1419" w:type="pct"/>
            <w:shd w:val="clear" w:color="000000" w:fill="005DAA"/>
            <w:vAlign w:val="center"/>
            <w:hideMark/>
          </w:tcPr>
          <w:p w:rsidR="00861939" w:rsidRPr="00A53F92" w:rsidRDefault="00861939" w:rsidP="000D1D86">
            <w:pPr>
              <w:keepNext/>
              <w:keepLines/>
              <w:spacing w:after="0"/>
              <w:jc w:val="center"/>
              <w:rPr>
                <w:rFonts w:ascii="Calibri" w:eastAsia="Times New Roman" w:hAnsi="Calibri" w:cs="Times New Roman"/>
                <w:b/>
                <w:bCs/>
                <w:color w:val="FFFFFF"/>
              </w:rPr>
            </w:pPr>
            <w:r w:rsidRPr="00A53F92">
              <w:rPr>
                <w:rFonts w:ascii="Calibri" w:eastAsia="Times New Roman" w:hAnsi="Calibri" w:cs="Times New Roman"/>
                <w:b/>
                <w:bCs/>
                <w:color w:val="FFFFFF"/>
              </w:rPr>
              <w:t>Measure</w:t>
            </w:r>
          </w:p>
        </w:tc>
        <w:tc>
          <w:tcPr>
            <w:tcW w:w="705" w:type="pct"/>
            <w:shd w:val="clear" w:color="000000" w:fill="005DAA"/>
            <w:vAlign w:val="center"/>
            <w:hideMark/>
          </w:tcPr>
          <w:p w:rsidR="00861939" w:rsidRPr="00A53F92" w:rsidRDefault="00861939" w:rsidP="000D1D86">
            <w:pPr>
              <w:keepNext/>
              <w:keepLines/>
              <w:spacing w:after="0"/>
              <w:jc w:val="center"/>
              <w:rPr>
                <w:rFonts w:ascii="Calibri" w:eastAsia="Times New Roman" w:hAnsi="Calibri" w:cs="Times New Roman"/>
                <w:b/>
                <w:bCs/>
                <w:color w:val="FFFFFF"/>
              </w:rPr>
            </w:pPr>
            <w:r w:rsidRPr="00A53F92">
              <w:rPr>
                <w:rFonts w:ascii="Calibri" w:eastAsia="Times New Roman" w:hAnsi="Calibri" w:cs="Times New Roman"/>
                <w:b/>
                <w:bCs/>
                <w:color w:val="FFFFFF"/>
              </w:rPr>
              <w:t>Total Participants</w:t>
            </w:r>
          </w:p>
        </w:tc>
        <w:tc>
          <w:tcPr>
            <w:tcW w:w="1034" w:type="pct"/>
            <w:shd w:val="clear" w:color="000000" w:fill="005DAA"/>
            <w:vAlign w:val="center"/>
            <w:hideMark/>
          </w:tcPr>
          <w:p w:rsidR="00861939" w:rsidRPr="001C3F4D" w:rsidRDefault="00861939" w:rsidP="00861939">
            <w:pPr>
              <w:keepNext/>
              <w:keepLines/>
              <w:spacing w:after="0"/>
              <w:jc w:val="center"/>
              <w:rPr>
                <w:rFonts w:ascii="Calibri" w:eastAsia="Times New Roman" w:hAnsi="Calibri" w:cs="Times New Roman"/>
                <w:b/>
                <w:bCs/>
                <w:color w:val="FFFFFF"/>
              </w:rPr>
            </w:pPr>
            <w:r w:rsidRPr="001C3F4D">
              <w:rPr>
                <w:rFonts w:ascii="Calibri" w:eastAsia="Times New Roman" w:hAnsi="Calibri" w:cs="Times New Roman"/>
                <w:b/>
                <w:bCs/>
                <w:i/>
                <w:color w:val="FFFFFF"/>
              </w:rPr>
              <w:t>Ex Ante</w:t>
            </w:r>
            <w:r w:rsidRPr="001C3F4D">
              <w:rPr>
                <w:rFonts w:ascii="Calibri" w:eastAsia="Times New Roman" w:hAnsi="Calibri" w:cs="Times New Roman"/>
                <w:b/>
                <w:bCs/>
                <w:color w:val="FFFFFF"/>
              </w:rPr>
              <w:t xml:space="preserve"> Household Savings (</w:t>
            </w:r>
            <w:r>
              <w:rPr>
                <w:rFonts w:ascii="Calibri" w:eastAsia="Times New Roman" w:hAnsi="Calibri" w:cs="Times New Roman"/>
                <w:b/>
                <w:bCs/>
                <w:color w:val="FFFFFF"/>
              </w:rPr>
              <w:t>CCF</w:t>
            </w:r>
            <w:r w:rsidRPr="001C3F4D">
              <w:rPr>
                <w:rFonts w:ascii="Calibri" w:eastAsia="Times New Roman" w:hAnsi="Calibri" w:cs="Times New Roman"/>
                <w:b/>
                <w:bCs/>
                <w:color w:val="FFFFFF"/>
              </w:rPr>
              <w:t>)</w:t>
            </w:r>
          </w:p>
        </w:tc>
        <w:tc>
          <w:tcPr>
            <w:tcW w:w="1054" w:type="pct"/>
            <w:shd w:val="clear" w:color="000000" w:fill="005DAA"/>
            <w:vAlign w:val="center"/>
            <w:hideMark/>
          </w:tcPr>
          <w:p w:rsidR="00861939" w:rsidRPr="001C3F4D" w:rsidRDefault="00861939" w:rsidP="00861939">
            <w:pPr>
              <w:keepNext/>
              <w:keepLines/>
              <w:spacing w:after="0"/>
              <w:jc w:val="center"/>
              <w:rPr>
                <w:rFonts w:ascii="Calibri" w:eastAsia="Times New Roman" w:hAnsi="Calibri" w:cs="Times New Roman"/>
                <w:b/>
                <w:bCs/>
                <w:color w:val="FFFFFF"/>
              </w:rPr>
            </w:pPr>
            <w:r w:rsidRPr="001C3F4D">
              <w:rPr>
                <w:rFonts w:ascii="Calibri" w:eastAsia="Times New Roman" w:hAnsi="Calibri" w:cs="Times New Roman"/>
                <w:b/>
                <w:bCs/>
                <w:color w:val="FFFFFF"/>
              </w:rPr>
              <w:t>Evaluated Gross Household Savings (</w:t>
            </w:r>
            <w:r>
              <w:rPr>
                <w:rFonts w:ascii="Calibri" w:eastAsia="Times New Roman" w:hAnsi="Calibri" w:cs="Times New Roman"/>
                <w:b/>
                <w:bCs/>
                <w:color w:val="FFFFFF"/>
              </w:rPr>
              <w:t>CCF</w:t>
            </w:r>
            <w:r w:rsidRPr="001C3F4D">
              <w:rPr>
                <w:rFonts w:ascii="Calibri" w:eastAsia="Times New Roman" w:hAnsi="Calibri" w:cs="Times New Roman"/>
                <w:b/>
                <w:bCs/>
                <w:color w:val="FFFFFF"/>
              </w:rPr>
              <w:t>)</w:t>
            </w:r>
          </w:p>
        </w:tc>
        <w:tc>
          <w:tcPr>
            <w:tcW w:w="788" w:type="pct"/>
            <w:shd w:val="clear" w:color="000000" w:fill="005DAA"/>
            <w:vAlign w:val="center"/>
            <w:hideMark/>
          </w:tcPr>
          <w:p w:rsidR="00861939" w:rsidRPr="00A53F92" w:rsidRDefault="00861939" w:rsidP="000D1D86">
            <w:pPr>
              <w:keepNext/>
              <w:keepLines/>
              <w:spacing w:after="0"/>
              <w:jc w:val="center"/>
              <w:rPr>
                <w:rFonts w:ascii="Calibri" w:eastAsia="Times New Roman" w:hAnsi="Calibri" w:cs="Times New Roman"/>
                <w:b/>
                <w:bCs/>
                <w:color w:val="FFFFFF"/>
              </w:rPr>
            </w:pPr>
            <w:r w:rsidRPr="00A53F92">
              <w:rPr>
                <w:rFonts w:ascii="Calibri" w:eastAsia="Times New Roman" w:hAnsi="Calibri" w:cs="Times New Roman"/>
                <w:b/>
                <w:bCs/>
                <w:color w:val="FFFFFF"/>
              </w:rPr>
              <w:t>Realization Rate</w:t>
            </w:r>
          </w:p>
        </w:tc>
      </w:tr>
      <w:tr w:rsidR="00861939" w:rsidRPr="00A53F92" w:rsidTr="00432FF0">
        <w:tc>
          <w:tcPr>
            <w:tcW w:w="1419" w:type="pct"/>
            <w:shd w:val="clear" w:color="auto" w:fill="auto"/>
            <w:vAlign w:val="center"/>
            <w:hideMark/>
          </w:tcPr>
          <w:p w:rsidR="00861939" w:rsidRPr="00A53F92" w:rsidRDefault="00861939" w:rsidP="000D1D86">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Heating System Replacement</w:t>
            </w:r>
          </w:p>
        </w:tc>
        <w:tc>
          <w:tcPr>
            <w:tcW w:w="705" w:type="pct"/>
            <w:shd w:val="clear" w:color="auto" w:fill="auto"/>
            <w:vAlign w:val="center"/>
            <w:hideMark/>
          </w:tcPr>
          <w:p w:rsidR="00861939" w:rsidRPr="00A53F92" w:rsidRDefault="00861939" w:rsidP="000D1D86">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14</w:t>
            </w:r>
          </w:p>
        </w:tc>
        <w:tc>
          <w:tcPr>
            <w:tcW w:w="1034" w:type="pct"/>
            <w:shd w:val="clear" w:color="auto" w:fill="auto"/>
            <w:vAlign w:val="center"/>
            <w:hideMark/>
          </w:tcPr>
          <w:p w:rsidR="00861939" w:rsidRPr="00A53F92" w:rsidRDefault="00861939" w:rsidP="000D1D86">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1,005</w:t>
            </w:r>
          </w:p>
        </w:tc>
        <w:tc>
          <w:tcPr>
            <w:tcW w:w="1054" w:type="pct"/>
            <w:shd w:val="clear" w:color="auto" w:fill="auto"/>
            <w:vAlign w:val="center"/>
            <w:hideMark/>
          </w:tcPr>
          <w:p w:rsidR="00861939" w:rsidRPr="00A53F92" w:rsidRDefault="00C12FC1" w:rsidP="000D1D86">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229</w:t>
            </w:r>
          </w:p>
        </w:tc>
        <w:tc>
          <w:tcPr>
            <w:tcW w:w="788" w:type="pct"/>
            <w:shd w:val="clear" w:color="auto" w:fill="auto"/>
            <w:vAlign w:val="center"/>
            <w:hideMark/>
          </w:tcPr>
          <w:p w:rsidR="00861939" w:rsidRPr="00A53F92" w:rsidRDefault="00C12FC1" w:rsidP="000D1D86">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23</w:t>
            </w:r>
            <w:r w:rsidR="00861939" w:rsidRPr="00A53F92">
              <w:rPr>
                <w:rFonts w:ascii="Calibri" w:eastAsia="Times New Roman" w:hAnsi="Calibri" w:cs="Times New Roman"/>
                <w:color w:val="000000"/>
                <w:sz w:val="20"/>
                <w:szCs w:val="20"/>
              </w:rPr>
              <w:t>%</w:t>
            </w:r>
          </w:p>
        </w:tc>
      </w:tr>
    </w:tbl>
    <w:p w:rsidR="00861939" w:rsidRDefault="00861939" w:rsidP="00432FF0">
      <w:pPr>
        <w:pStyle w:val="NormalAfterTablesandFigures"/>
      </w:pPr>
    </w:p>
    <w:p w:rsidR="00345CCC" w:rsidRDefault="00345CCC" w:rsidP="00864973">
      <w:r>
        <w:t xml:space="preserve">As the HES program targets early retirement for heating system replacements (offering participants an increased incentive) and utility data tracked baseline efficiencies, the Evaluation Team </w:t>
      </w:r>
      <w:r w:rsidR="00C12FC1">
        <w:t xml:space="preserve">calculated </w:t>
      </w:r>
      <w:r>
        <w:t xml:space="preserve">evaluated savings using the retrofit method outline in the PSD (allowing for early retirement savings). Only a few installations had baseline efficiencies that qualified for early retirement savings, while </w:t>
      </w:r>
      <w:r w:rsidRPr="0002685F">
        <w:rPr>
          <w:i/>
        </w:rPr>
        <w:t>ex ante</w:t>
      </w:r>
      <w:r>
        <w:t xml:space="preserve"> savings </w:t>
      </w:r>
      <w:r w:rsidR="0002685F">
        <w:t>were</w:t>
      </w:r>
      <w:r>
        <w:t xml:space="preserve"> based on a PSD</w:t>
      </w:r>
      <w:r w:rsidR="0046347F">
        <w:t>-</w:t>
      </w:r>
      <w:r>
        <w:t xml:space="preserve">deemed value that assumed early retirement for all installations; this </w:t>
      </w:r>
      <w:r w:rsidR="0002685F">
        <w:t xml:space="preserve">provided </w:t>
      </w:r>
      <w:r>
        <w:t>the key factor influencing the realization rate for heating system replacement measures.</w:t>
      </w:r>
    </w:p>
    <w:p w:rsidR="00D3164D" w:rsidRDefault="00D3164D" w:rsidP="002B3A3C">
      <w:pPr>
        <w:pStyle w:val="Heading4"/>
      </w:pPr>
      <w:r>
        <w:lastRenderedPageBreak/>
        <w:t>Appliances</w:t>
      </w:r>
      <w:r w:rsidR="006C0B1C">
        <w:t>: Clothes Washer</w:t>
      </w:r>
    </w:p>
    <w:p w:rsidR="006C0B1C" w:rsidRDefault="006C0B1C" w:rsidP="002B3A3C">
      <w:r>
        <w:t>The Evaluation Team used engineering algorithms to estimate gas savings for clothes washers.</w:t>
      </w:r>
      <w:r w:rsidR="00DE1457">
        <w:t xml:space="preserve"> </w:t>
      </w:r>
      <w:r>
        <w:t xml:space="preserve">Savings calculations were based on a combination of utility tracking data, the 2013 PSD, and other researched assumptions. </w:t>
      </w:r>
      <w:r w:rsidR="005C2163">
        <w:fldChar w:fldCharType="begin"/>
      </w:r>
      <w:r w:rsidR="00D547FD">
        <w:instrText xml:space="preserve"> REF _Ref388437511 \h </w:instrText>
      </w:r>
      <w:r w:rsidR="005C2163">
        <w:fldChar w:fldCharType="separate"/>
      </w:r>
      <w:r w:rsidR="00CD20CF">
        <w:t xml:space="preserve">Table </w:t>
      </w:r>
      <w:r w:rsidR="00CD20CF">
        <w:rPr>
          <w:noProof/>
        </w:rPr>
        <w:t>42</w:t>
      </w:r>
      <w:r w:rsidR="005C2163">
        <w:fldChar w:fldCharType="end"/>
      </w:r>
      <w:r>
        <w:t xml:space="preserve"> provides the distribution of participants, average </w:t>
      </w:r>
      <w:r w:rsidRPr="00CF5867">
        <w:rPr>
          <w:i/>
        </w:rPr>
        <w:t>ex ante</w:t>
      </w:r>
      <w:r>
        <w:t xml:space="preserve"> and evaluated savings, and </w:t>
      </w:r>
      <w:r w:rsidR="006C4441">
        <w:t xml:space="preserve">the </w:t>
      </w:r>
      <w:r>
        <w:t xml:space="preserve">realization </w:t>
      </w:r>
      <w:r w:rsidR="006C4441">
        <w:t xml:space="preserve">rate </w:t>
      </w:r>
      <w:r>
        <w:t>for HES appliance measures.</w:t>
      </w:r>
    </w:p>
    <w:p w:rsidR="003E3DA0" w:rsidRDefault="006C0B1C" w:rsidP="006C4441">
      <w:pPr>
        <w:pStyle w:val="Caption"/>
      </w:pPr>
      <w:bookmarkStart w:id="87" w:name="_Ref388437511"/>
      <w:r>
        <w:t xml:space="preserve">Table </w:t>
      </w:r>
      <w:r w:rsidR="002506E1">
        <w:fldChar w:fldCharType="begin"/>
      </w:r>
      <w:r w:rsidR="002506E1">
        <w:instrText xml:space="preserve"> SEQ Table \* ARABIC </w:instrText>
      </w:r>
      <w:r w:rsidR="002506E1">
        <w:fldChar w:fldCharType="separate"/>
      </w:r>
      <w:r w:rsidR="00CD20CF">
        <w:rPr>
          <w:noProof/>
        </w:rPr>
        <w:t>42</w:t>
      </w:r>
      <w:r w:rsidR="002506E1">
        <w:rPr>
          <w:noProof/>
        </w:rPr>
        <w:fldChar w:fldCharType="end"/>
      </w:r>
      <w:bookmarkEnd w:id="87"/>
      <w:r>
        <w:t xml:space="preserve">. </w:t>
      </w:r>
      <w:r w:rsidR="003E3DA0">
        <w:t xml:space="preserve">HES Gas Clothes Washer Distribution and Evaluated Savings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38"/>
        <w:gridCol w:w="1440"/>
        <w:gridCol w:w="2070"/>
        <w:gridCol w:w="2551"/>
        <w:gridCol w:w="1877"/>
      </w:tblGrid>
      <w:tr w:rsidR="006C0B1C" w:rsidRPr="0023220F" w:rsidTr="00D547FD">
        <w:tc>
          <w:tcPr>
            <w:tcW w:w="855" w:type="pct"/>
            <w:shd w:val="clear" w:color="000000" w:fill="005DAA"/>
            <w:vAlign w:val="center"/>
            <w:hideMark/>
          </w:tcPr>
          <w:p w:rsidR="006C0B1C" w:rsidRPr="0023220F" w:rsidRDefault="006C0B1C" w:rsidP="002B3A3C">
            <w:pPr>
              <w:spacing w:after="0"/>
              <w:jc w:val="center"/>
              <w:rPr>
                <w:rFonts w:ascii="Calibri" w:eastAsia="Times New Roman" w:hAnsi="Calibri" w:cs="Times New Roman"/>
                <w:b/>
                <w:bCs/>
                <w:color w:val="FFFFFF"/>
              </w:rPr>
            </w:pPr>
            <w:r w:rsidRPr="0023220F">
              <w:rPr>
                <w:rFonts w:ascii="Calibri" w:eastAsia="Times New Roman" w:hAnsi="Calibri" w:cs="Times New Roman"/>
                <w:b/>
                <w:bCs/>
                <w:color w:val="FFFFFF"/>
              </w:rPr>
              <w:t>Measure</w:t>
            </w:r>
          </w:p>
        </w:tc>
        <w:tc>
          <w:tcPr>
            <w:tcW w:w="752" w:type="pct"/>
            <w:shd w:val="clear" w:color="000000" w:fill="005DAA"/>
            <w:vAlign w:val="center"/>
            <w:hideMark/>
          </w:tcPr>
          <w:p w:rsidR="006C0B1C" w:rsidRPr="0023220F" w:rsidRDefault="006C0B1C" w:rsidP="002B3A3C">
            <w:pPr>
              <w:spacing w:after="0"/>
              <w:jc w:val="center"/>
              <w:rPr>
                <w:rFonts w:ascii="Calibri" w:eastAsia="Times New Roman" w:hAnsi="Calibri" w:cs="Times New Roman"/>
                <w:b/>
                <w:bCs/>
                <w:color w:val="FFFFFF"/>
              </w:rPr>
            </w:pPr>
            <w:r w:rsidRPr="0023220F">
              <w:rPr>
                <w:rFonts w:ascii="Calibri" w:eastAsia="Times New Roman" w:hAnsi="Calibri" w:cs="Times New Roman"/>
                <w:b/>
                <w:bCs/>
                <w:color w:val="FFFFFF"/>
              </w:rPr>
              <w:t>Total Participants</w:t>
            </w:r>
          </w:p>
        </w:tc>
        <w:tc>
          <w:tcPr>
            <w:tcW w:w="1081" w:type="pct"/>
            <w:shd w:val="clear" w:color="000000" w:fill="005DAA"/>
            <w:vAlign w:val="center"/>
            <w:hideMark/>
          </w:tcPr>
          <w:p w:rsidR="006C0B1C" w:rsidRPr="0023220F" w:rsidRDefault="00EC4163" w:rsidP="002B3A3C">
            <w:pPr>
              <w:spacing w:after="0"/>
              <w:jc w:val="center"/>
              <w:rPr>
                <w:rFonts w:ascii="Calibri" w:eastAsia="Times New Roman" w:hAnsi="Calibri" w:cs="Times New Roman"/>
                <w:b/>
                <w:bCs/>
                <w:color w:val="FFFFFF"/>
              </w:rPr>
            </w:pPr>
            <w:r w:rsidRPr="006C4441">
              <w:rPr>
                <w:rFonts w:ascii="Calibri" w:eastAsia="Times New Roman" w:hAnsi="Calibri" w:cs="Times New Roman"/>
                <w:b/>
                <w:bCs/>
                <w:i/>
                <w:color w:val="FFFFFF"/>
              </w:rPr>
              <w:t>Ex Ante</w:t>
            </w:r>
            <w:r w:rsidR="006C0B1C" w:rsidRPr="0023220F">
              <w:rPr>
                <w:rFonts w:ascii="Calibri" w:eastAsia="Times New Roman" w:hAnsi="Calibri" w:cs="Times New Roman"/>
                <w:b/>
                <w:bCs/>
                <w:color w:val="FFFFFF"/>
              </w:rPr>
              <w:t xml:space="preserve"> Household Savings (CCF)</w:t>
            </w:r>
          </w:p>
        </w:tc>
        <w:tc>
          <w:tcPr>
            <w:tcW w:w="1332" w:type="pct"/>
            <w:shd w:val="clear" w:color="000000" w:fill="005DAA"/>
            <w:vAlign w:val="center"/>
            <w:hideMark/>
          </w:tcPr>
          <w:p w:rsidR="006C0B1C" w:rsidRPr="0023220F" w:rsidRDefault="001C3F4D" w:rsidP="002B3A3C">
            <w:pPr>
              <w:spacing w:after="0"/>
              <w:jc w:val="center"/>
              <w:rPr>
                <w:rFonts w:ascii="Calibri" w:eastAsia="Times New Roman" w:hAnsi="Calibri" w:cs="Times New Roman"/>
                <w:b/>
                <w:bCs/>
                <w:color w:val="FFFFFF"/>
              </w:rPr>
            </w:pPr>
            <w:r w:rsidRPr="001C3F4D">
              <w:rPr>
                <w:rFonts w:ascii="Calibri" w:eastAsia="Times New Roman" w:hAnsi="Calibri" w:cs="Times New Roman"/>
                <w:b/>
                <w:bCs/>
                <w:color w:val="FFFFFF"/>
              </w:rPr>
              <w:t>Evaluated Gross</w:t>
            </w:r>
            <w:r>
              <w:rPr>
                <w:rFonts w:ascii="Calibri" w:eastAsia="Times New Roman" w:hAnsi="Calibri" w:cs="Times New Roman"/>
                <w:b/>
                <w:bCs/>
                <w:i/>
                <w:color w:val="FFFFFF"/>
              </w:rPr>
              <w:t xml:space="preserve"> </w:t>
            </w:r>
            <w:r w:rsidR="006C0B1C" w:rsidRPr="0023220F">
              <w:rPr>
                <w:rFonts w:ascii="Calibri" w:eastAsia="Times New Roman" w:hAnsi="Calibri" w:cs="Times New Roman"/>
                <w:b/>
                <w:bCs/>
                <w:color w:val="FFFFFF"/>
              </w:rPr>
              <w:t>Household Savings (CCF)</w:t>
            </w:r>
          </w:p>
        </w:tc>
        <w:tc>
          <w:tcPr>
            <w:tcW w:w="980" w:type="pct"/>
            <w:shd w:val="clear" w:color="000000" w:fill="005DAA"/>
            <w:vAlign w:val="center"/>
            <w:hideMark/>
          </w:tcPr>
          <w:p w:rsidR="006C0B1C" w:rsidRPr="0023220F" w:rsidRDefault="006C0B1C" w:rsidP="002B3A3C">
            <w:pPr>
              <w:spacing w:after="0"/>
              <w:jc w:val="center"/>
              <w:rPr>
                <w:rFonts w:ascii="Calibri" w:eastAsia="Times New Roman" w:hAnsi="Calibri" w:cs="Times New Roman"/>
                <w:b/>
                <w:bCs/>
                <w:color w:val="FFFFFF"/>
              </w:rPr>
            </w:pPr>
            <w:r w:rsidRPr="0023220F">
              <w:rPr>
                <w:rFonts w:ascii="Calibri" w:eastAsia="Times New Roman" w:hAnsi="Calibri" w:cs="Times New Roman"/>
                <w:b/>
                <w:bCs/>
                <w:color w:val="FFFFFF"/>
              </w:rPr>
              <w:t>Realization Rate</w:t>
            </w:r>
          </w:p>
        </w:tc>
      </w:tr>
      <w:tr w:rsidR="006C0B1C" w:rsidRPr="0023220F" w:rsidTr="00D547FD">
        <w:tc>
          <w:tcPr>
            <w:tcW w:w="855" w:type="pct"/>
            <w:shd w:val="clear" w:color="auto" w:fill="auto"/>
            <w:vAlign w:val="center"/>
            <w:hideMark/>
          </w:tcPr>
          <w:p w:rsidR="006C0B1C" w:rsidRPr="0023220F" w:rsidRDefault="006C0B1C" w:rsidP="002B3A3C">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Clothes Washer</w:t>
            </w:r>
          </w:p>
        </w:tc>
        <w:tc>
          <w:tcPr>
            <w:tcW w:w="752" w:type="pct"/>
            <w:shd w:val="clear" w:color="auto" w:fill="auto"/>
            <w:vAlign w:val="center"/>
            <w:hideMark/>
          </w:tcPr>
          <w:p w:rsidR="006C0B1C" w:rsidRPr="0023220F" w:rsidRDefault="006C0B1C" w:rsidP="002B3A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61</w:t>
            </w:r>
          </w:p>
        </w:tc>
        <w:tc>
          <w:tcPr>
            <w:tcW w:w="1081" w:type="pct"/>
            <w:shd w:val="clear" w:color="auto" w:fill="auto"/>
            <w:vAlign w:val="center"/>
            <w:hideMark/>
          </w:tcPr>
          <w:p w:rsidR="006C0B1C" w:rsidRPr="0023220F" w:rsidRDefault="001B346E" w:rsidP="002B3A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20</w:t>
            </w:r>
          </w:p>
        </w:tc>
        <w:tc>
          <w:tcPr>
            <w:tcW w:w="1332" w:type="pct"/>
            <w:shd w:val="clear" w:color="auto" w:fill="auto"/>
            <w:vAlign w:val="center"/>
            <w:hideMark/>
          </w:tcPr>
          <w:p w:rsidR="006C0B1C" w:rsidRPr="0023220F" w:rsidRDefault="001B346E" w:rsidP="002B3A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1.54</w:t>
            </w:r>
          </w:p>
        </w:tc>
        <w:tc>
          <w:tcPr>
            <w:tcW w:w="980" w:type="pct"/>
            <w:shd w:val="clear" w:color="auto" w:fill="auto"/>
            <w:vAlign w:val="center"/>
            <w:hideMark/>
          </w:tcPr>
          <w:p w:rsidR="006C0B1C" w:rsidRPr="0023220F" w:rsidRDefault="001B346E" w:rsidP="002B3A3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w:t>
            </w:r>
          </w:p>
        </w:tc>
      </w:tr>
    </w:tbl>
    <w:p w:rsidR="002B3A3C" w:rsidRDefault="002B3A3C" w:rsidP="002B3A3C">
      <w:pPr>
        <w:pStyle w:val="NormalAfterTablesandFigures"/>
      </w:pPr>
    </w:p>
    <w:p w:rsidR="006D032D" w:rsidRDefault="006D032D" w:rsidP="002B3A3C">
      <w:r>
        <w:t xml:space="preserve">Details regarding the assumption and calculations used for evaluating clothes washers are similar to those discussed in the </w:t>
      </w:r>
      <w:r w:rsidR="005C2163">
        <w:fldChar w:fldCharType="begin"/>
      </w:r>
      <w:r>
        <w:instrText xml:space="preserve"> REF _Ref389124294 \h </w:instrText>
      </w:r>
      <w:r w:rsidR="005C2163">
        <w:fldChar w:fldCharType="separate"/>
      </w:r>
      <w:r w:rsidR="00CD20CF">
        <w:t>HES Electric Savings</w:t>
      </w:r>
      <w:r w:rsidR="005C2163">
        <w:fldChar w:fldCharType="end"/>
      </w:r>
      <w:r>
        <w:t xml:space="preserve"> section above. As discussed, the primary factor driving the </w:t>
      </w:r>
      <w:r w:rsidR="00B20586">
        <w:t>clothes washer realization rate was that evaluated savings used the lost opportunity savings calculation approach (assuming a standard baseline) as opposed to calculating savings based on early retirement (assuming an existing baseline).</w:t>
      </w:r>
    </w:p>
    <w:p w:rsidR="006C0178" w:rsidRDefault="0085314A" w:rsidP="006C0178">
      <w:pPr>
        <w:pStyle w:val="Heading3"/>
      </w:pPr>
      <w:r>
        <w:t xml:space="preserve">HES </w:t>
      </w:r>
      <w:r w:rsidR="00654B4F">
        <w:t>Oil/Propane</w:t>
      </w:r>
      <w:r w:rsidR="006C0178">
        <w:t xml:space="preserve"> Savings</w:t>
      </w:r>
    </w:p>
    <w:p w:rsidR="008118B7" w:rsidRDefault="005C2163" w:rsidP="008118B7">
      <w:r>
        <w:fldChar w:fldCharType="begin"/>
      </w:r>
      <w:r w:rsidR="00365D20">
        <w:instrText xml:space="preserve"> REF _Ref388797514 \h </w:instrText>
      </w:r>
      <w:r>
        <w:fldChar w:fldCharType="separate"/>
      </w:r>
      <w:r w:rsidR="00CD20CF">
        <w:t xml:space="preserve">Table </w:t>
      </w:r>
      <w:r w:rsidR="00CD20CF">
        <w:rPr>
          <w:noProof/>
        </w:rPr>
        <w:t>43</w:t>
      </w:r>
      <w:r>
        <w:fldChar w:fldCharType="end"/>
      </w:r>
      <w:r w:rsidR="00365D20">
        <w:t xml:space="preserve"> presents e</w:t>
      </w:r>
      <w:r w:rsidR="008118B7">
        <w:t xml:space="preserve">stimates for oil and propane savings associated with </w:t>
      </w:r>
      <w:r w:rsidR="00365D20">
        <w:t xml:space="preserve">shell, duct sealing, and </w:t>
      </w:r>
      <w:r w:rsidR="008118B7">
        <w:t>DHW measures</w:t>
      </w:r>
      <w:r w:rsidR="00365D20">
        <w:t xml:space="preserve">. As discussed in the Methodology, evaluated gross savings derived through the gas analyses </w:t>
      </w:r>
      <w:r w:rsidR="00DD172C">
        <w:t xml:space="preserve">were </w:t>
      </w:r>
      <w:r w:rsidR="00365D20">
        <w:t>scaled using conversion factors consistent with the PSD to estimate oil and propane impacts by measure</w:t>
      </w:r>
      <w:r w:rsidR="008118B7">
        <w:t xml:space="preserve">. </w:t>
      </w:r>
      <w:r w:rsidR="00DD172C">
        <w:t>The previous section discusses the a</w:t>
      </w:r>
      <w:r w:rsidR="009E6920">
        <w:t xml:space="preserve">nalytical methods used to calculate the gas savings specific to each measure. </w:t>
      </w:r>
    </w:p>
    <w:p w:rsidR="008118B7" w:rsidRDefault="008118B7" w:rsidP="008118B7">
      <w:pPr>
        <w:pStyle w:val="Caption"/>
      </w:pPr>
      <w:bookmarkStart w:id="88" w:name="_Ref388797514"/>
      <w:r>
        <w:t xml:space="preserve">Table </w:t>
      </w:r>
      <w:r w:rsidR="002506E1">
        <w:fldChar w:fldCharType="begin"/>
      </w:r>
      <w:r w:rsidR="002506E1">
        <w:instrText xml:space="preserve"> SEQ Table \* ARABIC </w:instrText>
      </w:r>
      <w:r w:rsidR="002506E1">
        <w:fldChar w:fldCharType="separate"/>
      </w:r>
      <w:r w:rsidR="00CD20CF">
        <w:rPr>
          <w:noProof/>
        </w:rPr>
        <w:t>43</w:t>
      </w:r>
      <w:r w:rsidR="002506E1">
        <w:rPr>
          <w:noProof/>
        </w:rPr>
        <w:fldChar w:fldCharType="end"/>
      </w:r>
      <w:bookmarkEnd w:id="88"/>
      <w:r>
        <w:t xml:space="preserve">. </w:t>
      </w:r>
      <w:r w:rsidR="001E74D7">
        <w:t>HES Oil and Propane—Evaluated Savings</w:t>
      </w:r>
      <w:r w:rsidR="001E74D7" w:rsidRPr="007B0830">
        <w:t xml:space="preserve"> </w:t>
      </w:r>
      <w:r w:rsidR="00B20586">
        <w:t xml:space="preserve">for Shell, </w:t>
      </w:r>
      <w:r w:rsidR="001E74D7">
        <w:t>Duct</w:t>
      </w:r>
      <w:r w:rsidR="00B20586">
        <w:t>, and DHW</w:t>
      </w:r>
      <w:r w:rsidR="001E74D7">
        <w:t xml:space="preserve"> Measures</w:t>
      </w:r>
    </w:p>
    <w:tbl>
      <w:tblPr>
        <w:tblW w:w="5000" w:type="pct"/>
        <w:tblLook w:val="04A0" w:firstRow="1" w:lastRow="0" w:firstColumn="1" w:lastColumn="0" w:noHBand="0" w:noVBand="1"/>
      </w:tblPr>
      <w:tblGrid>
        <w:gridCol w:w="1171"/>
        <w:gridCol w:w="1550"/>
        <w:gridCol w:w="1286"/>
        <w:gridCol w:w="1497"/>
        <w:gridCol w:w="1317"/>
        <w:gridCol w:w="1432"/>
        <w:gridCol w:w="1323"/>
      </w:tblGrid>
      <w:tr w:rsidR="001B0534" w:rsidRPr="00365D20" w:rsidTr="002F45ED">
        <w:tc>
          <w:tcPr>
            <w:tcW w:w="603" w:type="pct"/>
            <w:vMerge w:val="restar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365D20" w:rsidRPr="00365D20" w:rsidRDefault="00365D20" w:rsidP="002F45ED">
            <w:pPr>
              <w:spacing w:after="0"/>
              <w:jc w:val="center"/>
              <w:rPr>
                <w:rFonts w:ascii="Calibri" w:eastAsia="Times New Roman" w:hAnsi="Calibri" w:cs="Times New Roman"/>
                <w:b/>
                <w:bCs/>
                <w:color w:val="FFFFFF"/>
              </w:rPr>
            </w:pPr>
            <w:r w:rsidRPr="00365D20">
              <w:rPr>
                <w:rFonts w:ascii="Calibri" w:eastAsia="Times New Roman" w:hAnsi="Calibri" w:cs="Times New Roman"/>
                <w:b/>
                <w:bCs/>
                <w:color w:val="FFFFFF"/>
              </w:rPr>
              <w:t>Category</w:t>
            </w:r>
          </w:p>
        </w:tc>
        <w:tc>
          <w:tcPr>
            <w:tcW w:w="818" w:type="pct"/>
            <w:vMerge w:val="restar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365D20" w:rsidRPr="00365D20" w:rsidRDefault="00365D20" w:rsidP="002F45ED">
            <w:pPr>
              <w:spacing w:after="0"/>
              <w:jc w:val="center"/>
              <w:rPr>
                <w:rFonts w:ascii="Calibri" w:eastAsia="Times New Roman" w:hAnsi="Calibri" w:cs="Times New Roman"/>
                <w:b/>
                <w:bCs/>
                <w:color w:val="FFFFFF"/>
              </w:rPr>
            </w:pPr>
            <w:r w:rsidRPr="00365D20">
              <w:rPr>
                <w:rFonts w:ascii="Calibri" w:eastAsia="Times New Roman" w:hAnsi="Calibri" w:cs="Times New Roman"/>
                <w:b/>
                <w:bCs/>
                <w:color w:val="FFFFFF"/>
              </w:rPr>
              <w:t>Measures</w:t>
            </w:r>
          </w:p>
        </w:tc>
        <w:tc>
          <w:tcPr>
            <w:tcW w:w="667" w:type="pct"/>
            <w:vMerge w:val="restar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365D20" w:rsidRPr="00365D20" w:rsidRDefault="00365D20" w:rsidP="002F45ED">
            <w:pPr>
              <w:spacing w:after="0"/>
              <w:jc w:val="center"/>
              <w:rPr>
                <w:rFonts w:ascii="Calibri" w:eastAsia="Times New Roman" w:hAnsi="Calibri" w:cs="Times New Roman"/>
                <w:b/>
                <w:bCs/>
                <w:color w:val="FFFFFF"/>
              </w:rPr>
            </w:pPr>
            <w:r w:rsidRPr="00365D20">
              <w:rPr>
                <w:rFonts w:ascii="Calibri" w:eastAsia="Times New Roman" w:hAnsi="Calibri" w:cs="Times New Roman"/>
                <w:b/>
                <w:bCs/>
                <w:color w:val="FFFFFF"/>
              </w:rPr>
              <w:t>Average Evaluated Gross Savings (CCF)</w:t>
            </w:r>
          </w:p>
        </w:tc>
        <w:tc>
          <w:tcPr>
            <w:tcW w:w="1473" w:type="pct"/>
            <w:gridSpan w:val="2"/>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365D20" w:rsidRPr="00365D20" w:rsidRDefault="00365D20" w:rsidP="002F45ED">
            <w:pPr>
              <w:spacing w:after="0"/>
              <w:jc w:val="center"/>
              <w:rPr>
                <w:rFonts w:ascii="Calibri" w:eastAsia="Times New Roman" w:hAnsi="Calibri" w:cs="Times New Roman"/>
                <w:b/>
                <w:bCs/>
                <w:color w:val="FFFFFF"/>
              </w:rPr>
            </w:pPr>
            <w:r w:rsidRPr="00365D20">
              <w:rPr>
                <w:rFonts w:ascii="Calibri" w:eastAsia="Times New Roman" w:hAnsi="Calibri" w:cs="Times New Roman"/>
                <w:b/>
                <w:bCs/>
                <w:color w:val="FFFFFF"/>
              </w:rPr>
              <w:t>Oil</w:t>
            </w:r>
          </w:p>
        </w:tc>
        <w:tc>
          <w:tcPr>
            <w:tcW w:w="1439" w:type="pct"/>
            <w:gridSpan w:val="2"/>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365D20" w:rsidRPr="00365D20" w:rsidRDefault="00365D20" w:rsidP="002F45ED">
            <w:pPr>
              <w:spacing w:after="0"/>
              <w:jc w:val="center"/>
              <w:rPr>
                <w:rFonts w:ascii="Calibri" w:eastAsia="Times New Roman" w:hAnsi="Calibri" w:cs="Times New Roman"/>
                <w:b/>
                <w:bCs/>
                <w:color w:val="FFFFFF"/>
              </w:rPr>
            </w:pPr>
            <w:r w:rsidRPr="00365D20">
              <w:rPr>
                <w:rFonts w:ascii="Calibri" w:eastAsia="Times New Roman" w:hAnsi="Calibri" w:cs="Times New Roman"/>
                <w:b/>
                <w:bCs/>
                <w:color w:val="FFFFFF"/>
              </w:rPr>
              <w:t>Propane</w:t>
            </w:r>
          </w:p>
        </w:tc>
      </w:tr>
      <w:tr w:rsidR="001B0534" w:rsidRPr="00365D20" w:rsidTr="002F45ED">
        <w:tc>
          <w:tcPr>
            <w:tcW w:w="603" w:type="pct"/>
            <w:vMerge/>
            <w:tcBorders>
              <w:top w:val="single" w:sz="4" w:space="0" w:color="BFBFBF"/>
              <w:left w:val="single" w:sz="4" w:space="0" w:color="BFBFBF"/>
              <w:bottom w:val="single" w:sz="4" w:space="0" w:color="BFBFBF"/>
              <w:right w:val="single" w:sz="4" w:space="0" w:color="BFBFBF"/>
            </w:tcBorders>
            <w:vAlign w:val="center"/>
            <w:hideMark/>
          </w:tcPr>
          <w:p w:rsidR="00365D20" w:rsidRPr="00365D20" w:rsidRDefault="00365D20" w:rsidP="002F45ED">
            <w:pPr>
              <w:spacing w:after="0"/>
              <w:jc w:val="center"/>
              <w:rPr>
                <w:rFonts w:ascii="Calibri" w:eastAsia="Times New Roman" w:hAnsi="Calibri" w:cs="Times New Roman"/>
                <w:b/>
                <w:bCs/>
                <w:color w:val="FFFFFF"/>
              </w:rPr>
            </w:pPr>
          </w:p>
        </w:tc>
        <w:tc>
          <w:tcPr>
            <w:tcW w:w="818" w:type="pct"/>
            <w:vMerge/>
            <w:tcBorders>
              <w:top w:val="single" w:sz="4" w:space="0" w:color="BFBFBF"/>
              <w:left w:val="single" w:sz="4" w:space="0" w:color="BFBFBF"/>
              <w:bottom w:val="single" w:sz="4" w:space="0" w:color="BFBFBF"/>
              <w:right w:val="single" w:sz="4" w:space="0" w:color="BFBFBF"/>
            </w:tcBorders>
            <w:vAlign w:val="center"/>
            <w:hideMark/>
          </w:tcPr>
          <w:p w:rsidR="00365D20" w:rsidRPr="00365D20" w:rsidRDefault="00365D20" w:rsidP="002F45ED">
            <w:pPr>
              <w:spacing w:after="0"/>
              <w:jc w:val="center"/>
              <w:rPr>
                <w:rFonts w:ascii="Calibri" w:eastAsia="Times New Roman" w:hAnsi="Calibri" w:cs="Times New Roman"/>
                <w:b/>
                <w:bCs/>
                <w:color w:val="FFFFFF"/>
              </w:rPr>
            </w:pPr>
          </w:p>
        </w:tc>
        <w:tc>
          <w:tcPr>
            <w:tcW w:w="667" w:type="pct"/>
            <w:vMerge/>
            <w:tcBorders>
              <w:top w:val="single" w:sz="4" w:space="0" w:color="BFBFBF"/>
              <w:left w:val="single" w:sz="4" w:space="0" w:color="BFBFBF"/>
              <w:bottom w:val="single" w:sz="4" w:space="0" w:color="BFBFBF"/>
              <w:right w:val="single" w:sz="4" w:space="0" w:color="BFBFBF"/>
            </w:tcBorders>
            <w:vAlign w:val="center"/>
            <w:hideMark/>
          </w:tcPr>
          <w:p w:rsidR="00365D20" w:rsidRPr="00365D20" w:rsidRDefault="00365D20" w:rsidP="002F45ED">
            <w:pPr>
              <w:spacing w:after="0"/>
              <w:jc w:val="center"/>
              <w:rPr>
                <w:rFonts w:ascii="Calibri" w:eastAsia="Times New Roman" w:hAnsi="Calibri" w:cs="Times New Roman"/>
                <w:b/>
                <w:bCs/>
                <w:color w:val="FFFFFF"/>
              </w:rPr>
            </w:pPr>
          </w:p>
        </w:tc>
        <w:tc>
          <w:tcPr>
            <w:tcW w:w="788"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365D20" w:rsidRPr="00365D20" w:rsidRDefault="00365D20" w:rsidP="002F45ED">
            <w:pPr>
              <w:spacing w:after="0"/>
              <w:jc w:val="center"/>
              <w:rPr>
                <w:rFonts w:ascii="Calibri" w:eastAsia="Times New Roman" w:hAnsi="Calibri" w:cs="Times New Roman"/>
                <w:b/>
                <w:bCs/>
                <w:color w:val="FFFFFF"/>
              </w:rPr>
            </w:pPr>
            <w:r w:rsidRPr="00365D20">
              <w:rPr>
                <w:rFonts w:ascii="Calibri" w:eastAsia="Times New Roman" w:hAnsi="Calibri" w:cs="Times New Roman"/>
                <w:b/>
                <w:bCs/>
                <w:color w:val="FFFFFF"/>
              </w:rPr>
              <w:t xml:space="preserve">Conversion Factor </w:t>
            </w:r>
            <w:r w:rsidRPr="00365D20">
              <w:rPr>
                <w:rFonts w:ascii="Calibri" w:eastAsia="Times New Roman" w:hAnsi="Calibri" w:cs="Times New Roman"/>
                <w:b/>
                <w:bCs/>
                <w:color w:val="FFFFFF"/>
              </w:rPr>
              <w:br/>
              <w:t>(gallons/CCF)</w:t>
            </w:r>
          </w:p>
        </w:tc>
        <w:tc>
          <w:tcPr>
            <w:tcW w:w="685"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365D20" w:rsidRPr="00365D20" w:rsidRDefault="00365D20" w:rsidP="002F45ED">
            <w:pPr>
              <w:spacing w:after="0"/>
              <w:jc w:val="center"/>
              <w:rPr>
                <w:rFonts w:ascii="Calibri" w:eastAsia="Times New Roman" w:hAnsi="Calibri" w:cs="Times New Roman"/>
                <w:b/>
                <w:bCs/>
                <w:color w:val="FFFFFF"/>
              </w:rPr>
            </w:pPr>
            <w:r w:rsidRPr="00365D20">
              <w:rPr>
                <w:rFonts w:ascii="Calibri" w:eastAsia="Times New Roman" w:hAnsi="Calibri" w:cs="Times New Roman"/>
                <w:b/>
                <w:bCs/>
                <w:color w:val="FFFFFF"/>
              </w:rPr>
              <w:t>Oil Savings per Participant (Gallons)</w:t>
            </w:r>
            <w:r w:rsidR="001B0534">
              <w:rPr>
                <w:rFonts w:ascii="Calibri" w:eastAsia="Times New Roman" w:hAnsi="Calibri" w:cs="Times New Roman"/>
                <w:b/>
                <w:bCs/>
                <w:color w:val="FFFFFF"/>
              </w:rPr>
              <w:t>**</w:t>
            </w:r>
          </w:p>
        </w:tc>
        <w:tc>
          <w:tcPr>
            <w:tcW w:w="751"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365D20" w:rsidRPr="00365D20" w:rsidRDefault="00365D20" w:rsidP="002F45ED">
            <w:pPr>
              <w:spacing w:after="0"/>
              <w:jc w:val="center"/>
              <w:rPr>
                <w:rFonts w:ascii="Calibri" w:eastAsia="Times New Roman" w:hAnsi="Calibri" w:cs="Times New Roman"/>
                <w:b/>
                <w:bCs/>
                <w:color w:val="FFFFFF"/>
              </w:rPr>
            </w:pPr>
            <w:r w:rsidRPr="00365D20">
              <w:rPr>
                <w:rFonts w:ascii="Calibri" w:eastAsia="Times New Roman" w:hAnsi="Calibri" w:cs="Times New Roman"/>
                <w:b/>
                <w:bCs/>
                <w:color w:val="FFFFFF"/>
              </w:rPr>
              <w:t xml:space="preserve">Conversion Factor </w:t>
            </w:r>
            <w:r w:rsidRPr="00365D20">
              <w:rPr>
                <w:rFonts w:ascii="Calibri" w:eastAsia="Times New Roman" w:hAnsi="Calibri" w:cs="Times New Roman"/>
                <w:b/>
                <w:bCs/>
                <w:color w:val="FFFFFF"/>
              </w:rPr>
              <w:br/>
              <w:t>(gallons/CCF)</w:t>
            </w:r>
          </w:p>
        </w:tc>
        <w:tc>
          <w:tcPr>
            <w:tcW w:w="688"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365D20" w:rsidRPr="00365D20" w:rsidRDefault="00365D20" w:rsidP="002F45ED">
            <w:pPr>
              <w:spacing w:after="0"/>
              <w:jc w:val="center"/>
              <w:rPr>
                <w:rFonts w:ascii="Calibri" w:eastAsia="Times New Roman" w:hAnsi="Calibri" w:cs="Times New Roman"/>
                <w:b/>
                <w:bCs/>
                <w:color w:val="FFFFFF"/>
              </w:rPr>
            </w:pPr>
            <w:r w:rsidRPr="00365D20">
              <w:rPr>
                <w:rFonts w:ascii="Calibri" w:eastAsia="Times New Roman" w:hAnsi="Calibri" w:cs="Times New Roman"/>
                <w:b/>
                <w:bCs/>
                <w:color w:val="FFFFFF"/>
              </w:rPr>
              <w:t>Propane Savings per Participant (Gallons)</w:t>
            </w:r>
          </w:p>
        </w:tc>
      </w:tr>
      <w:tr w:rsidR="001B0534" w:rsidRPr="00365D20" w:rsidTr="00432FF0">
        <w:tc>
          <w:tcPr>
            <w:tcW w:w="603" w:type="pct"/>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65D20" w:rsidRPr="009D464E" w:rsidRDefault="00365D20" w:rsidP="00432FF0">
            <w:pPr>
              <w:spacing w:after="0"/>
              <w:rPr>
                <w:rFonts w:ascii="Calibri" w:eastAsia="Times New Roman" w:hAnsi="Calibri" w:cs="Times New Roman"/>
                <w:color w:val="000000"/>
                <w:sz w:val="20"/>
                <w:szCs w:val="20"/>
              </w:rPr>
            </w:pPr>
            <w:r w:rsidRPr="009D464E">
              <w:rPr>
                <w:rFonts w:ascii="Calibri" w:eastAsia="Times New Roman" w:hAnsi="Calibri" w:cs="Times New Roman"/>
                <w:color w:val="000000"/>
                <w:sz w:val="20"/>
                <w:szCs w:val="20"/>
              </w:rPr>
              <w:t>Shell and Duct*</w:t>
            </w:r>
          </w:p>
        </w:tc>
        <w:tc>
          <w:tcPr>
            <w:tcW w:w="81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65D20" w:rsidRPr="009D464E" w:rsidRDefault="00365D20" w:rsidP="00432FF0">
            <w:pPr>
              <w:spacing w:after="0"/>
              <w:rPr>
                <w:rFonts w:ascii="Calibri" w:eastAsia="Times New Roman" w:hAnsi="Calibri" w:cs="Times New Roman"/>
                <w:color w:val="000000"/>
                <w:sz w:val="20"/>
                <w:szCs w:val="20"/>
              </w:rPr>
            </w:pPr>
            <w:r w:rsidRPr="009D464E">
              <w:rPr>
                <w:rFonts w:ascii="Calibri" w:eastAsia="Times New Roman" w:hAnsi="Calibri" w:cs="Times New Roman"/>
                <w:color w:val="000000"/>
                <w:sz w:val="20"/>
                <w:szCs w:val="20"/>
              </w:rPr>
              <w:t>Air Sealing</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65D20" w:rsidRPr="009D464E" w:rsidRDefault="00B20586" w:rsidP="00432FF0">
            <w:pPr>
              <w:spacing w:after="0"/>
              <w:jc w:val="right"/>
              <w:rPr>
                <w:rFonts w:ascii="Calibri" w:eastAsia="Times New Roman" w:hAnsi="Calibri" w:cs="Times New Roman"/>
                <w:color w:val="000000"/>
                <w:sz w:val="20"/>
                <w:szCs w:val="20"/>
              </w:rPr>
            </w:pPr>
            <w:r w:rsidRPr="009D464E">
              <w:rPr>
                <w:rFonts w:ascii="Calibri" w:eastAsia="Times New Roman" w:hAnsi="Calibri" w:cs="Times New Roman"/>
                <w:color w:val="000000"/>
                <w:sz w:val="20"/>
                <w:szCs w:val="20"/>
              </w:rPr>
              <w:t>57</w:t>
            </w:r>
          </w:p>
        </w:tc>
        <w:tc>
          <w:tcPr>
            <w:tcW w:w="788" w:type="pct"/>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65D20" w:rsidRPr="009D464E" w:rsidRDefault="00365D20" w:rsidP="00432FF0">
            <w:pPr>
              <w:spacing w:after="0"/>
              <w:jc w:val="center"/>
              <w:rPr>
                <w:rFonts w:ascii="Calibri" w:eastAsia="Times New Roman" w:hAnsi="Calibri" w:cs="Times New Roman"/>
                <w:color w:val="000000"/>
                <w:sz w:val="20"/>
                <w:szCs w:val="20"/>
              </w:rPr>
            </w:pPr>
            <w:r w:rsidRPr="009D464E">
              <w:rPr>
                <w:rFonts w:ascii="Calibri" w:eastAsia="Times New Roman" w:hAnsi="Calibri" w:cs="Times New Roman"/>
                <w:color w:val="000000"/>
                <w:sz w:val="20"/>
                <w:szCs w:val="20"/>
              </w:rPr>
              <w:t>0.7419</w:t>
            </w:r>
          </w:p>
        </w:tc>
        <w:tc>
          <w:tcPr>
            <w:tcW w:w="68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65D20" w:rsidRPr="009D464E" w:rsidRDefault="009D464E" w:rsidP="00432FF0">
            <w:pPr>
              <w:spacing w:after="0"/>
              <w:jc w:val="right"/>
              <w:rPr>
                <w:rFonts w:ascii="Calibri" w:eastAsia="Times New Roman" w:hAnsi="Calibri" w:cs="Times New Roman"/>
                <w:color w:val="000000"/>
                <w:sz w:val="20"/>
                <w:szCs w:val="20"/>
              </w:rPr>
            </w:pPr>
            <w:r w:rsidRPr="009D464E">
              <w:rPr>
                <w:rFonts w:ascii="Calibri" w:eastAsia="Times New Roman" w:hAnsi="Calibri" w:cs="Times New Roman"/>
                <w:color w:val="000000"/>
                <w:sz w:val="20"/>
                <w:szCs w:val="20"/>
              </w:rPr>
              <w:t>41</w:t>
            </w:r>
          </w:p>
        </w:tc>
        <w:tc>
          <w:tcPr>
            <w:tcW w:w="751" w:type="pct"/>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65D20" w:rsidRPr="009D464E" w:rsidRDefault="00365D20" w:rsidP="00432FF0">
            <w:pPr>
              <w:spacing w:after="0"/>
              <w:jc w:val="center"/>
              <w:rPr>
                <w:rFonts w:ascii="Calibri" w:eastAsia="Times New Roman" w:hAnsi="Calibri" w:cs="Times New Roman"/>
                <w:color w:val="000000"/>
                <w:sz w:val="20"/>
                <w:szCs w:val="20"/>
              </w:rPr>
            </w:pPr>
            <w:r w:rsidRPr="009D464E">
              <w:rPr>
                <w:rFonts w:ascii="Calibri" w:eastAsia="Times New Roman" w:hAnsi="Calibri" w:cs="Times New Roman"/>
                <w:color w:val="000000"/>
                <w:sz w:val="20"/>
                <w:szCs w:val="20"/>
              </w:rPr>
              <w:t>1.1267</w:t>
            </w:r>
          </w:p>
        </w:tc>
        <w:tc>
          <w:tcPr>
            <w:tcW w:w="68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65D20" w:rsidRPr="00365D20" w:rsidRDefault="009D464E" w:rsidP="00432FF0">
            <w:pPr>
              <w:spacing w:after="0"/>
              <w:jc w:val="right"/>
              <w:rPr>
                <w:rFonts w:ascii="Calibri" w:eastAsia="Times New Roman" w:hAnsi="Calibri" w:cs="Times New Roman"/>
                <w:color w:val="000000"/>
                <w:sz w:val="20"/>
                <w:szCs w:val="20"/>
              </w:rPr>
            </w:pPr>
            <w:r w:rsidRPr="009D464E">
              <w:rPr>
                <w:rFonts w:ascii="Calibri" w:eastAsia="Times New Roman" w:hAnsi="Calibri" w:cs="Times New Roman"/>
                <w:color w:val="000000"/>
                <w:sz w:val="20"/>
                <w:szCs w:val="20"/>
              </w:rPr>
              <w:t>64</w:t>
            </w:r>
          </w:p>
        </w:tc>
      </w:tr>
      <w:tr w:rsidR="001B0534" w:rsidRPr="00365D20" w:rsidTr="00432FF0">
        <w:tc>
          <w:tcPr>
            <w:tcW w:w="603" w:type="pct"/>
            <w:vMerge/>
            <w:tcBorders>
              <w:top w:val="single" w:sz="4" w:space="0" w:color="BFBFBF"/>
              <w:left w:val="single" w:sz="4" w:space="0" w:color="BFBFBF"/>
              <w:bottom w:val="single" w:sz="4" w:space="0" w:color="BFBFBF"/>
              <w:right w:val="single" w:sz="4" w:space="0" w:color="BFBFBF"/>
            </w:tcBorders>
            <w:vAlign w:val="center"/>
            <w:hideMark/>
          </w:tcPr>
          <w:p w:rsidR="00365D20" w:rsidRPr="00365D20" w:rsidRDefault="00365D20" w:rsidP="00432FF0">
            <w:pPr>
              <w:spacing w:after="0"/>
              <w:rPr>
                <w:rFonts w:ascii="Calibri" w:eastAsia="Times New Roman" w:hAnsi="Calibri" w:cs="Times New Roman"/>
                <w:color w:val="000000"/>
                <w:sz w:val="20"/>
                <w:szCs w:val="20"/>
              </w:rPr>
            </w:pPr>
          </w:p>
        </w:tc>
        <w:tc>
          <w:tcPr>
            <w:tcW w:w="81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65D20" w:rsidRPr="00365D20" w:rsidRDefault="00365D20" w:rsidP="00432FF0">
            <w:pPr>
              <w:spacing w:after="0"/>
              <w:rPr>
                <w:rFonts w:ascii="Calibri" w:eastAsia="Times New Roman" w:hAnsi="Calibri" w:cs="Times New Roman"/>
                <w:color w:val="000000"/>
                <w:sz w:val="20"/>
                <w:szCs w:val="20"/>
              </w:rPr>
            </w:pPr>
            <w:r w:rsidRPr="00365D20">
              <w:rPr>
                <w:rFonts w:ascii="Calibri" w:eastAsia="Times New Roman" w:hAnsi="Calibri" w:cs="Times New Roman"/>
                <w:color w:val="000000"/>
                <w:sz w:val="20"/>
                <w:szCs w:val="20"/>
              </w:rPr>
              <w:t>Attic Insulation</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65D20" w:rsidRPr="00365D20" w:rsidRDefault="00365D20" w:rsidP="00432FF0">
            <w:pPr>
              <w:spacing w:after="0"/>
              <w:jc w:val="right"/>
              <w:rPr>
                <w:rFonts w:ascii="Calibri" w:eastAsia="Times New Roman" w:hAnsi="Calibri" w:cs="Times New Roman"/>
                <w:color w:val="000000"/>
                <w:sz w:val="20"/>
                <w:szCs w:val="20"/>
              </w:rPr>
            </w:pPr>
            <w:r w:rsidRPr="00365D20">
              <w:rPr>
                <w:rFonts w:ascii="Calibri" w:eastAsia="Times New Roman" w:hAnsi="Calibri" w:cs="Times New Roman"/>
                <w:color w:val="000000"/>
                <w:sz w:val="20"/>
                <w:szCs w:val="20"/>
              </w:rPr>
              <w:t>126</w:t>
            </w:r>
          </w:p>
        </w:tc>
        <w:tc>
          <w:tcPr>
            <w:tcW w:w="788" w:type="pct"/>
            <w:vMerge/>
            <w:tcBorders>
              <w:top w:val="single" w:sz="4" w:space="0" w:color="BFBFBF"/>
              <w:left w:val="single" w:sz="4" w:space="0" w:color="BFBFBF"/>
              <w:bottom w:val="single" w:sz="4" w:space="0" w:color="BFBFBF"/>
              <w:right w:val="single" w:sz="4" w:space="0" w:color="BFBFBF"/>
            </w:tcBorders>
            <w:vAlign w:val="center"/>
            <w:hideMark/>
          </w:tcPr>
          <w:p w:rsidR="00365D20" w:rsidRPr="00365D20" w:rsidRDefault="00365D20" w:rsidP="00432FF0">
            <w:pPr>
              <w:spacing w:after="0"/>
              <w:rPr>
                <w:rFonts w:ascii="Calibri" w:eastAsia="Times New Roman" w:hAnsi="Calibri" w:cs="Times New Roman"/>
                <w:color w:val="000000"/>
                <w:sz w:val="20"/>
                <w:szCs w:val="20"/>
              </w:rPr>
            </w:pPr>
          </w:p>
        </w:tc>
        <w:tc>
          <w:tcPr>
            <w:tcW w:w="68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65D20" w:rsidRPr="00365D20" w:rsidRDefault="001B0534" w:rsidP="00432FF0">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91</w:t>
            </w:r>
          </w:p>
        </w:tc>
        <w:tc>
          <w:tcPr>
            <w:tcW w:w="751" w:type="pct"/>
            <w:vMerge/>
            <w:tcBorders>
              <w:top w:val="single" w:sz="4" w:space="0" w:color="BFBFBF"/>
              <w:left w:val="single" w:sz="4" w:space="0" w:color="BFBFBF"/>
              <w:bottom w:val="single" w:sz="4" w:space="0" w:color="BFBFBF"/>
              <w:right w:val="single" w:sz="4" w:space="0" w:color="BFBFBF"/>
            </w:tcBorders>
            <w:vAlign w:val="center"/>
            <w:hideMark/>
          </w:tcPr>
          <w:p w:rsidR="00365D20" w:rsidRPr="00365D20" w:rsidRDefault="00365D20" w:rsidP="00432FF0">
            <w:pPr>
              <w:spacing w:after="0"/>
              <w:rPr>
                <w:rFonts w:ascii="Calibri" w:eastAsia="Times New Roman" w:hAnsi="Calibri" w:cs="Times New Roman"/>
                <w:color w:val="000000"/>
                <w:sz w:val="20"/>
                <w:szCs w:val="20"/>
              </w:rPr>
            </w:pPr>
          </w:p>
        </w:tc>
        <w:tc>
          <w:tcPr>
            <w:tcW w:w="68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65D20" w:rsidRPr="00365D20" w:rsidRDefault="00365D20" w:rsidP="00432FF0">
            <w:pPr>
              <w:spacing w:after="0"/>
              <w:jc w:val="right"/>
              <w:rPr>
                <w:rFonts w:ascii="Calibri" w:eastAsia="Times New Roman" w:hAnsi="Calibri" w:cs="Times New Roman"/>
                <w:color w:val="000000"/>
                <w:sz w:val="20"/>
                <w:szCs w:val="20"/>
              </w:rPr>
            </w:pPr>
            <w:r w:rsidRPr="00365D20">
              <w:rPr>
                <w:rFonts w:ascii="Calibri" w:eastAsia="Times New Roman" w:hAnsi="Calibri" w:cs="Times New Roman"/>
                <w:color w:val="000000"/>
                <w:sz w:val="20"/>
                <w:szCs w:val="20"/>
              </w:rPr>
              <w:t>142</w:t>
            </w:r>
          </w:p>
        </w:tc>
      </w:tr>
      <w:tr w:rsidR="001B0534" w:rsidRPr="00365D20" w:rsidTr="00432FF0">
        <w:tc>
          <w:tcPr>
            <w:tcW w:w="603" w:type="pct"/>
            <w:vMerge/>
            <w:tcBorders>
              <w:top w:val="single" w:sz="4" w:space="0" w:color="BFBFBF"/>
              <w:left w:val="single" w:sz="4" w:space="0" w:color="BFBFBF"/>
              <w:bottom w:val="single" w:sz="4" w:space="0" w:color="BFBFBF"/>
              <w:right w:val="single" w:sz="4" w:space="0" w:color="BFBFBF"/>
            </w:tcBorders>
            <w:vAlign w:val="center"/>
            <w:hideMark/>
          </w:tcPr>
          <w:p w:rsidR="00365D20" w:rsidRPr="00365D20" w:rsidRDefault="00365D20" w:rsidP="00432FF0">
            <w:pPr>
              <w:spacing w:after="0"/>
              <w:rPr>
                <w:rFonts w:ascii="Calibri" w:eastAsia="Times New Roman" w:hAnsi="Calibri" w:cs="Times New Roman"/>
                <w:color w:val="000000"/>
                <w:sz w:val="20"/>
                <w:szCs w:val="20"/>
              </w:rPr>
            </w:pPr>
          </w:p>
        </w:tc>
        <w:tc>
          <w:tcPr>
            <w:tcW w:w="81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65D20" w:rsidRPr="00365D20" w:rsidRDefault="00365D20" w:rsidP="00432FF0">
            <w:pPr>
              <w:spacing w:after="0"/>
              <w:rPr>
                <w:rFonts w:ascii="Calibri" w:eastAsia="Times New Roman" w:hAnsi="Calibri" w:cs="Times New Roman"/>
                <w:color w:val="000000"/>
                <w:sz w:val="20"/>
                <w:szCs w:val="20"/>
              </w:rPr>
            </w:pPr>
            <w:r w:rsidRPr="00365D20">
              <w:rPr>
                <w:rFonts w:ascii="Calibri" w:eastAsia="Times New Roman" w:hAnsi="Calibri" w:cs="Times New Roman"/>
                <w:color w:val="000000"/>
                <w:sz w:val="20"/>
                <w:szCs w:val="20"/>
              </w:rPr>
              <w:t>Wall Insulation</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65D20" w:rsidRPr="00365D20" w:rsidRDefault="00365D20" w:rsidP="00432FF0">
            <w:pPr>
              <w:spacing w:after="0"/>
              <w:jc w:val="right"/>
              <w:rPr>
                <w:rFonts w:ascii="Calibri" w:eastAsia="Times New Roman" w:hAnsi="Calibri" w:cs="Times New Roman"/>
                <w:color w:val="000000"/>
                <w:sz w:val="20"/>
                <w:szCs w:val="20"/>
              </w:rPr>
            </w:pPr>
            <w:r w:rsidRPr="00365D20">
              <w:rPr>
                <w:rFonts w:ascii="Calibri" w:eastAsia="Times New Roman" w:hAnsi="Calibri" w:cs="Times New Roman"/>
                <w:color w:val="000000"/>
                <w:sz w:val="20"/>
                <w:szCs w:val="20"/>
              </w:rPr>
              <w:t>237</w:t>
            </w:r>
          </w:p>
        </w:tc>
        <w:tc>
          <w:tcPr>
            <w:tcW w:w="788" w:type="pct"/>
            <w:vMerge/>
            <w:tcBorders>
              <w:top w:val="single" w:sz="4" w:space="0" w:color="BFBFBF"/>
              <w:left w:val="single" w:sz="4" w:space="0" w:color="BFBFBF"/>
              <w:bottom w:val="single" w:sz="4" w:space="0" w:color="BFBFBF"/>
              <w:right w:val="single" w:sz="4" w:space="0" w:color="BFBFBF"/>
            </w:tcBorders>
            <w:vAlign w:val="center"/>
            <w:hideMark/>
          </w:tcPr>
          <w:p w:rsidR="00365D20" w:rsidRPr="00365D20" w:rsidRDefault="00365D20" w:rsidP="00432FF0">
            <w:pPr>
              <w:spacing w:after="0"/>
              <w:rPr>
                <w:rFonts w:ascii="Calibri" w:eastAsia="Times New Roman" w:hAnsi="Calibri" w:cs="Times New Roman"/>
                <w:color w:val="000000"/>
                <w:sz w:val="20"/>
                <w:szCs w:val="20"/>
              </w:rPr>
            </w:pPr>
          </w:p>
        </w:tc>
        <w:tc>
          <w:tcPr>
            <w:tcW w:w="68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65D20" w:rsidRPr="00365D20" w:rsidRDefault="001B0534" w:rsidP="00432FF0">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171</w:t>
            </w:r>
          </w:p>
        </w:tc>
        <w:tc>
          <w:tcPr>
            <w:tcW w:w="751" w:type="pct"/>
            <w:vMerge/>
            <w:tcBorders>
              <w:top w:val="single" w:sz="4" w:space="0" w:color="BFBFBF"/>
              <w:left w:val="single" w:sz="4" w:space="0" w:color="BFBFBF"/>
              <w:bottom w:val="single" w:sz="4" w:space="0" w:color="BFBFBF"/>
              <w:right w:val="single" w:sz="4" w:space="0" w:color="BFBFBF"/>
            </w:tcBorders>
            <w:vAlign w:val="center"/>
            <w:hideMark/>
          </w:tcPr>
          <w:p w:rsidR="00365D20" w:rsidRPr="00365D20" w:rsidRDefault="00365D20" w:rsidP="00432FF0">
            <w:pPr>
              <w:spacing w:after="0"/>
              <w:rPr>
                <w:rFonts w:ascii="Calibri" w:eastAsia="Times New Roman" w:hAnsi="Calibri" w:cs="Times New Roman"/>
                <w:color w:val="000000"/>
                <w:sz w:val="20"/>
                <w:szCs w:val="20"/>
              </w:rPr>
            </w:pPr>
          </w:p>
        </w:tc>
        <w:tc>
          <w:tcPr>
            <w:tcW w:w="68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65D20" w:rsidRPr="00365D20" w:rsidRDefault="00365D20" w:rsidP="00432FF0">
            <w:pPr>
              <w:spacing w:after="0"/>
              <w:jc w:val="right"/>
              <w:rPr>
                <w:rFonts w:ascii="Calibri" w:eastAsia="Times New Roman" w:hAnsi="Calibri" w:cs="Times New Roman"/>
                <w:color w:val="000000"/>
                <w:sz w:val="20"/>
                <w:szCs w:val="20"/>
              </w:rPr>
            </w:pPr>
            <w:r w:rsidRPr="00365D20">
              <w:rPr>
                <w:rFonts w:ascii="Calibri" w:eastAsia="Times New Roman" w:hAnsi="Calibri" w:cs="Times New Roman"/>
                <w:color w:val="000000"/>
                <w:sz w:val="20"/>
                <w:szCs w:val="20"/>
              </w:rPr>
              <w:t>267</w:t>
            </w:r>
          </w:p>
        </w:tc>
      </w:tr>
      <w:tr w:rsidR="001B0534" w:rsidRPr="00365D20" w:rsidTr="00432FF0">
        <w:tc>
          <w:tcPr>
            <w:tcW w:w="603" w:type="pct"/>
            <w:vMerge/>
            <w:tcBorders>
              <w:top w:val="single" w:sz="4" w:space="0" w:color="BFBFBF"/>
              <w:left w:val="single" w:sz="4" w:space="0" w:color="BFBFBF"/>
              <w:bottom w:val="single" w:sz="4" w:space="0" w:color="BFBFBF"/>
              <w:right w:val="single" w:sz="4" w:space="0" w:color="BFBFBF"/>
            </w:tcBorders>
            <w:vAlign w:val="center"/>
            <w:hideMark/>
          </w:tcPr>
          <w:p w:rsidR="00365D20" w:rsidRPr="00365D20" w:rsidRDefault="00365D20" w:rsidP="00432FF0">
            <w:pPr>
              <w:spacing w:after="0"/>
              <w:rPr>
                <w:rFonts w:ascii="Calibri" w:eastAsia="Times New Roman" w:hAnsi="Calibri" w:cs="Times New Roman"/>
                <w:color w:val="000000"/>
                <w:sz w:val="20"/>
                <w:szCs w:val="20"/>
              </w:rPr>
            </w:pPr>
          </w:p>
        </w:tc>
        <w:tc>
          <w:tcPr>
            <w:tcW w:w="81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65D20" w:rsidRPr="00365D20" w:rsidRDefault="00365D20" w:rsidP="00432FF0">
            <w:pPr>
              <w:spacing w:after="0"/>
              <w:rPr>
                <w:rFonts w:ascii="Calibri" w:eastAsia="Times New Roman" w:hAnsi="Calibri" w:cs="Times New Roman"/>
                <w:color w:val="000000"/>
                <w:sz w:val="20"/>
                <w:szCs w:val="20"/>
              </w:rPr>
            </w:pPr>
            <w:r w:rsidRPr="00365D20">
              <w:rPr>
                <w:rFonts w:ascii="Calibri" w:eastAsia="Times New Roman" w:hAnsi="Calibri" w:cs="Times New Roman"/>
                <w:color w:val="000000"/>
                <w:sz w:val="20"/>
                <w:szCs w:val="20"/>
              </w:rPr>
              <w:t>Duct Sealing</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65D20" w:rsidRPr="00365D20" w:rsidRDefault="00365D20" w:rsidP="00432FF0">
            <w:pPr>
              <w:spacing w:after="0"/>
              <w:jc w:val="right"/>
              <w:rPr>
                <w:rFonts w:ascii="Calibri" w:eastAsia="Times New Roman" w:hAnsi="Calibri" w:cs="Times New Roman"/>
                <w:color w:val="000000"/>
                <w:sz w:val="20"/>
                <w:szCs w:val="20"/>
              </w:rPr>
            </w:pPr>
            <w:r w:rsidRPr="00365D20">
              <w:rPr>
                <w:rFonts w:ascii="Calibri" w:eastAsia="Times New Roman" w:hAnsi="Calibri" w:cs="Times New Roman"/>
                <w:color w:val="000000"/>
                <w:sz w:val="20"/>
                <w:szCs w:val="20"/>
              </w:rPr>
              <w:t>18</w:t>
            </w:r>
          </w:p>
        </w:tc>
        <w:tc>
          <w:tcPr>
            <w:tcW w:w="788" w:type="pct"/>
            <w:vMerge/>
            <w:tcBorders>
              <w:top w:val="single" w:sz="4" w:space="0" w:color="BFBFBF"/>
              <w:left w:val="single" w:sz="4" w:space="0" w:color="BFBFBF"/>
              <w:bottom w:val="single" w:sz="4" w:space="0" w:color="BFBFBF"/>
              <w:right w:val="single" w:sz="4" w:space="0" w:color="BFBFBF"/>
            </w:tcBorders>
            <w:vAlign w:val="center"/>
            <w:hideMark/>
          </w:tcPr>
          <w:p w:rsidR="00365D20" w:rsidRPr="00365D20" w:rsidRDefault="00365D20" w:rsidP="00432FF0">
            <w:pPr>
              <w:spacing w:after="0"/>
              <w:rPr>
                <w:rFonts w:ascii="Calibri" w:eastAsia="Times New Roman" w:hAnsi="Calibri" w:cs="Times New Roman"/>
                <w:color w:val="000000"/>
                <w:sz w:val="20"/>
                <w:szCs w:val="20"/>
              </w:rPr>
            </w:pPr>
          </w:p>
        </w:tc>
        <w:tc>
          <w:tcPr>
            <w:tcW w:w="68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65D20" w:rsidRPr="00365D20" w:rsidRDefault="001B0534" w:rsidP="00432FF0">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13</w:t>
            </w:r>
          </w:p>
        </w:tc>
        <w:tc>
          <w:tcPr>
            <w:tcW w:w="751" w:type="pct"/>
            <w:vMerge/>
            <w:tcBorders>
              <w:top w:val="single" w:sz="4" w:space="0" w:color="BFBFBF"/>
              <w:left w:val="single" w:sz="4" w:space="0" w:color="BFBFBF"/>
              <w:bottom w:val="single" w:sz="4" w:space="0" w:color="BFBFBF"/>
              <w:right w:val="single" w:sz="4" w:space="0" w:color="BFBFBF"/>
            </w:tcBorders>
            <w:vAlign w:val="center"/>
            <w:hideMark/>
          </w:tcPr>
          <w:p w:rsidR="00365D20" w:rsidRPr="00365D20" w:rsidRDefault="00365D20" w:rsidP="00432FF0">
            <w:pPr>
              <w:spacing w:after="0"/>
              <w:rPr>
                <w:rFonts w:ascii="Calibri" w:eastAsia="Times New Roman" w:hAnsi="Calibri" w:cs="Times New Roman"/>
                <w:color w:val="000000"/>
                <w:sz w:val="20"/>
                <w:szCs w:val="20"/>
              </w:rPr>
            </w:pPr>
          </w:p>
        </w:tc>
        <w:tc>
          <w:tcPr>
            <w:tcW w:w="68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65D20" w:rsidRPr="00365D20" w:rsidRDefault="00365D20" w:rsidP="00432FF0">
            <w:pPr>
              <w:spacing w:after="0"/>
              <w:jc w:val="right"/>
              <w:rPr>
                <w:rFonts w:ascii="Calibri" w:eastAsia="Times New Roman" w:hAnsi="Calibri" w:cs="Times New Roman"/>
                <w:color w:val="000000"/>
                <w:sz w:val="20"/>
                <w:szCs w:val="20"/>
              </w:rPr>
            </w:pPr>
            <w:r w:rsidRPr="00365D20">
              <w:rPr>
                <w:rFonts w:ascii="Calibri" w:eastAsia="Times New Roman" w:hAnsi="Calibri" w:cs="Times New Roman"/>
                <w:color w:val="000000"/>
                <w:sz w:val="20"/>
                <w:szCs w:val="20"/>
              </w:rPr>
              <w:t>21</w:t>
            </w:r>
          </w:p>
        </w:tc>
      </w:tr>
      <w:tr w:rsidR="001B0534" w:rsidRPr="00365D20" w:rsidTr="00432FF0">
        <w:tc>
          <w:tcPr>
            <w:tcW w:w="603" w:type="pct"/>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65D20" w:rsidRPr="00365D20" w:rsidRDefault="00365D20" w:rsidP="00432FF0">
            <w:pPr>
              <w:spacing w:after="0"/>
              <w:rPr>
                <w:rFonts w:ascii="Calibri" w:eastAsia="Times New Roman" w:hAnsi="Calibri" w:cs="Times New Roman"/>
                <w:color w:val="000000"/>
                <w:sz w:val="20"/>
                <w:szCs w:val="20"/>
              </w:rPr>
            </w:pPr>
            <w:r w:rsidRPr="00365D20">
              <w:rPr>
                <w:rFonts w:ascii="Calibri" w:eastAsia="Times New Roman" w:hAnsi="Calibri" w:cs="Times New Roman"/>
                <w:color w:val="000000"/>
                <w:sz w:val="20"/>
                <w:szCs w:val="20"/>
              </w:rPr>
              <w:t>DHW</w:t>
            </w:r>
          </w:p>
        </w:tc>
        <w:tc>
          <w:tcPr>
            <w:tcW w:w="81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65D20" w:rsidRPr="00365D20" w:rsidRDefault="00365D20" w:rsidP="00432FF0">
            <w:pPr>
              <w:spacing w:after="0"/>
              <w:rPr>
                <w:rFonts w:ascii="Calibri" w:eastAsia="Times New Roman" w:hAnsi="Calibri" w:cs="Times New Roman"/>
                <w:color w:val="000000"/>
                <w:sz w:val="20"/>
                <w:szCs w:val="20"/>
              </w:rPr>
            </w:pPr>
            <w:r w:rsidRPr="00365D20">
              <w:rPr>
                <w:rFonts w:ascii="Calibri" w:eastAsia="Times New Roman" w:hAnsi="Calibri" w:cs="Times New Roman"/>
                <w:color w:val="000000"/>
                <w:sz w:val="20"/>
                <w:szCs w:val="20"/>
              </w:rPr>
              <w:t>Showerhead</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65D20" w:rsidRPr="00365D20" w:rsidRDefault="00365D20" w:rsidP="00432FF0">
            <w:pPr>
              <w:spacing w:after="0"/>
              <w:jc w:val="right"/>
              <w:rPr>
                <w:rFonts w:ascii="Calibri" w:eastAsia="Times New Roman" w:hAnsi="Calibri" w:cs="Times New Roman"/>
                <w:color w:val="000000"/>
                <w:sz w:val="20"/>
                <w:szCs w:val="20"/>
              </w:rPr>
            </w:pPr>
            <w:r w:rsidRPr="00365D20">
              <w:rPr>
                <w:rFonts w:ascii="Calibri" w:eastAsia="Times New Roman" w:hAnsi="Calibri" w:cs="Times New Roman"/>
                <w:color w:val="000000"/>
                <w:sz w:val="20"/>
                <w:szCs w:val="20"/>
              </w:rPr>
              <w:t>9.4</w:t>
            </w:r>
          </w:p>
        </w:tc>
        <w:tc>
          <w:tcPr>
            <w:tcW w:w="788" w:type="pct"/>
            <w:vMerge/>
            <w:tcBorders>
              <w:top w:val="single" w:sz="4" w:space="0" w:color="BFBFBF"/>
              <w:left w:val="single" w:sz="4" w:space="0" w:color="BFBFBF"/>
              <w:bottom w:val="single" w:sz="4" w:space="0" w:color="BFBFBF"/>
              <w:right w:val="single" w:sz="4" w:space="0" w:color="BFBFBF"/>
            </w:tcBorders>
            <w:vAlign w:val="center"/>
            <w:hideMark/>
          </w:tcPr>
          <w:p w:rsidR="00365D20" w:rsidRPr="00365D20" w:rsidRDefault="00365D20" w:rsidP="00432FF0">
            <w:pPr>
              <w:spacing w:after="0"/>
              <w:rPr>
                <w:rFonts w:ascii="Calibri" w:eastAsia="Times New Roman" w:hAnsi="Calibri" w:cs="Times New Roman"/>
                <w:color w:val="000000"/>
                <w:sz w:val="20"/>
                <w:szCs w:val="20"/>
              </w:rPr>
            </w:pPr>
          </w:p>
        </w:tc>
        <w:tc>
          <w:tcPr>
            <w:tcW w:w="68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65D20" w:rsidRPr="00365D20" w:rsidRDefault="00365D20" w:rsidP="00432FF0">
            <w:pPr>
              <w:spacing w:after="0"/>
              <w:jc w:val="right"/>
              <w:rPr>
                <w:rFonts w:ascii="Calibri" w:eastAsia="Times New Roman" w:hAnsi="Calibri" w:cs="Times New Roman"/>
                <w:color w:val="000000"/>
                <w:sz w:val="20"/>
                <w:szCs w:val="20"/>
              </w:rPr>
            </w:pPr>
            <w:r w:rsidRPr="00365D20">
              <w:rPr>
                <w:rFonts w:ascii="Calibri" w:eastAsia="Times New Roman" w:hAnsi="Calibri" w:cs="Times New Roman"/>
                <w:color w:val="000000"/>
                <w:sz w:val="20"/>
                <w:szCs w:val="20"/>
              </w:rPr>
              <w:t>6.9</w:t>
            </w:r>
          </w:p>
        </w:tc>
        <w:tc>
          <w:tcPr>
            <w:tcW w:w="751" w:type="pct"/>
            <w:vMerge/>
            <w:tcBorders>
              <w:top w:val="single" w:sz="4" w:space="0" w:color="BFBFBF"/>
              <w:left w:val="single" w:sz="4" w:space="0" w:color="BFBFBF"/>
              <w:bottom w:val="single" w:sz="4" w:space="0" w:color="BFBFBF"/>
              <w:right w:val="single" w:sz="4" w:space="0" w:color="BFBFBF"/>
            </w:tcBorders>
            <w:vAlign w:val="center"/>
            <w:hideMark/>
          </w:tcPr>
          <w:p w:rsidR="00365D20" w:rsidRPr="00365D20" w:rsidRDefault="00365D20" w:rsidP="00432FF0">
            <w:pPr>
              <w:spacing w:after="0"/>
              <w:rPr>
                <w:rFonts w:ascii="Calibri" w:eastAsia="Times New Roman" w:hAnsi="Calibri" w:cs="Times New Roman"/>
                <w:color w:val="000000"/>
                <w:sz w:val="20"/>
                <w:szCs w:val="20"/>
              </w:rPr>
            </w:pPr>
          </w:p>
        </w:tc>
        <w:tc>
          <w:tcPr>
            <w:tcW w:w="68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65D20" w:rsidRPr="00365D20" w:rsidRDefault="00365D20" w:rsidP="00432FF0">
            <w:pPr>
              <w:spacing w:after="0"/>
              <w:jc w:val="right"/>
              <w:rPr>
                <w:rFonts w:ascii="Calibri" w:eastAsia="Times New Roman" w:hAnsi="Calibri" w:cs="Times New Roman"/>
                <w:color w:val="000000"/>
                <w:sz w:val="20"/>
                <w:szCs w:val="20"/>
              </w:rPr>
            </w:pPr>
            <w:r w:rsidRPr="00365D20">
              <w:rPr>
                <w:rFonts w:ascii="Calibri" w:eastAsia="Times New Roman" w:hAnsi="Calibri" w:cs="Times New Roman"/>
                <w:color w:val="000000"/>
                <w:sz w:val="20"/>
                <w:szCs w:val="20"/>
              </w:rPr>
              <w:t>10.5</w:t>
            </w:r>
          </w:p>
        </w:tc>
      </w:tr>
      <w:tr w:rsidR="001B0534" w:rsidRPr="00365D20" w:rsidTr="00432FF0">
        <w:tc>
          <w:tcPr>
            <w:tcW w:w="603" w:type="pct"/>
            <w:vMerge/>
            <w:tcBorders>
              <w:top w:val="single" w:sz="4" w:space="0" w:color="BFBFBF"/>
              <w:left w:val="single" w:sz="4" w:space="0" w:color="BFBFBF"/>
              <w:bottom w:val="single" w:sz="4" w:space="0" w:color="BFBFBF"/>
              <w:right w:val="single" w:sz="4" w:space="0" w:color="BFBFBF"/>
            </w:tcBorders>
            <w:vAlign w:val="center"/>
            <w:hideMark/>
          </w:tcPr>
          <w:p w:rsidR="00365D20" w:rsidRPr="00365D20" w:rsidRDefault="00365D20" w:rsidP="00432FF0">
            <w:pPr>
              <w:spacing w:after="0"/>
              <w:rPr>
                <w:rFonts w:ascii="Calibri" w:eastAsia="Times New Roman" w:hAnsi="Calibri" w:cs="Times New Roman"/>
                <w:color w:val="000000"/>
                <w:sz w:val="20"/>
                <w:szCs w:val="20"/>
              </w:rPr>
            </w:pPr>
          </w:p>
        </w:tc>
        <w:tc>
          <w:tcPr>
            <w:tcW w:w="81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65D20" w:rsidRPr="00365D20" w:rsidRDefault="00365D20" w:rsidP="00432FF0">
            <w:pPr>
              <w:spacing w:after="0"/>
              <w:rPr>
                <w:rFonts w:ascii="Calibri" w:eastAsia="Times New Roman" w:hAnsi="Calibri" w:cs="Times New Roman"/>
                <w:color w:val="000000"/>
                <w:sz w:val="20"/>
                <w:szCs w:val="20"/>
              </w:rPr>
            </w:pPr>
            <w:r w:rsidRPr="00365D20">
              <w:rPr>
                <w:rFonts w:ascii="Calibri" w:eastAsia="Times New Roman" w:hAnsi="Calibri" w:cs="Times New Roman"/>
                <w:color w:val="000000"/>
                <w:sz w:val="20"/>
                <w:szCs w:val="20"/>
              </w:rPr>
              <w:t>Faucet Aerators</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65D20" w:rsidRPr="00365D20" w:rsidRDefault="00365D20" w:rsidP="00432FF0">
            <w:pPr>
              <w:spacing w:after="0"/>
              <w:jc w:val="right"/>
              <w:rPr>
                <w:rFonts w:ascii="Calibri" w:eastAsia="Times New Roman" w:hAnsi="Calibri" w:cs="Times New Roman"/>
                <w:color w:val="000000"/>
                <w:sz w:val="20"/>
                <w:szCs w:val="20"/>
              </w:rPr>
            </w:pPr>
            <w:r w:rsidRPr="00365D20">
              <w:rPr>
                <w:rFonts w:ascii="Calibri" w:eastAsia="Times New Roman" w:hAnsi="Calibri" w:cs="Times New Roman"/>
                <w:color w:val="000000"/>
                <w:sz w:val="20"/>
                <w:szCs w:val="20"/>
              </w:rPr>
              <w:t>3.8</w:t>
            </w:r>
          </w:p>
        </w:tc>
        <w:tc>
          <w:tcPr>
            <w:tcW w:w="788" w:type="pct"/>
            <w:vMerge/>
            <w:tcBorders>
              <w:top w:val="single" w:sz="4" w:space="0" w:color="BFBFBF"/>
              <w:left w:val="single" w:sz="4" w:space="0" w:color="BFBFBF"/>
              <w:bottom w:val="single" w:sz="4" w:space="0" w:color="BFBFBF"/>
              <w:right w:val="single" w:sz="4" w:space="0" w:color="BFBFBF"/>
            </w:tcBorders>
            <w:vAlign w:val="center"/>
            <w:hideMark/>
          </w:tcPr>
          <w:p w:rsidR="00365D20" w:rsidRPr="00365D20" w:rsidRDefault="00365D20" w:rsidP="00432FF0">
            <w:pPr>
              <w:spacing w:after="0"/>
              <w:rPr>
                <w:rFonts w:ascii="Calibri" w:eastAsia="Times New Roman" w:hAnsi="Calibri" w:cs="Times New Roman"/>
                <w:color w:val="000000"/>
                <w:sz w:val="20"/>
                <w:szCs w:val="20"/>
              </w:rPr>
            </w:pPr>
          </w:p>
        </w:tc>
        <w:tc>
          <w:tcPr>
            <w:tcW w:w="68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65D20" w:rsidRPr="00365D20" w:rsidRDefault="00365D20" w:rsidP="00432FF0">
            <w:pPr>
              <w:spacing w:after="0"/>
              <w:jc w:val="right"/>
              <w:rPr>
                <w:rFonts w:ascii="Calibri" w:eastAsia="Times New Roman" w:hAnsi="Calibri" w:cs="Times New Roman"/>
                <w:color w:val="000000"/>
                <w:sz w:val="20"/>
                <w:szCs w:val="20"/>
              </w:rPr>
            </w:pPr>
            <w:r w:rsidRPr="00365D20">
              <w:rPr>
                <w:rFonts w:ascii="Calibri" w:eastAsia="Times New Roman" w:hAnsi="Calibri" w:cs="Times New Roman"/>
                <w:color w:val="000000"/>
                <w:sz w:val="20"/>
                <w:szCs w:val="20"/>
              </w:rPr>
              <w:t>2.9</w:t>
            </w:r>
          </w:p>
        </w:tc>
        <w:tc>
          <w:tcPr>
            <w:tcW w:w="751" w:type="pct"/>
            <w:vMerge/>
            <w:tcBorders>
              <w:top w:val="single" w:sz="4" w:space="0" w:color="BFBFBF"/>
              <w:left w:val="single" w:sz="4" w:space="0" w:color="BFBFBF"/>
              <w:bottom w:val="single" w:sz="4" w:space="0" w:color="BFBFBF"/>
              <w:right w:val="single" w:sz="4" w:space="0" w:color="BFBFBF"/>
            </w:tcBorders>
            <w:vAlign w:val="center"/>
            <w:hideMark/>
          </w:tcPr>
          <w:p w:rsidR="00365D20" w:rsidRPr="00365D20" w:rsidRDefault="00365D20" w:rsidP="00432FF0">
            <w:pPr>
              <w:spacing w:after="0"/>
              <w:rPr>
                <w:rFonts w:ascii="Calibri" w:eastAsia="Times New Roman" w:hAnsi="Calibri" w:cs="Times New Roman"/>
                <w:color w:val="000000"/>
                <w:sz w:val="20"/>
                <w:szCs w:val="20"/>
              </w:rPr>
            </w:pPr>
          </w:p>
        </w:tc>
        <w:tc>
          <w:tcPr>
            <w:tcW w:w="68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65D20" w:rsidRPr="00365D20" w:rsidRDefault="00365D20" w:rsidP="00432FF0">
            <w:pPr>
              <w:spacing w:after="0"/>
              <w:jc w:val="right"/>
              <w:rPr>
                <w:rFonts w:ascii="Calibri" w:eastAsia="Times New Roman" w:hAnsi="Calibri" w:cs="Times New Roman"/>
                <w:color w:val="000000"/>
                <w:sz w:val="20"/>
                <w:szCs w:val="20"/>
              </w:rPr>
            </w:pPr>
            <w:r w:rsidRPr="00365D20">
              <w:rPr>
                <w:rFonts w:ascii="Calibri" w:eastAsia="Times New Roman" w:hAnsi="Calibri" w:cs="Times New Roman"/>
                <w:color w:val="000000"/>
                <w:sz w:val="20"/>
                <w:szCs w:val="20"/>
              </w:rPr>
              <w:t>4.3</w:t>
            </w:r>
          </w:p>
        </w:tc>
      </w:tr>
      <w:tr w:rsidR="001B0534" w:rsidRPr="00365D20" w:rsidTr="00432FF0">
        <w:tc>
          <w:tcPr>
            <w:tcW w:w="603" w:type="pct"/>
            <w:vMerge/>
            <w:tcBorders>
              <w:top w:val="single" w:sz="4" w:space="0" w:color="BFBFBF"/>
              <w:left w:val="single" w:sz="4" w:space="0" w:color="BFBFBF"/>
              <w:bottom w:val="single" w:sz="4" w:space="0" w:color="BFBFBF"/>
              <w:right w:val="single" w:sz="4" w:space="0" w:color="BFBFBF"/>
            </w:tcBorders>
            <w:vAlign w:val="center"/>
            <w:hideMark/>
          </w:tcPr>
          <w:p w:rsidR="00365D20" w:rsidRPr="00365D20" w:rsidRDefault="00365D20" w:rsidP="00432FF0">
            <w:pPr>
              <w:spacing w:after="0"/>
              <w:rPr>
                <w:rFonts w:ascii="Calibri" w:eastAsia="Times New Roman" w:hAnsi="Calibri" w:cs="Times New Roman"/>
                <w:color w:val="000000"/>
                <w:sz w:val="20"/>
                <w:szCs w:val="20"/>
              </w:rPr>
            </w:pPr>
          </w:p>
        </w:tc>
        <w:tc>
          <w:tcPr>
            <w:tcW w:w="81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65D20" w:rsidRPr="00365D20" w:rsidRDefault="00365D20" w:rsidP="00432FF0">
            <w:pPr>
              <w:spacing w:after="0"/>
              <w:rPr>
                <w:rFonts w:ascii="Calibri" w:eastAsia="Times New Roman" w:hAnsi="Calibri" w:cs="Times New Roman"/>
                <w:color w:val="000000"/>
                <w:sz w:val="20"/>
                <w:szCs w:val="20"/>
              </w:rPr>
            </w:pPr>
            <w:r w:rsidRPr="00365D20">
              <w:rPr>
                <w:rFonts w:ascii="Calibri" w:eastAsia="Times New Roman" w:hAnsi="Calibri" w:cs="Times New Roman"/>
                <w:color w:val="000000"/>
                <w:sz w:val="20"/>
                <w:szCs w:val="20"/>
              </w:rPr>
              <w:t>Pipe Insulation</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65D20" w:rsidRPr="00365D20" w:rsidRDefault="00365D20" w:rsidP="00432FF0">
            <w:pPr>
              <w:spacing w:after="0"/>
              <w:jc w:val="right"/>
              <w:rPr>
                <w:rFonts w:ascii="Calibri" w:eastAsia="Times New Roman" w:hAnsi="Calibri" w:cs="Times New Roman"/>
                <w:color w:val="000000"/>
                <w:sz w:val="20"/>
                <w:szCs w:val="20"/>
              </w:rPr>
            </w:pPr>
            <w:r w:rsidRPr="00365D20">
              <w:rPr>
                <w:rFonts w:ascii="Calibri" w:eastAsia="Times New Roman" w:hAnsi="Calibri" w:cs="Times New Roman"/>
                <w:color w:val="000000"/>
                <w:sz w:val="20"/>
                <w:szCs w:val="20"/>
              </w:rPr>
              <w:t>3.9</w:t>
            </w:r>
          </w:p>
        </w:tc>
        <w:tc>
          <w:tcPr>
            <w:tcW w:w="788" w:type="pct"/>
            <w:vMerge/>
            <w:tcBorders>
              <w:top w:val="single" w:sz="4" w:space="0" w:color="BFBFBF"/>
              <w:left w:val="single" w:sz="4" w:space="0" w:color="BFBFBF"/>
              <w:bottom w:val="single" w:sz="4" w:space="0" w:color="BFBFBF"/>
              <w:right w:val="single" w:sz="4" w:space="0" w:color="BFBFBF"/>
            </w:tcBorders>
            <w:vAlign w:val="center"/>
            <w:hideMark/>
          </w:tcPr>
          <w:p w:rsidR="00365D20" w:rsidRPr="00365D20" w:rsidRDefault="00365D20" w:rsidP="00432FF0">
            <w:pPr>
              <w:spacing w:after="0"/>
              <w:rPr>
                <w:rFonts w:ascii="Calibri" w:eastAsia="Times New Roman" w:hAnsi="Calibri" w:cs="Times New Roman"/>
                <w:color w:val="000000"/>
                <w:sz w:val="20"/>
                <w:szCs w:val="20"/>
              </w:rPr>
            </w:pPr>
          </w:p>
        </w:tc>
        <w:tc>
          <w:tcPr>
            <w:tcW w:w="68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65D20" w:rsidRPr="00365D20" w:rsidRDefault="00365D20" w:rsidP="00432FF0">
            <w:pPr>
              <w:spacing w:after="0"/>
              <w:jc w:val="right"/>
              <w:rPr>
                <w:rFonts w:ascii="Calibri" w:eastAsia="Times New Roman" w:hAnsi="Calibri" w:cs="Times New Roman"/>
                <w:color w:val="000000"/>
                <w:sz w:val="20"/>
                <w:szCs w:val="20"/>
              </w:rPr>
            </w:pPr>
            <w:r w:rsidRPr="00365D20">
              <w:rPr>
                <w:rFonts w:ascii="Calibri" w:eastAsia="Times New Roman" w:hAnsi="Calibri" w:cs="Times New Roman"/>
                <w:color w:val="000000"/>
                <w:sz w:val="20"/>
                <w:szCs w:val="20"/>
              </w:rPr>
              <w:t>2.9</w:t>
            </w:r>
          </w:p>
        </w:tc>
        <w:tc>
          <w:tcPr>
            <w:tcW w:w="751" w:type="pct"/>
            <w:vMerge/>
            <w:tcBorders>
              <w:top w:val="single" w:sz="4" w:space="0" w:color="BFBFBF"/>
              <w:left w:val="single" w:sz="4" w:space="0" w:color="BFBFBF"/>
              <w:bottom w:val="single" w:sz="4" w:space="0" w:color="BFBFBF"/>
              <w:right w:val="single" w:sz="4" w:space="0" w:color="BFBFBF"/>
            </w:tcBorders>
            <w:vAlign w:val="center"/>
            <w:hideMark/>
          </w:tcPr>
          <w:p w:rsidR="00365D20" w:rsidRPr="00365D20" w:rsidRDefault="00365D20" w:rsidP="00432FF0">
            <w:pPr>
              <w:spacing w:after="0"/>
              <w:rPr>
                <w:rFonts w:ascii="Calibri" w:eastAsia="Times New Roman" w:hAnsi="Calibri" w:cs="Times New Roman"/>
                <w:color w:val="000000"/>
                <w:sz w:val="20"/>
                <w:szCs w:val="20"/>
              </w:rPr>
            </w:pPr>
          </w:p>
        </w:tc>
        <w:tc>
          <w:tcPr>
            <w:tcW w:w="68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65D20" w:rsidRPr="00365D20" w:rsidRDefault="00365D20" w:rsidP="00432FF0">
            <w:pPr>
              <w:spacing w:after="0"/>
              <w:jc w:val="right"/>
              <w:rPr>
                <w:rFonts w:ascii="Calibri" w:eastAsia="Times New Roman" w:hAnsi="Calibri" w:cs="Times New Roman"/>
                <w:color w:val="000000"/>
                <w:sz w:val="20"/>
                <w:szCs w:val="20"/>
              </w:rPr>
            </w:pPr>
            <w:r w:rsidRPr="00365D20">
              <w:rPr>
                <w:rFonts w:ascii="Calibri" w:eastAsia="Times New Roman" w:hAnsi="Calibri" w:cs="Times New Roman"/>
                <w:color w:val="000000"/>
                <w:sz w:val="20"/>
                <w:szCs w:val="20"/>
              </w:rPr>
              <w:t>4.4</w:t>
            </w:r>
          </w:p>
        </w:tc>
      </w:tr>
      <w:tr w:rsidR="001B0534" w:rsidRPr="00C46F61" w:rsidTr="00432FF0">
        <w:trPr>
          <w:trHeight w:val="300"/>
        </w:trPr>
        <w:tc>
          <w:tcPr>
            <w:tcW w:w="5000" w:type="pct"/>
            <w:gridSpan w:val="7"/>
            <w:tcBorders>
              <w:top w:val="single" w:sz="4" w:space="0" w:color="BFBFBF"/>
              <w:left w:val="nil"/>
              <w:bottom w:val="nil"/>
              <w:right w:val="nil"/>
            </w:tcBorders>
            <w:shd w:val="clear" w:color="auto" w:fill="auto"/>
            <w:noWrap/>
            <w:vAlign w:val="center"/>
            <w:hideMark/>
          </w:tcPr>
          <w:p w:rsidR="001B0534" w:rsidRPr="00C46F61" w:rsidRDefault="00432FF0" w:rsidP="00432FF0">
            <w:pPr>
              <w:spacing w:after="0" w:line="240" w:lineRule="auto"/>
              <w:ind w:left="90" w:hanging="90"/>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1B0534">
              <w:rPr>
                <w:rFonts w:ascii="Calibri" w:eastAsia="Times New Roman" w:hAnsi="Calibri" w:cs="Times New Roman"/>
                <w:color w:val="000000"/>
                <w:sz w:val="20"/>
                <w:szCs w:val="20"/>
              </w:rPr>
              <w:t xml:space="preserve">Measure savings </w:t>
            </w:r>
            <w:r w:rsidR="001B0534" w:rsidRPr="00365D20">
              <w:rPr>
                <w:rFonts w:ascii="Calibri" w:eastAsia="Times New Roman" w:hAnsi="Calibri" w:cs="Times New Roman"/>
                <w:color w:val="000000"/>
                <w:sz w:val="20"/>
                <w:szCs w:val="20"/>
              </w:rPr>
              <w:t>estimated using simulation models have been reweighted based on the average distribution of building types for oil and propane-heated populations, respectively</w:t>
            </w:r>
            <w:r w:rsidR="001B0534">
              <w:rPr>
                <w:rFonts w:ascii="Calibri" w:eastAsia="Times New Roman" w:hAnsi="Calibri" w:cs="Times New Roman"/>
                <w:color w:val="000000"/>
                <w:sz w:val="20"/>
                <w:szCs w:val="20"/>
              </w:rPr>
              <w:t>.</w:t>
            </w:r>
          </w:p>
        </w:tc>
      </w:tr>
      <w:tr w:rsidR="001B0534" w:rsidRPr="00C46F61" w:rsidTr="002F1D9E">
        <w:trPr>
          <w:trHeight w:val="300"/>
        </w:trPr>
        <w:tc>
          <w:tcPr>
            <w:tcW w:w="5000" w:type="pct"/>
            <w:gridSpan w:val="7"/>
            <w:tcBorders>
              <w:top w:val="nil"/>
              <w:left w:val="nil"/>
              <w:bottom w:val="nil"/>
              <w:right w:val="nil"/>
            </w:tcBorders>
            <w:shd w:val="clear" w:color="auto" w:fill="auto"/>
            <w:noWrap/>
            <w:vAlign w:val="center"/>
            <w:hideMark/>
          </w:tcPr>
          <w:p w:rsidR="001B0534" w:rsidRPr="00C46F61" w:rsidRDefault="001B0534" w:rsidP="00432FF0">
            <w:pPr>
              <w:spacing w:after="0" w:line="240" w:lineRule="auto"/>
              <w:ind w:left="180" w:hanging="180"/>
              <w:rPr>
                <w:rFonts w:ascii="Calibri" w:eastAsia="Times New Roman" w:hAnsi="Calibri" w:cs="Times New Roman"/>
                <w:color w:val="000000"/>
                <w:sz w:val="20"/>
                <w:szCs w:val="20"/>
              </w:rPr>
            </w:pPr>
            <w:r w:rsidRPr="00C46F61">
              <w:rPr>
                <w:rFonts w:ascii="Calibri" w:eastAsia="Times New Roman" w:hAnsi="Calibri" w:cs="Times New Roman"/>
                <w:color w:val="000000"/>
                <w:sz w:val="20"/>
                <w:szCs w:val="20"/>
              </w:rPr>
              <w:t>*</w:t>
            </w:r>
            <w:r>
              <w:rPr>
                <w:rFonts w:ascii="Calibri" w:eastAsia="Times New Roman" w:hAnsi="Calibri" w:cs="Times New Roman"/>
                <w:color w:val="000000"/>
                <w:sz w:val="20"/>
                <w:szCs w:val="20"/>
              </w:rPr>
              <w:t>*Due to differences in standard efficiencies between oil and natural gas heating systems (assuming baseline AFUE of 80 and 78, respectively), converted oil savings for shell and duct measures have been adjusted accordingly.</w:t>
            </w:r>
          </w:p>
        </w:tc>
      </w:tr>
    </w:tbl>
    <w:p w:rsidR="002B3A3C" w:rsidRDefault="002B3A3C" w:rsidP="002B3A3C"/>
    <w:p w:rsidR="00EF2F58" w:rsidRPr="00EF2F58" w:rsidRDefault="00EF2F58" w:rsidP="00EF2F58">
      <w:pPr>
        <w:sectPr w:rsidR="00EF2F58" w:rsidRPr="00EF2F58" w:rsidSect="00542EDD">
          <w:footerReference w:type="even" r:id="rId27"/>
          <w:footerReference w:type="default" r:id="rId28"/>
          <w:pgSz w:w="12240" w:h="15840"/>
          <w:pgMar w:top="1440" w:right="1440" w:bottom="1440" w:left="1440" w:header="720" w:footer="720" w:gutter="0"/>
          <w:cols w:space="720"/>
          <w:docGrid w:linePitch="360"/>
        </w:sectPr>
      </w:pPr>
    </w:p>
    <w:p w:rsidR="00654B4F" w:rsidRPr="007773ED" w:rsidRDefault="00654B4F" w:rsidP="00654B4F">
      <w:pPr>
        <w:pStyle w:val="Heading1"/>
      </w:pPr>
      <w:bookmarkStart w:id="89" w:name="_Toc389663846"/>
      <w:r>
        <w:lastRenderedPageBreak/>
        <w:t>HES-IE Findings</w:t>
      </w:r>
      <w:bookmarkEnd w:id="89"/>
    </w:p>
    <w:p w:rsidR="002C285E" w:rsidRDefault="002C285E" w:rsidP="002C285E">
      <w:pPr>
        <w:rPr>
          <w:lang w:eastAsia="ar-SA"/>
        </w:rPr>
      </w:pPr>
      <w:r>
        <w:rPr>
          <w:lang w:eastAsia="ar-SA"/>
        </w:rPr>
        <w:t xml:space="preserve">This section presents evaluated savings estimates for all HES-IE measures, covering electric, natural gas, and oil fuel types. The results are presented first at the program level, followed by measure-specific findings, grouped by measure type and primary heating fuel type. </w:t>
      </w:r>
    </w:p>
    <w:p w:rsidR="002C285E" w:rsidRDefault="002C285E" w:rsidP="002C285E">
      <w:pPr>
        <w:pStyle w:val="Heading2"/>
      </w:pPr>
      <w:bookmarkStart w:id="90" w:name="_Toc389663847"/>
      <w:r>
        <w:t>Program-Level Results</w:t>
      </w:r>
      <w:bookmarkEnd w:id="90"/>
    </w:p>
    <w:p w:rsidR="002C285E" w:rsidRPr="00216AA8" w:rsidRDefault="005C2163" w:rsidP="002C285E">
      <w:r>
        <w:fldChar w:fldCharType="begin"/>
      </w:r>
      <w:r w:rsidR="002F45ED">
        <w:instrText xml:space="preserve"> REF _Ref389219844 \h </w:instrText>
      </w:r>
      <w:r>
        <w:fldChar w:fldCharType="separate"/>
      </w:r>
      <w:r w:rsidR="00CD20CF">
        <w:t xml:space="preserve">Table </w:t>
      </w:r>
      <w:r w:rsidR="00CD20CF">
        <w:rPr>
          <w:noProof/>
        </w:rPr>
        <w:t>44</w:t>
      </w:r>
      <w:r>
        <w:fldChar w:fldCharType="end"/>
      </w:r>
      <w:r w:rsidR="002C285E">
        <w:t xml:space="preserve"> presents evaluated adjusted gross electric and gas energy savings for the 2011 HES-IE program.</w:t>
      </w:r>
    </w:p>
    <w:p w:rsidR="002C285E" w:rsidRPr="00216AA8" w:rsidRDefault="002C285E" w:rsidP="002C285E">
      <w:pPr>
        <w:pStyle w:val="Caption"/>
      </w:pPr>
      <w:bookmarkStart w:id="91" w:name="_Ref389219844"/>
      <w:r>
        <w:t xml:space="preserve">Table </w:t>
      </w:r>
      <w:r w:rsidR="002506E1">
        <w:fldChar w:fldCharType="begin"/>
      </w:r>
      <w:r w:rsidR="002506E1">
        <w:instrText xml:space="preserve"> SEQ Table \* ARABIC </w:instrText>
      </w:r>
      <w:r w:rsidR="002506E1">
        <w:fldChar w:fldCharType="separate"/>
      </w:r>
      <w:r w:rsidR="00CD20CF">
        <w:rPr>
          <w:noProof/>
        </w:rPr>
        <w:t>44</w:t>
      </w:r>
      <w:r w:rsidR="002506E1">
        <w:rPr>
          <w:noProof/>
        </w:rPr>
        <w:fldChar w:fldCharType="end"/>
      </w:r>
      <w:bookmarkEnd w:id="91"/>
      <w:r>
        <w:t>. Total 2011 Evaluated HES</w:t>
      </w:r>
      <w:r w:rsidR="00B84693">
        <w:t>-IE</w:t>
      </w:r>
      <w:r>
        <w:t xml:space="preserve"> Electric and Gas Savings </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434"/>
        <w:gridCol w:w="1426"/>
        <w:gridCol w:w="1221"/>
        <w:gridCol w:w="1859"/>
      </w:tblGrid>
      <w:tr w:rsidR="002C285E" w:rsidRPr="00216AA8" w:rsidTr="002C285E">
        <w:trPr>
          <w:jc w:val="center"/>
        </w:trPr>
        <w:tc>
          <w:tcPr>
            <w:tcW w:w="0" w:type="auto"/>
            <w:shd w:val="clear" w:color="000000" w:fill="005DAA"/>
            <w:vAlign w:val="center"/>
            <w:hideMark/>
          </w:tcPr>
          <w:p w:rsidR="002C285E" w:rsidRPr="00216AA8" w:rsidRDefault="002C285E" w:rsidP="002C285E">
            <w:pPr>
              <w:spacing w:after="0" w:line="240" w:lineRule="auto"/>
              <w:jc w:val="center"/>
              <w:rPr>
                <w:rFonts w:ascii="Calibri" w:eastAsia="Times New Roman" w:hAnsi="Calibri" w:cs="Times New Roman"/>
                <w:b/>
                <w:bCs/>
                <w:color w:val="FFFFFF"/>
              </w:rPr>
            </w:pPr>
            <w:r w:rsidRPr="00216AA8">
              <w:rPr>
                <w:rFonts w:ascii="Calibri" w:eastAsia="Times New Roman" w:hAnsi="Calibri" w:cs="Times New Roman"/>
                <w:b/>
                <w:bCs/>
                <w:color w:val="FFFFFF"/>
              </w:rPr>
              <w:t>Value</w:t>
            </w:r>
          </w:p>
        </w:tc>
        <w:tc>
          <w:tcPr>
            <w:tcW w:w="0" w:type="auto"/>
            <w:shd w:val="clear" w:color="000000" w:fill="005DAA"/>
            <w:vAlign w:val="center"/>
            <w:hideMark/>
          </w:tcPr>
          <w:p w:rsidR="002C285E" w:rsidRPr="00216AA8" w:rsidRDefault="002C285E" w:rsidP="002C285E">
            <w:pPr>
              <w:spacing w:after="0" w:line="240" w:lineRule="auto"/>
              <w:jc w:val="center"/>
              <w:rPr>
                <w:rFonts w:ascii="Calibri" w:eastAsia="Times New Roman" w:hAnsi="Calibri" w:cs="Times New Roman"/>
                <w:b/>
                <w:bCs/>
                <w:color w:val="FFFFFF"/>
              </w:rPr>
            </w:pPr>
            <w:r w:rsidRPr="00216AA8">
              <w:rPr>
                <w:rFonts w:ascii="Calibri" w:eastAsia="Times New Roman" w:hAnsi="Calibri" w:cs="Times New Roman"/>
                <w:b/>
                <w:bCs/>
                <w:color w:val="FFFFFF"/>
              </w:rPr>
              <w:t>Annual MWh</w:t>
            </w:r>
          </w:p>
        </w:tc>
        <w:tc>
          <w:tcPr>
            <w:tcW w:w="0" w:type="auto"/>
            <w:shd w:val="clear" w:color="000000" w:fill="005DAA"/>
            <w:vAlign w:val="center"/>
            <w:hideMark/>
          </w:tcPr>
          <w:p w:rsidR="002C285E" w:rsidRPr="00216AA8" w:rsidRDefault="002C285E" w:rsidP="002C285E">
            <w:pPr>
              <w:spacing w:after="0" w:line="240" w:lineRule="auto"/>
              <w:jc w:val="center"/>
              <w:rPr>
                <w:rFonts w:ascii="Calibri" w:eastAsia="Times New Roman" w:hAnsi="Calibri" w:cs="Times New Roman"/>
                <w:b/>
                <w:bCs/>
                <w:color w:val="FFFFFF"/>
              </w:rPr>
            </w:pPr>
            <w:r>
              <w:rPr>
                <w:rFonts w:ascii="Calibri" w:eastAsia="Times New Roman" w:hAnsi="Calibri" w:cs="Times New Roman"/>
                <w:b/>
                <w:bCs/>
                <w:color w:val="FFFFFF"/>
              </w:rPr>
              <w:t>Annual kW</w:t>
            </w:r>
          </w:p>
        </w:tc>
        <w:tc>
          <w:tcPr>
            <w:tcW w:w="0" w:type="auto"/>
            <w:shd w:val="clear" w:color="000000" w:fill="005DAA"/>
            <w:vAlign w:val="center"/>
            <w:hideMark/>
          </w:tcPr>
          <w:p w:rsidR="002C285E" w:rsidRPr="00216AA8" w:rsidRDefault="002C285E" w:rsidP="002C285E">
            <w:pPr>
              <w:spacing w:after="0" w:line="240" w:lineRule="auto"/>
              <w:jc w:val="center"/>
              <w:rPr>
                <w:rFonts w:ascii="Calibri" w:eastAsia="Times New Roman" w:hAnsi="Calibri" w:cs="Times New Roman"/>
                <w:b/>
                <w:bCs/>
                <w:color w:val="FFFFFF"/>
              </w:rPr>
            </w:pPr>
            <w:r w:rsidRPr="00216AA8">
              <w:rPr>
                <w:rFonts w:ascii="Calibri" w:eastAsia="Times New Roman" w:hAnsi="Calibri" w:cs="Times New Roman"/>
                <w:b/>
                <w:bCs/>
                <w:color w:val="FFFFFF"/>
              </w:rPr>
              <w:t>Annual CCF (000s)</w:t>
            </w:r>
          </w:p>
        </w:tc>
      </w:tr>
      <w:tr w:rsidR="007D66A3" w:rsidRPr="00216AA8" w:rsidTr="00AE3F1B">
        <w:trPr>
          <w:jc w:val="center"/>
        </w:trPr>
        <w:tc>
          <w:tcPr>
            <w:tcW w:w="0" w:type="auto"/>
            <w:shd w:val="clear" w:color="auto" w:fill="auto"/>
            <w:vAlign w:val="center"/>
            <w:hideMark/>
          </w:tcPr>
          <w:p w:rsidR="007D66A3" w:rsidRPr="00216AA8" w:rsidRDefault="007D66A3" w:rsidP="00AE3F1B">
            <w:pPr>
              <w:spacing w:after="0" w:line="240" w:lineRule="auto"/>
              <w:rPr>
                <w:rFonts w:ascii="Calibri" w:eastAsia="Times New Roman" w:hAnsi="Calibri" w:cs="Times New Roman"/>
                <w:color w:val="000000"/>
                <w:sz w:val="20"/>
                <w:szCs w:val="20"/>
              </w:rPr>
            </w:pPr>
            <w:r w:rsidRPr="00216AA8">
              <w:rPr>
                <w:rFonts w:ascii="Calibri" w:eastAsia="Times New Roman" w:hAnsi="Calibri" w:cs="Times New Roman"/>
                <w:color w:val="000000"/>
                <w:sz w:val="20"/>
                <w:szCs w:val="20"/>
              </w:rPr>
              <w:t>Reported Savings</w:t>
            </w:r>
          </w:p>
        </w:tc>
        <w:tc>
          <w:tcPr>
            <w:tcW w:w="0" w:type="auto"/>
            <w:shd w:val="clear" w:color="auto" w:fill="auto"/>
            <w:vAlign w:val="center"/>
          </w:tcPr>
          <w:p w:rsidR="007D66A3" w:rsidRPr="00216AA8" w:rsidRDefault="007D66A3" w:rsidP="00AE3F1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25,132</w:t>
            </w:r>
          </w:p>
        </w:tc>
        <w:tc>
          <w:tcPr>
            <w:tcW w:w="0" w:type="auto"/>
            <w:shd w:val="clear" w:color="auto" w:fill="auto"/>
            <w:vAlign w:val="center"/>
          </w:tcPr>
          <w:p w:rsidR="007D66A3" w:rsidRPr="00216AA8" w:rsidRDefault="007D66A3" w:rsidP="00AE3F1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1,558</w:t>
            </w:r>
          </w:p>
        </w:tc>
        <w:tc>
          <w:tcPr>
            <w:tcW w:w="0" w:type="auto"/>
            <w:shd w:val="clear" w:color="auto" w:fill="auto"/>
            <w:vAlign w:val="center"/>
          </w:tcPr>
          <w:p w:rsidR="007D66A3" w:rsidRPr="00216AA8" w:rsidRDefault="007D66A3" w:rsidP="00AE3F1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932</w:t>
            </w:r>
          </w:p>
        </w:tc>
      </w:tr>
      <w:tr w:rsidR="007D66A3" w:rsidRPr="00216AA8" w:rsidTr="00AE3F1B">
        <w:trPr>
          <w:jc w:val="center"/>
        </w:trPr>
        <w:tc>
          <w:tcPr>
            <w:tcW w:w="0" w:type="auto"/>
            <w:shd w:val="clear" w:color="auto" w:fill="auto"/>
            <w:vAlign w:val="center"/>
            <w:hideMark/>
          </w:tcPr>
          <w:p w:rsidR="007D66A3" w:rsidRPr="00216AA8" w:rsidRDefault="007D66A3" w:rsidP="00AE3F1B">
            <w:pPr>
              <w:spacing w:after="0" w:line="240" w:lineRule="auto"/>
              <w:rPr>
                <w:rFonts w:ascii="Calibri" w:eastAsia="Times New Roman" w:hAnsi="Calibri" w:cs="Times New Roman"/>
                <w:color w:val="000000"/>
                <w:sz w:val="20"/>
                <w:szCs w:val="20"/>
              </w:rPr>
            </w:pPr>
            <w:r w:rsidRPr="00216AA8">
              <w:rPr>
                <w:rFonts w:ascii="Calibri" w:eastAsia="Times New Roman" w:hAnsi="Calibri" w:cs="Times New Roman"/>
                <w:color w:val="000000"/>
                <w:sz w:val="20"/>
                <w:szCs w:val="20"/>
              </w:rPr>
              <w:t>Evaluated Adjusted Savings</w:t>
            </w:r>
          </w:p>
        </w:tc>
        <w:tc>
          <w:tcPr>
            <w:tcW w:w="0" w:type="auto"/>
            <w:shd w:val="clear" w:color="auto" w:fill="auto"/>
            <w:vAlign w:val="center"/>
          </w:tcPr>
          <w:p w:rsidR="007D66A3" w:rsidRPr="00216AA8" w:rsidRDefault="007D66A3" w:rsidP="00AE3F1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19,836</w:t>
            </w:r>
          </w:p>
        </w:tc>
        <w:tc>
          <w:tcPr>
            <w:tcW w:w="0" w:type="auto"/>
            <w:shd w:val="clear" w:color="auto" w:fill="auto"/>
            <w:vAlign w:val="center"/>
          </w:tcPr>
          <w:p w:rsidR="007D66A3" w:rsidRPr="00216AA8" w:rsidRDefault="007D66A3" w:rsidP="00AE3F1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1,230</w:t>
            </w:r>
          </w:p>
        </w:tc>
        <w:tc>
          <w:tcPr>
            <w:tcW w:w="0" w:type="auto"/>
            <w:shd w:val="clear" w:color="auto" w:fill="auto"/>
            <w:vAlign w:val="center"/>
          </w:tcPr>
          <w:p w:rsidR="007D66A3" w:rsidRPr="00216AA8" w:rsidRDefault="007D66A3" w:rsidP="00AE3F1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514</w:t>
            </w:r>
          </w:p>
        </w:tc>
      </w:tr>
      <w:tr w:rsidR="007D66A3" w:rsidRPr="00216AA8" w:rsidTr="00AE3F1B">
        <w:trPr>
          <w:jc w:val="center"/>
        </w:trPr>
        <w:tc>
          <w:tcPr>
            <w:tcW w:w="0" w:type="auto"/>
            <w:shd w:val="clear" w:color="auto" w:fill="auto"/>
            <w:vAlign w:val="center"/>
            <w:hideMark/>
          </w:tcPr>
          <w:p w:rsidR="007D66A3" w:rsidRPr="00216AA8" w:rsidRDefault="007D66A3" w:rsidP="00AE3F1B">
            <w:pPr>
              <w:spacing w:after="0" w:line="240" w:lineRule="auto"/>
              <w:rPr>
                <w:rFonts w:ascii="Calibri" w:eastAsia="Times New Roman" w:hAnsi="Calibri" w:cs="Times New Roman"/>
                <w:color w:val="000000"/>
                <w:sz w:val="20"/>
                <w:szCs w:val="20"/>
              </w:rPr>
            </w:pPr>
            <w:r w:rsidRPr="00216AA8">
              <w:rPr>
                <w:rFonts w:ascii="Calibri" w:eastAsia="Times New Roman" w:hAnsi="Calibri" w:cs="Times New Roman"/>
                <w:color w:val="000000"/>
                <w:sz w:val="20"/>
                <w:szCs w:val="20"/>
              </w:rPr>
              <w:t>Realization Rate</w:t>
            </w:r>
          </w:p>
        </w:tc>
        <w:tc>
          <w:tcPr>
            <w:tcW w:w="0" w:type="auto"/>
            <w:gridSpan w:val="2"/>
            <w:shd w:val="clear" w:color="auto" w:fill="auto"/>
            <w:vAlign w:val="center"/>
          </w:tcPr>
          <w:p w:rsidR="007D66A3" w:rsidRPr="00216AA8" w:rsidRDefault="007D66A3" w:rsidP="00AE3F1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79%</w:t>
            </w:r>
          </w:p>
        </w:tc>
        <w:tc>
          <w:tcPr>
            <w:tcW w:w="0" w:type="auto"/>
            <w:shd w:val="clear" w:color="auto" w:fill="auto"/>
            <w:vAlign w:val="center"/>
          </w:tcPr>
          <w:p w:rsidR="007D66A3" w:rsidRPr="00216AA8" w:rsidRDefault="007D66A3" w:rsidP="00AE3F1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55%</w:t>
            </w:r>
          </w:p>
        </w:tc>
      </w:tr>
    </w:tbl>
    <w:p w:rsidR="007D66A3" w:rsidRDefault="007D66A3" w:rsidP="007D66A3">
      <w:pPr>
        <w:pStyle w:val="NormalAfterTablesandFigures"/>
        <w:ind w:left="1350" w:right="1260"/>
        <w:rPr>
          <w:rFonts w:ascii="Calibri" w:eastAsia="Times New Roman" w:hAnsi="Calibri" w:cs="Times New Roman"/>
          <w:bCs/>
          <w:sz w:val="20"/>
          <w:szCs w:val="20"/>
        </w:rPr>
      </w:pPr>
      <w:r w:rsidRPr="004863EE">
        <w:rPr>
          <w:rFonts w:ascii="Calibri" w:eastAsia="Times New Roman" w:hAnsi="Calibri" w:cs="Times New Roman"/>
          <w:bCs/>
          <w:sz w:val="20"/>
          <w:szCs w:val="20"/>
        </w:rPr>
        <w:t>*</w:t>
      </w:r>
      <w:r>
        <w:rPr>
          <w:rFonts w:ascii="Calibri" w:eastAsia="Times New Roman" w:hAnsi="Calibri" w:cs="Times New Roman"/>
          <w:bCs/>
          <w:sz w:val="20"/>
          <w:szCs w:val="20"/>
        </w:rPr>
        <w:t xml:space="preserve">The realization rates from the SP1 and SP4 whole-house billing analyses have been applied to the percentage of HES-IE savings attributed </w:t>
      </w:r>
      <w:r w:rsidR="00B84693">
        <w:rPr>
          <w:rFonts w:ascii="Calibri" w:eastAsia="Times New Roman" w:hAnsi="Calibri" w:cs="Times New Roman"/>
          <w:bCs/>
          <w:sz w:val="20"/>
          <w:szCs w:val="20"/>
        </w:rPr>
        <w:t>to each</w:t>
      </w:r>
      <w:r>
        <w:rPr>
          <w:rFonts w:ascii="Calibri" w:eastAsia="Times New Roman" w:hAnsi="Calibri" w:cs="Times New Roman"/>
          <w:bCs/>
          <w:sz w:val="20"/>
          <w:szCs w:val="20"/>
        </w:rPr>
        <w:t xml:space="preserve"> subprogram, for electric and gas, respectively.</w:t>
      </w:r>
    </w:p>
    <w:p w:rsidR="002C285E" w:rsidRDefault="002C285E" w:rsidP="002C285E">
      <w:pPr>
        <w:pStyle w:val="NormalAfterTablesandFigures"/>
      </w:pPr>
    </w:p>
    <w:p w:rsidR="002C285E" w:rsidRDefault="002C285E" w:rsidP="002C285E">
      <w:r>
        <w:t xml:space="preserve">For the HES-IE program, evaluated adjusted gross savings were </w:t>
      </w:r>
      <w:r w:rsidR="00B31F27">
        <w:t xml:space="preserve">lower </w:t>
      </w:r>
      <w:r>
        <w:t xml:space="preserve">than reported savings, with an adjusted gross realization rate </w:t>
      </w:r>
      <w:r w:rsidRPr="007A156B">
        <w:t xml:space="preserve">of </w:t>
      </w:r>
      <w:r w:rsidR="00B84693">
        <w:t>79</w:t>
      </w:r>
      <w:r w:rsidRPr="007A156B">
        <w:t>%</w:t>
      </w:r>
      <w:r w:rsidR="00B31F27">
        <w:t xml:space="preserve"> for electric and 5</w:t>
      </w:r>
      <w:r w:rsidR="00B84693">
        <w:t>5</w:t>
      </w:r>
      <w:r w:rsidR="00B31F27">
        <w:t>% for gas</w:t>
      </w:r>
      <w:r>
        <w:t>. Evaluated savings have been calculated using analytical methods specific to each measure, as described in more detail below</w:t>
      </w:r>
      <w:r w:rsidR="009D24CE">
        <w:t>.</w:t>
      </w:r>
    </w:p>
    <w:p w:rsidR="002C285E" w:rsidRDefault="005C2163" w:rsidP="009E4EE8">
      <w:r>
        <w:fldChar w:fldCharType="begin"/>
      </w:r>
      <w:r w:rsidR="00A41FEC">
        <w:instrText xml:space="preserve"> REF _Ref389220559 \h </w:instrText>
      </w:r>
      <w:r>
        <w:fldChar w:fldCharType="separate"/>
      </w:r>
      <w:r w:rsidR="00CD20CF">
        <w:t xml:space="preserve">Figure </w:t>
      </w:r>
      <w:r w:rsidR="00CD20CF">
        <w:rPr>
          <w:noProof/>
        </w:rPr>
        <w:t>4</w:t>
      </w:r>
      <w:r>
        <w:fldChar w:fldCharType="end"/>
      </w:r>
      <w:r w:rsidR="002C285E">
        <w:t xml:space="preserve"> and </w:t>
      </w:r>
      <w:r>
        <w:fldChar w:fldCharType="begin"/>
      </w:r>
      <w:r w:rsidR="00A41FEC">
        <w:instrText xml:space="preserve"> REF _Ref389220568 \h </w:instrText>
      </w:r>
      <w:r>
        <w:fldChar w:fldCharType="separate"/>
      </w:r>
      <w:r w:rsidR="00CD20CF">
        <w:t xml:space="preserve">Figure </w:t>
      </w:r>
      <w:r w:rsidR="00CD20CF">
        <w:rPr>
          <w:noProof/>
        </w:rPr>
        <w:t>5</w:t>
      </w:r>
      <w:r>
        <w:fldChar w:fldCharType="end"/>
      </w:r>
      <w:r w:rsidR="002C285E">
        <w:t xml:space="preserve"> show the distribution of evaluated energy savings by measure, for electric and gas, respectively. For this program, </w:t>
      </w:r>
      <w:r w:rsidR="00F56B66">
        <w:t xml:space="preserve">the majority </w:t>
      </w:r>
      <w:r w:rsidR="002C285E">
        <w:t xml:space="preserve">of savings occurred through </w:t>
      </w:r>
      <w:r w:rsidR="00150AD4">
        <w:t xml:space="preserve">the following </w:t>
      </w:r>
      <w:r w:rsidR="002C285E">
        <w:t xml:space="preserve">measures: </w:t>
      </w:r>
    </w:p>
    <w:p w:rsidR="002C285E" w:rsidRPr="004F2B11" w:rsidRDefault="002C285E" w:rsidP="002C285E">
      <w:pPr>
        <w:pStyle w:val="Bulletlevel1"/>
      </w:pPr>
      <w:r>
        <w:t xml:space="preserve">For </w:t>
      </w:r>
      <w:r w:rsidRPr="004F2B11">
        <w:t>elec</w:t>
      </w:r>
      <w:r w:rsidR="00F56B66">
        <w:t>tric savings: lighting</w:t>
      </w:r>
      <w:r w:rsidRPr="004F2B11">
        <w:t xml:space="preserve">, </w:t>
      </w:r>
      <w:r w:rsidR="004F2B11" w:rsidRPr="004F2B11">
        <w:t xml:space="preserve">ductless heat pumps, </w:t>
      </w:r>
      <w:r w:rsidR="00F56B66">
        <w:t>and air sealing</w:t>
      </w:r>
      <w:r w:rsidR="00196313">
        <w:t xml:space="preserve"> accounted for 69% of reported savings and 79% of evaluated savings</w:t>
      </w:r>
      <w:r w:rsidRPr="004F2B11">
        <w:t xml:space="preserve">. </w:t>
      </w:r>
    </w:p>
    <w:p w:rsidR="002C285E" w:rsidRPr="004F2B11" w:rsidRDefault="002C285E" w:rsidP="002C285E">
      <w:pPr>
        <w:pStyle w:val="Bulletlevel1-last"/>
      </w:pPr>
      <w:r w:rsidRPr="004F2B11">
        <w:t xml:space="preserve">For gas savings: </w:t>
      </w:r>
      <w:r w:rsidR="004F2B11" w:rsidRPr="004F2B11">
        <w:t>insulation, air sealing</w:t>
      </w:r>
      <w:r w:rsidRPr="004F2B11">
        <w:t xml:space="preserve">, </w:t>
      </w:r>
      <w:r w:rsidR="00196313">
        <w:t xml:space="preserve">and </w:t>
      </w:r>
      <w:r w:rsidR="004F2B11" w:rsidRPr="004F2B11">
        <w:t>DHW bundle</w:t>
      </w:r>
      <w:r w:rsidR="00196313">
        <w:t xml:space="preserve"> accounted for 90% of reported savings and 89% of evaluated savings</w:t>
      </w:r>
      <w:r w:rsidRPr="004F2B11">
        <w:t>.</w:t>
      </w:r>
    </w:p>
    <w:p w:rsidR="002C285E" w:rsidRDefault="002C285E" w:rsidP="002C285E">
      <w:pPr>
        <w:pStyle w:val="Caption"/>
      </w:pPr>
      <w:bookmarkStart w:id="92" w:name="_Ref389220559"/>
      <w:r>
        <w:lastRenderedPageBreak/>
        <w:t xml:space="preserve">Figure </w:t>
      </w:r>
      <w:r w:rsidR="002506E1">
        <w:fldChar w:fldCharType="begin"/>
      </w:r>
      <w:r w:rsidR="002506E1">
        <w:instrText xml:space="preserve"> SEQ Figure \* ARABIC </w:instrText>
      </w:r>
      <w:r w:rsidR="002506E1">
        <w:fldChar w:fldCharType="separate"/>
      </w:r>
      <w:r w:rsidR="00CD20CF">
        <w:rPr>
          <w:noProof/>
        </w:rPr>
        <w:t>4</w:t>
      </w:r>
      <w:r w:rsidR="002506E1">
        <w:rPr>
          <w:noProof/>
        </w:rPr>
        <w:fldChar w:fldCharType="end"/>
      </w:r>
      <w:bookmarkEnd w:id="92"/>
      <w:r>
        <w:t xml:space="preserve">. Measure Distribution of 2011 HES-IE Electric Savings, </w:t>
      </w:r>
      <w:r w:rsidRPr="009456A8">
        <w:rPr>
          <w:i/>
        </w:rPr>
        <w:t>Ex Ante</w:t>
      </w:r>
      <w:r>
        <w:t xml:space="preserve"> and Evaluated</w:t>
      </w:r>
    </w:p>
    <w:p w:rsidR="002C285E" w:rsidRDefault="00F56B66" w:rsidP="003E0229">
      <w:pPr>
        <w:jc w:val="center"/>
      </w:pPr>
      <w:r>
        <w:rPr>
          <w:noProof/>
        </w:rPr>
        <w:drawing>
          <wp:inline distT="0" distB="0" distL="0" distR="0">
            <wp:extent cx="4578350" cy="27559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2C285E" w:rsidRDefault="002C285E" w:rsidP="002C285E">
      <w:pPr>
        <w:pStyle w:val="NormalAfterTablesandFigures"/>
      </w:pPr>
    </w:p>
    <w:p w:rsidR="002C285E" w:rsidRDefault="002C285E" w:rsidP="002C285E">
      <w:pPr>
        <w:pStyle w:val="Caption"/>
      </w:pPr>
      <w:bookmarkStart w:id="93" w:name="_Ref389220568"/>
      <w:r>
        <w:t xml:space="preserve">Figure </w:t>
      </w:r>
      <w:r w:rsidR="002506E1">
        <w:fldChar w:fldCharType="begin"/>
      </w:r>
      <w:r w:rsidR="002506E1">
        <w:instrText xml:space="preserve"> SEQ Figure \* ARABIC </w:instrText>
      </w:r>
      <w:r w:rsidR="002506E1">
        <w:fldChar w:fldCharType="separate"/>
      </w:r>
      <w:r w:rsidR="00CD20CF">
        <w:rPr>
          <w:noProof/>
        </w:rPr>
        <w:t>5</w:t>
      </w:r>
      <w:r w:rsidR="002506E1">
        <w:rPr>
          <w:noProof/>
        </w:rPr>
        <w:fldChar w:fldCharType="end"/>
      </w:r>
      <w:bookmarkEnd w:id="93"/>
      <w:r>
        <w:t xml:space="preserve">. Measure Distribution of 2011 HES-IE Gas Savings, </w:t>
      </w:r>
      <w:r w:rsidRPr="009456A8">
        <w:rPr>
          <w:i/>
        </w:rPr>
        <w:t>Ex Ante</w:t>
      </w:r>
      <w:r>
        <w:t xml:space="preserve"> and Evaluated </w:t>
      </w:r>
    </w:p>
    <w:p w:rsidR="002C285E" w:rsidRDefault="00F56B66" w:rsidP="002C285E">
      <w:pPr>
        <w:spacing w:after="0"/>
        <w:jc w:val="center"/>
      </w:pPr>
      <w:r>
        <w:rPr>
          <w:noProof/>
        </w:rPr>
        <w:drawing>
          <wp:inline distT="0" distB="0" distL="0" distR="0">
            <wp:extent cx="4590415" cy="2926080"/>
            <wp:effectExtent l="0" t="0" r="63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90415" cy="2926080"/>
                    </a:xfrm>
                    <a:prstGeom prst="rect">
                      <a:avLst/>
                    </a:prstGeom>
                    <a:noFill/>
                  </pic:spPr>
                </pic:pic>
              </a:graphicData>
            </a:graphic>
          </wp:inline>
        </w:drawing>
      </w:r>
    </w:p>
    <w:p w:rsidR="002C285E" w:rsidRDefault="002C285E" w:rsidP="002C285E">
      <w:pPr>
        <w:pStyle w:val="NormalAfterTablesandFigures"/>
      </w:pPr>
    </w:p>
    <w:p w:rsidR="004F2B11" w:rsidRDefault="004F2B11" w:rsidP="002C285E">
      <w:r>
        <w:t xml:space="preserve">As shown, variation occurred in the percent of totals savings attributed to specific measure categories, which </w:t>
      </w:r>
      <w:r w:rsidR="001567EE">
        <w:t>was</w:t>
      </w:r>
      <w:r>
        <w:t xml:space="preserve"> a function of measure-specific realization rates. For electric savings, air sealing, ductless heat pumps, refrigerator replacement</w:t>
      </w:r>
      <w:r w:rsidR="001567EE">
        <w:t>,</w:t>
      </w:r>
      <w:r>
        <w:t xml:space="preserve"> and </w:t>
      </w:r>
      <w:r w:rsidR="001567EE">
        <w:t xml:space="preserve">the </w:t>
      </w:r>
      <w:r>
        <w:t xml:space="preserve">DHW bundle represented a high proportion of program </w:t>
      </w:r>
      <w:r w:rsidRPr="004F2B11">
        <w:rPr>
          <w:i/>
        </w:rPr>
        <w:t>ex ante</w:t>
      </w:r>
      <w:r>
        <w:t xml:space="preserve"> savings (60% in total)</w:t>
      </w:r>
      <w:r w:rsidR="001567EE">
        <w:t>,</w:t>
      </w:r>
      <w:r>
        <w:t xml:space="preserve"> and each received lower realization rates. For gas savings, insulation, air sealing, and wall insulation also accounted for a high proportion of </w:t>
      </w:r>
      <w:r w:rsidRPr="004F2B11">
        <w:rPr>
          <w:i/>
        </w:rPr>
        <w:t>ex ante</w:t>
      </w:r>
      <w:r>
        <w:t xml:space="preserve"> savings (90%) and had lower measure-specific realization rates.</w:t>
      </w:r>
    </w:p>
    <w:p w:rsidR="002C285E" w:rsidRDefault="005C2163" w:rsidP="00FC291D">
      <w:r>
        <w:lastRenderedPageBreak/>
        <w:fldChar w:fldCharType="begin"/>
      </w:r>
      <w:r w:rsidR="001567EE">
        <w:instrText xml:space="preserve"> REF _Ref389211991 \h </w:instrText>
      </w:r>
      <w:r>
        <w:fldChar w:fldCharType="separate"/>
      </w:r>
      <w:r w:rsidR="00CD20CF">
        <w:t xml:space="preserve">Table </w:t>
      </w:r>
      <w:r w:rsidR="00CD20CF">
        <w:rPr>
          <w:noProof/>
        </w:rPr>
        <w:t>45</w:t>
      </w:r>
      <w:r>
        <w:fldChar w:fldCharType="end"/>
      </w:r>
      <w:r w:rsidR="002C285E">
        <w:t xml:space="preserve"> and </w:t>
      </w:r>
      <w:r>
        <w:fldChar w:fldCharType="begin"/>
      </w:r>
      <w:r w:rsidR="001567EE">
        <w:instrText xml:space="preserve"> REF _Ref389212000 \h </w:instrText>
      </w:r>
      <w:r>
        <w:fldChar w:fldCharType="separate"/>
      </w:r>
      <w:r w:rsidR="00CD20CF">
        <w:t xml:space="preserve">Table </w:t>
      </w:r>
      <w:r w:rsidR="00CD20CF">
        <w:rPr>
          <w:noProof/>
        </w:rPr>
        <w:t>46</w:t>
      </w:r>
      <w:r>
        <w:fldChar w:fldCharType="end"/>
      </w:r>
      <w:r w:rsidR="002C285E">
        <w:t xml:space="preserve"> present the distribution of HES-IE electric and gas savings at the measure-level, comparing reported </w:t>
      </w:r>
      <w:r w:rsidR="002C285E" w:rsidRPr="00296386">
        <w:rPr>
          <w:i/>
        </w:rPr>
        <w:t>ex ante</w:t>
      </w:r>
      <w:r w:rsidR="002C285E">
        <w:t xml:space="preserve"> savings to estimates of evaluated gross savings. The savings estimates below reflect average household savings for participants receiving a given measure. </w:t>
      </w:r>
    </w:p>
    <w:p w:rsidR="002C285E" w:rsidRDefault="002C285E" w:rsidP="00FC291D">
      <w:pPr>
        <w:pStyle w:val="Caption"/>
      </w:pPr>
      <w:bookmarkStart w:id="94" w:name="_Ref389211991"/>
      <w:r>
        <w:t xml:space="preserve">Table </w:t>
      </w:r>
      <w:r w:rsidR="002506E1">
        <w:fldChar w:fldCharType="begin"/>
      </w:r>
      <w:r w:rsidR="002506E1">
        <w:instrText xml:space="preserve"> SEQ Table \* ARABIC </w:instrText>
      </w:r>
      <w:r w:rsidR="002506E1">
        <w:fldChar w:fldCharType="separate"/>
      </w:r>
      <w:r w:rsidR="00CD20CF">
        <w:rPr>
          <w:noProof/>
        </w:rPr>
        <w:t>45</w:t>
      </w:r>
      <w:r w:rsidR="002506E1">
        <w:rPr>
          <w:noProof/>
        </w:rPr>
        <w:fldChar w:fldCharType="end"/>
      </w:r>
      <w:bookmarkEnd w:id="94"/>
      <w:r>
        <w:t xml:space="preserve">. Comparison of </w:t>
      </w:r>
      <w:r w:rsidRPr="001567EE">
        <w:rPr>
          <w:i/>
        </w:rPr>
        <w:t>Ex Ante</w:t>
      </w:r>
      <w:r>
        <w:t xml:space="preserve"> and </w:t>
      </w:r>
      <w:r w:rsidR="005025C1">
        <w:t>Evaluated</w:t>
      </w:r>
      <w:r>
        <w:t xml:space="preserve"> Gross Savings by Measure</w:t>
      </w:r>
      <w:r w:rsidR="001567EE">
        <w:t>—</w:t>
      </w:r>
      <w:r>
        <w:t>HES-IE Electric</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80"/>
        <w:gridCol w:w="1883"/>
        <w:gridCol w:w="1791"/>
        <w:gridCol w:w="1343"/>
        <w:gridCol w:w="1230"/>
        <w:gridCol w:w="2149"/>
      </w:tblGrid>
      <w:tr w:rsidR="00BD4616" w:rsidRPr="00C20399" w:rsidTr="005025C1">
        <w:trPr>
          <w:tblHeader/>
        </w:trPr>
        <w:tc>
          <w:tcPr>
            <w:tcW w:w="616" w:type="pct"/>
            <w:shd w:val="clear" w:color="000000" w:fill="005DAA"/>
            <w:vAlign w:val="center"/>
            <w:hideMark/>
          </w:tcPr>
          <w:p w:rsidR="00C20399" w:rsidRPr="00C20399" w:rsidRDefault="00C20399" w:rsidP="00AB752D">
            <w:pPr>
              <w:spacing w:after="0"/>
              <w:jc w:val="center"/>
              <w:rPr>
                <w:rFonts w:ascii="Calibri" w:eastAsia="Times New Roman" w:hAnsi="Calibri" w:cs="Times New Roman"/>
                <w:b/>
                <w:bCs/>
                <w:color w:val="FFFFFF"/>
              </w:rPr>
            </w:pPr>
            <w:r w:rsidRPr="00C20399">
              <w:rPr>
                <w:rFonts w:ascii="Calibri" w:eastAsia="Times New Roman" w:hAnsi="Calibri" w:cs="Times New Roman"/>
                <w:b/>
                <w:bCs/>
                <w:color w:val="FFFFFF"/>
              </w:rPr>
              <w:t>Category</w:t>
            </w:r>
          </w:p>
        </w:tc>
        <w:tc>
          <w:tcPr>
            <w:tcW w:w="983" w:type="pct"/>
            <w:shd w:val="clear" w:color="000000" w:fill="005DAA"/>
            <w:vAlign w:val="center"/>
            <w:hideMark/>
          </w:tcPr>
          <w:p w:rsidR="00C20399" w:rsidRPr="00C20399" w:rsidRDefault="00C20399" w:rsidP="00AB752D">
            <w:pPr>
              <w:spacing w:after="0"/>
              <w:jc w:val="center"/>
              <w:rPr>
                <w:rFonts w:ascii="Calibri" w:eastAsia="Times New Roman" w:hAnsi="Calibri" w:cs="Times New Roman"/>
                <w:b/>
                <w:bCs/>
                <w:color w:val="FFFFFF"/>
              </w:rPr>
            </w:pPr>
            <w:r w:rsidRPr="00C20399">
              <w:rPr>
                <w:rFonts w:ascii="Calibri" w:eastAsia="Times New Roman" w:hAnsi="Calibri" w:cs="Times New Roman"/>
                <w:b/>
                <w:bCs/>
                <w:color w:val="FFFFFF"/>
              </w:rPr>
              <w:t>Measure</w:t>
            </w:r>
          </w:p>
        </w:tc>
        <w:tc>
          <w:tcPr>
            <w:tcW w:w="935" w:type="pct"/>
            <w:shd w:val="clear" w:color="000000" w:fill="005DAA"/>
            <w:vAlign w:val="center"/>
            <w:hideMark/>
          </w:tcPr>
          <w:p w:rsidR="00C20399" w:rsidRPr="00C20399" w:rsidRDefault="00C20399" w:rsidP="00AB752D">
            <w:pPr>
              <w:spacing w:after="0"/>
              <w:jc w:val="center"/>
              <w:rPr>
                <w:rFonts w:ascii="Calibri" w:eastAsia="Times New Roman" w:hAnsi="Calibri" w:cs="Times New Roman"/>
                <w:b/>
                <w:bCs/>
                <w:color w:val="FFFFFF"/>
              </w:rPr>
            </w:pPr>
            <w:r w:rsidRPr="00C20399">
              <w:rPr>
                <w:rFonts w:ascii="Calibri" w:eastAsia="Times New Roman" w:hAnsi="Calibri" w:cs="Times New Roman"/>
                <w:b/>
                <w:bCs/>
                <w:color w:val="FFFFFF"/>
              </w:rPr>
              <w:t xml:space="preserve">Reported </w:t>
            </w:r>
            <w:r w:rsidRPr="00C20399">
              <w:rPr>
                <w:rFonts w:ascii="Calibri" w:eastAsia="Times New Roman" w:hAnsi="Calibri" w:cs="Times New Roman"/>
                <w:b/>
                <w:bCs/>
                <w:i/>
                <w:color w:val="FFFFFF"/>
              </w:rPr>
              <w:t>Ex ante</w:t>
            </w:r>
            <w:r w:rsidRPr="00C20399">
              <w:rPr>
                <w:rFonts w:ascii="Calibri" w:eastAsia="Times New Roman" w:hAnsi="Calibri" w:cs="Times New Roman"/>
                <w:b/>
                <w:bCs/>
                <w:color w:val="FFFFFF"/>
              </w:rPr>
              <w:t xml:space="preserve"> </w:t>
            </w:r>
            <w:r>
              <w:rPr>
                <w:rFonts w:ascii="Calibri" w:eastAsia="Times New Roman" w:hAnsi="Calibri" w:cs="Times New Roman"/>
                <w:b/>
                <w:bCs/>
                <w:color w:val="FFFFFF"/>
              </w:rPr>
              <w:t>Savings (kWh/ Household)</w:t>
            </w:r>
            <w:r w:rsidRPr="00C20399">
              <w:rPr>
                <w:rFonts w:ascii="Calibri" w:eastAsia="Times New Roman" w:hAnsi="Calibri" w:cs="Times New Roman"/>
                <w:b/>
                <w:bCs/>
                <w:color w:val="FFFFFF"/>
              </w:rPr>
              <w:t>*</w:t>
            </w:r>
            <w:r w:rsidRPr="00C20399">
              <w:rPr>
                <w:rFonts w:ascii="Calibri" w:eastAsia="Times New Roman" w:hAnsi="Calibri" w:cs="Times New Roman"/>
                <w:b/>
                <w:bCs/>
                <w:color w:val="FFFFFF"/>
              </w:rPr>
              <w:br/>
              <w:t>(A)</w:t>
            </w:r>
          </w:p>
        </w:tc>
        <w:tc>
          <w:tcPr>
            <w:tcW w:w="701" w:type="pct"/>
            <w:shd w:val="clear" w:color="000000" w:fill="005DAA"/>
            <w:vAlign w:val="center"/>
            <w:hideMark/>
          </w:tcPr>
          <w:p w:rsidR="00C20399" w:rsidRPr="00C20399" w:rsidRDefault="005025C1" w:rsidP="00AB752D">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Gross Savings (kWh/ Household)</w:t>
            </w:r>
            <w:r w:rsidR="00C20399" w:rsidRPr="00C20399">
              <w:rPr>
                <w:rFonts w:ascii="Calibri" w:eastAsia="Times New Roman" w:hAnsi="Calibri" w:cs="Times New Roman"/>
                <w:b/>
                <w:bCs/>
                <w:color w:val="FFFFFF"/>
              </w:rPr>
              <w:br/>
              <w:t>(B)</w:t>
            </w:r>
          </w:p>
        </w:tc>
        <w:tc>
          <w:tcPr>
            <w:tcW w:w="642" w:type="pct"/>
            <w:shd w:val="clear" w:color="000000" w:fill="005DAA"/>
            <w:vAlign w:val="center"/>
            <w:hideMark/>
          </w:tcPr>
          <w:p w:rsidR="00C20399" w:rsidRPr="00C20399" w:rsidRDefault="005025C1" w:rsidP="005025C1">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Realization Rate</w:t>
            </w:r>
            <w:r w:rsidR="00C20399" w:rsidRPr="00C20399">
              <w:rPr>
                <w:rFonts w:ascii="Calibri" w:eastAsia="Times New Roman" w:hAnsi="Calibri" w:cs="Times New Roman"/>
                <w:b/>
                <w:bCs/>
                <w:color w:val="FFFFFF"/>
              </w:rPr>
              <w:t xml:space="preserve"> </w:t>
            </w:r>
            <w:r w:rsidR="00C20399" w:rsidRPr="00C20399">
              <w:rPr>
                <w:rFonts w:ascii="Calibri" w:eastAsia="Times New Roman" w:hAnsi="Calibri" w:cs="Times New Roman"/>
                <w:b/>
                <w:bCs/>
                <w:color w:val="FFFFFF"/>
              </w:rPr>
              <w:br/>
              <w:t>(B/A)</w:t>
            </w:r>
          </w:p>
        </w:tc>
        <w:tc>
          <w:tcPr>
            <w:tcW w:w="1122" w:type="pct"/>
            <w:shd w:val="clear" w:color="000000" w:fill="005DAA"/>
            <w:vAlign w:val="center"/>
            <w:hideMark/>
          </w:tcPr>
          <w:p w:rsidR="00C20399" w:rsidRPr="00C20399" w:rsidRDefault="00C20399" w:rsidP="00AB752D">
            <w:pPr>
              <w:spacing w:after="0"/>
              <w:jc w:val="center"/>
              <w:rPr>
                <w:rFonts w:ascii="Calibri" w:eastAsia="Times New Roman" w:hAnsi="Calibri" w:cs="Times New Roman"/>
                <w:b/>
                <w:bCs/>
                <w:color w:val="FFFFFF"/>
              </w:rPr>
            </w:pPr>
            <w:r w:rsidRPr="00C20399">
              <w:rPr>
                <w:rFonts w:ascii="Calibri" w:eastAsia="Times New Roman" w:hAnsi="Calibri" w:cs="Times New Roman"/>
                <w:b/>
                <w:bCs/>
                <w:color w:val="FFFFFF"/>
              </w:rPr>
              <w:t>Method</w:t>
            </w:r>
          </w:p>
        </w:tc>
      </w:tr>
      <w:tr w:rsidR="00A01111" w:rsidRPr="00C20399" w:rsidTr="005025C1">
        <w:tc>
          <w:tcPr>
            <w:tcW w:w="616"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Appliance</w:t>
            </w:r>
          </w:p>
        </w:tc>
        <w:tc>
          <w:tcPr>
            <w:tcW w:w="983"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Freezer</w:t>
            </w:r>
          </w:p>
        </w:tc>
        <w:tc>
          <w:tcPr>
            <w:tcW w:w="935" w:type="pct"/>
            <w:shd w:val="clear" w:color="auto" w:fill="auto"/>
            <w:vAlign w:val="center"/>
            <w:hideMark/>
          </w:tcPr>
          <w:p w:rsidR="00A01111" w:rsidRPr="00C20399" w:rsidRDefault="00A01111" w:rsidP="00AB752D">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733</w:t>
            </w:r>
          </w:p>
        </w:tc>
        <w:tc>
          <w:tcPr>
            <w:tcW w:w="701"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728</w:t>
            </w:r>
          </w:p>
        </w:tc>
        <w:tc>
          <w:tcPr>
            <w:tcW w:w="642"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99</w:t>
            </w:r>
            <w:r w:rsidRPr="00C20399">
              <w:rPr>
                <w:rFonts w:ascii="Calibri" w:eastAsia="Times New Roman" w:hAnsi="Calibri" w:cs="Times New Roman"/>
                <w:color w:val="000000"/>
                <w:sz w:val="20"/>
                <w:szCs w:val="20"/>
              </w:rPr>
              <w:t>%</w:t>
            </w:r>
          </w:p>
        </w:tc>
        <w:tc>
          <w:tcPr>
            <w:tcW w:w="1122"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Billing Analysis (±32%)</w:t>
            </w:r>
          </w:p>
        </w:tc>
      </w:tr>
      <w:tr w:rsidR="00A01111" w:rsidRPr="00C20399" w:rsidTr="005025C1">
        <w:tc>
          <w:tcPr>
            <w:tcW w:w="616"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Appliance</w:t>
            </w:r>
          </w:p>
        </w:tc>
        <w:tc>
          <w:tcPr>
            <w:tcW w:w="983"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Refrigerator</w:t>
            </w:r>
          </w:p>
        </w:tc>
        <w:tc>
          <w:tcPr>
            <w:tcW w:w="935" w:type="pct"/>
            <w:shd w:val="clear" w:color="auto" w:fill="auto"/>
            <w:vAlign w:val="center"/>
            <w:hideMark/>
          </w:tcPr>
          <w:p w:rsidR="00A01111" w:rsidRPr="00C20399" w:rsidRDefault="00A01111" w:rsidP="00AB752D">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758</w:t>
            </w:r>
          </w:p>
        </w:tc>
        <w:tc>
          <w:tcPr>
            <w:tcW w:w="701"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318</w:t>
            </w:r>
          </w:p>
        </w:tc>
        <w:tc>
          <w:tcPr>
            <w:tcW w:w="642"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42</w:t>
            </w:r>
            <w:r w:rsidRPr="00C20399">
              <w:rPr>
                <w:rFonts w:ascii="Calibri" w:eastAsia="Times New Roman" w:hAnsi="Calibri" w:cs="Times New Roman"/>
                <w:color w:val="000000"/>
                <w:sz w:val="20"/>
                <w:szCs w:val="20"/>
              </w:rPr>
              <w:t>%</w:t>
            </w:r>
          </w:p>
        </w:tc>
        <w:tc>
          <w:tcPr>
            <w:tcW w:w="1122"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Billing Analysis (±28%)</w:t>
            </w:r>
          </w:p>
        </w:tc>
      </w:tr>
      <w:tr w:rsidR="00A01111" w:rsidRPr="00C20399" w:rsidTr="005025C1">
        <w:tc>
          <w:tcPr>
            <w:tcW w:w="616"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Appliance</w:t>
            </w:r>
          </w:p>
        </w:tc>
        <w:tc>
          <w:tcPr>
            <w:tcW w:w="983"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Appliance Other</w:t>
            </w:r>
          </w:p>
        </w:tc>
        <w:tc>
          <w:tcPr>
            <w:tcW w:w="935" w:type="pct"/>
            <w:shd w:val="clear" w:color="auto" w:fill="auto"/>
            <w:vAlign w:val="center"/>
            <w:hideMark/>
          </w:tcPr>
          <w:p w:rsidR="00A01111" w:rsidRPr="00C20399" w:rsidRDefault="00A01111" w:rsidP="00AB752D">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353</w:t>
            </w:r>
          </w:p>
        </w:tc>
        <w:tc>
          <w:tcPr>
            <w:tcW w:w="701"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498</w:t>
            </w:r>
          </w:p>
        </w:tc>
        <w:tc>
          <w:tcPr>
            <w:tcW w:w="642"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141</w:t>
            </w:r>
            <w:r w:rsidRPr="00C20399">
              <w:rPr>
                <w:rFonts w:ascii="Calibri" w:eastAsia="Times New Roman" w:hAnsi="Calibri" w:cs="Times New Roman"/>
                <w:color w:val="000000"/>
                <w:sz w:val="20"/>
                <w:szCs w:val="20"/>
              </w:rPr>
              <w:t>%</w:t>
            </w:r>
          </w:p>
        </w:tc>
        <w:tc>
          <w:tcPr>
            <w:tcW w:w="1122"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Billing Analysis (±24%)</w:t>
            </w:r>
          </w:p>
        </w:tc>
      </w:tr>
      <w:tr w:rsidR="00A01111" w:rsidRPr="00C20399" w:rsidTr="005025C1">
        <w:tc>
          <w:tcPr>
            <w:tcW w:w="616"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HVAC</w:t>
            </w:r>
          </w:p>
        </w:tc>
        <w:tc>
          <w:tcPr>
            <w:tcW w:w="983"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Central AC</w:t>
            </w:r>
          </w:p>
        </w:tc>
        <w:tc>
          <w:tcPr>
            <w:tcW w:w="935" w:type="pct"/>
            <w:shd w:val="clear" w:color="auto" w:fill="auto"/>
            <w:vAlign w:val="center"/>
            <w:hideMark/>
          </w:tcPr>
          <w:p w:rsidR="00A01111" w:rsidRPr="00C20399" w:rsidRDefault="00A01111" w:rsidP="00AB752D">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98</w:t>
            </w:r>
          </w:p>
        </w:tc>
        <w:tc>
          <w:tcPr>
            <w:tcW w:w="701"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98</w:t>
            </w:r>
          </w:p>
        </w:tc>
        <w:tc>
          <w:tcPr>
            <w:tcW w:w="642"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r w:rsidRPr="00C20399">
              <w:rPr>
                <w:rFonts w:ascii="Calibri" w:eastAsia="Times New Roman" w:hAnsi="Calibri" w:cs="Times New Roman"/>
                <w:color w:val="000000"/>
                <w:sz w:val="20"/>
                <w:szCs w:val="20"/>
              </w:rPr>
              <w:t>%</w:t>
            </w:r>
          </w:p>
        </w:tc>
        <w:tc>
          <w:tcPr>
            <w:tcW w:w="1122"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Engineering Algorithm</w:t>
            </w:r>
          </w:p>
        </w:tc>
      </w:tr>
      <w:tr w:rsidR="00A01111" w:rsidRPr="00C20399" w:rsidTr="005025C1">
        <w:tc>
          <w:tcPr>
            <w:tcW w:w="616"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HVAC</w:t>
            </w:r>
          </w:p>
        </w:tc>
        <w:tc>
          <w:tcPr>
            <w:tcW w:w="983"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Duct Sealing</w:t>
            </w:r>
          </w:p>
        </w:tc>
        <w:tc>
          <w:tcPr>
            <w:tcW w:w="935" w:type="pct"/>
            <w:shd w:val="clear" w:color="auto" w:fill="auto"/>
            <w:vAlign w:val="center"/>
            <w:hideMark/>
          </w:tcPr>
          <w:p w:rsidR="00A01111" w:rsidRPr="00C20399" w:rsidRDefault="00A01111" w:rsidP="00AB752D">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262</w:t>
            </w:r>
          </w:p>
        </w:tc>
        <w:tc>
          <w:tcPr>
            <w:tcW w:w="701"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81</w:t>
            </w:r>
          </w:p>
        </w:tc>
        <w:tc>
          <w:tcPr>
            <w:tcW w:w="642"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31</w:t>
            </w:r>
            <w:r w:rsidRPr="00C20399">
              <w:rPr>
                <w:rFonts w:ascii="Calibri" w:eastAsia="Times New Roman" w:hAnsi="Calibri" w:cs="Times New Roman"/>
                <w:color w:val="000000"/>
                <w:sz w:val="20"/>
                <w:szCs w:val="20"/>
              </w:rPr>
              <w:t>%</w:t>
            </w:r>
          </w:p>
        </w:tc>
        <w:tc>
          <w:tcPr>
            <w:tcW w:w="1122"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Simulation Modeling</w:t>
            </w:r>
          </w:p>
        </w:tc>
      </w:tr>
      <w:tr w:rsidR="00A01111" w:rsidRPr="00C20399" w:rsidTr="005025C1">
        <w:tc>
          <w:tcPr>
            <w:tcW w:w="616"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HVAC</w:t>
            </w:r>
          </w:p>
        </w:tc>
        <w:tc>
          <w:tcPr>
            <w:tcW w:w="983"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Ductless Heat Pump</w:t>
            </w:r>
          </w:p>
        </w:tc>
        <w:tc>
          <w:tcPr>
            <w:tcW w:w="935" w:type="pct"/>
            <w:shd w:val="clear" w:color="auto" w:fill="auto"/>
            <w:vAlign w:val="center"/>
            <w:hideMark/>
          </w:tcPr>
          <w:p w:rsidR="00A01111" w:rsidRPr="00C20399" w:rsidRDefault="00A01111" w:rsidP="00AB752D">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1,</w:t>
            </w:r>
            <w:r>
              <w:rPr>
                <w:rFonts w:ascii="Calibri" w:eastAsia="Times New Roman" w:hAnsi="Calibri" w:cs="Times New Roman"/>
                <w:color w:val="000000"/>
                <w:sz w:val="20"/>
                <w:szCs w:val="20"/>
              </w:rPr>
              <w:t>731</w:t>
            </w:r>
          </w:p>
        </w:tc>
        <w:tc>
          <w:tcPr>
            <w:tcW w:w="701"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803</w:t>
            </w:r>
          </w:p>
        </w:tc>
        <w:tc>
          <w:tcPr>
            <w:tcW w:w="642"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46</w:t>
            </w:r>
            <w:r w:rsidRPr="00C20399">
              <w:rPr>
                <w:rFonts w:ascii="Calibri" w:eastAsia="Times New Roman" w:hAnsi="Calibri" w:cs="Times New Roman"/>
                <w:color w:val="000000"/>
                <w:sz w:val="20"/>
                <w:szCs w:val="20"/>
              </w:rPr>
              <w:t>%</w:t>
            </w:r>
          </w:p>
        </w:tc>
        <w:tc>
          <w:tcPr>
            <w:tcW w:w="1122"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Billing Analysis (±32%)</w:t>
            </w:r>
          </w:p>
        </w:tc>
      </w:tr>
      <w:tr w:rsidR="00A01111" w:rsidRPr="00C20399" w:rsidTr="005025C1">
        <w:tc>
          <w:tcPr>
            <w:tcW w:w="616"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HVAC</w:t>
            </w:r>
          </w:p>
        </w:tc>
        <w:tc>
          <w:tcPr>
            <w:tcW w:w="983"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Window AC</w:t>
            </w:r>
          </w:p>
        </w:tc>
        <w:tc>
          <w:tcPr>
            <w:tcW w:w="935" w:type="pct"/>
            <w:shd w:val="clear" w:color="auto" w:fill="auto"/>
            <w:vAlign w:val="center"/>
            <w:hideMark/>
          </w:tcPr>
          <w:p w:rsidR="00A01111" w:rsidRPr="00C20399" w:rsidRDefault="00A01111" w:rsidP="00AB752D">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94</w:t>
            </w:r>
          </w:p>
        </w:tc>
        <w:tc>
          <w:tcPr>
            <w:tcW w:w="701"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46</w:t>
            </w:r>
          </w:p>
        </w:tc>
        <w:tc>
          <w:tcPr>
            <w:tcW w:w="642"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49</w:t>
            </w:r>
            <w:r w:rsidRPr="00C20399">
              <w:rPr>
                <w:rFonts w:ascii="Calibri" w:eastAsia="Times New Roman" w:hAnsi="Calibri" w:cs="Times New Roman"/>
                <w:color w:val="000000"/>
                <w:sz w:val="20"/>
                <w:szCs w:val="20"/>
              </w:rPr>
              <w:t>%</w:t>
            </w:r>
          </w:p>
        </w:tc>
        <w:tc>
          <w:tcPr>
            <w:tcW w:w="1122"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Engineering Algorithm</w:t>
            </w:r>
          </w:p>
        </w:tc>
      </w:tr>
      <w:tr w:rsidR="00A01111" w:rsidRPr="00C20399" w:rsidTr="005025C1">
        <w:tc>
          <w:tcPr>
            <w:tcW w:w="616"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Lighting</w:t>
            </w:r>
          </w:p>
        </w:tc>
        <w:tc>
          <w:tcPr>
            <w:tcW w:w="983"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Lighting</w:t>
            </w:r>
          </w:p>
        </w:tc>
        <w:tc>
          <w:tcPr>
            <w:tcW w:w="935" w:type="pct"/>
            <w:shd w:val="clear" w:color="auto" w:fill="auto"/>
            <w:vAlign w:val="center"/>
            <w:hideMark/>
          </w:tcPr>
          <w:p w:rsidR="00A01111" w:rsidRPr="00C20399" w:rsidRDefault="00A01111" w:rsidP="00AB752D">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467</w:t>
            </w:r>
          </w:p>
        </w:tc>
        <w:tc>
          <w:tcPr>
            <w:tcW w:w="701"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647</w:t>
            </w:r>
          </w:p>
        </w:tc>
        <w:tc>
          <w:tcPr>
            <w:tcW w:w="642"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138</w:t>
            </w:r>
            <w:r w:rsidRPr="00C20399">
              <w:rPr>
                <w:rFonts w:ascii="Calibri" w:eastAsia="Times New Roman" w:hAnsi="Calibri" w:cs="Times New Roman"/>
                <w:color w:val="000000"/>
                <w:sz w:val="20"/>
                <w:szCs w:val="20"/>
              </w:rPr>
              <w:t>%</w:t>
            </w:r>
          </w:p>
        </w:tc>
        <w:tc>
          <w:tcPr>
            <w:tcW w:w="1122"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Billing Analysis (±6%)</w:t>
            </w:r>
          </w:p>
        </w:tc>
      </w:tr>
      <w:tr w:rsidR="00A01111" w:rsidRPr="00C20399" w:rsidTr="005025C1">
        <w:tc>
          <w:tcPr>
            <w:tcW w:w="616"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Other</w:t>
            </w:r>
          </w:p>
        </w:tc>
        <w:tc>
          <w:tcPr>
            <w:tcW w:w="983"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Other</w:t>
            </w:r>
          </w:p>
        </w:tc>
        <w:tc>
          <w:tcPr>
            <w:tcW w:w="935" w:type="pct"/>
            <w:shd w:val="clear" w:color="auto" w:fill="auto"/>
            <w:vAlign w:val="center"/>
            <w:hideMark/>
          </w:tcPr>
          <w:p w:rsidR="00A01111" w:rsidRPr="00C20399" w:rsidRDefault="00A01111" w:rsidP="00AB752D">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637</w:t>
            </w:r>
          </w:p>
        </w:tc>
        <w:tc>
          <w:tcPr>
            <w:tcW w:w="701"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637</w:t>
            </w:r>
          </w:p>
        </w:tc>
        <w:tc>
          <w:tcPr>
            <w:tcW w:w="642"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r w:rsidRPr="00C20399">
              <w:rPr>
                <w:rFonts w:ascii="Calibri" w:eastAsia="Times New Roman" w:hAnsi="Calibri" w:cs="Times New Roman"/>
                <w:color w:val="000000"/>
                <w:sz w:val="20"/>
                <w:szCs w:val="20"/>
              </w:rPr>
              <w:t>%</w:t>
            </w:r>
          </w:p>
        </w:tc>
        <w:tc>
          <w:tcPr>
            <w:tcW w:w="1122"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 xml:space="preserve">Reported </w:t>
            </w:r>
            <w:r w:rsidRPr="00C20399">
              <w:rPr>
                <w:rFonts w:ascii="Calibri" w:eastAsia="Times New Roman" w:hAnsi="Calibri" w:cs="Times New Roman"/>
                <w:i/>
                <w:color w:val="000000"/>
                <w:sz w:val="20"/>
                <w:szCs w:val="20"/>
              </w:rPr>
              <w:t>Ex Ante</w:t>
            </w:r>
          </w:p>
        </w:tc>
      </w:tr>
      <w:tr w:rsidR="00A01111" w:rsidRPr="00C20399" w:rsidTr="005025C1">
        <w:tc>
          <w:tcPr>
            <w:tcW w:w="616"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Shell</w:t>
            </w:r>
          </w:p>
        </w:tc>
        <w:tc>
          <w:tcPr>
            <w:tcW w:w="983"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Air Sealing</w:t>
            </w:r>
          </w:p>
        </w:tc>
        <w:tc>
          <w:tcPr>
            <w:tcW w:w="935" w:type="pct"/>
            <w:shd w:val="clear" w:color="auto" w:fill="auto"/>
            <w:vAlign w:val="center"/>
            <w:hideMark/>
          </w:tcPr>
          <w:p w:rsidR="00A01111" w:rsidRPr="00C20399" w:rsidRDefault="00A01111" w:rsidP="00AB752D">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342</w:t>
            </w:r>
          </w:p>
        </w:tc>
        <w:tc>
          <w:tcPr>
            <w:tcW w:w="701"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208</w:t>
            </w:r>
          </w:p>
        </w:tc>
        <w:tc>
          <w:tcPr>
            <w:tcW w:w="642"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61</w:t>
            </w:r>
            <w:r w:rsidRPr="00C20399">
              <w:rPr>
                <w:rFonts w:ascii="Calibri" w:eastAsia="Times New Roman" w:hAnsi="Calibri" w:cs="Times New Roman"/>
                <w:color w:val="000000"/>
                <w:sz w:val="20"/>
                <w:szCs w:val="20"/>
              </w:rPr>
              <w:t>%</w:t>
            </w:r>
          </w:p>
        </w:tc>
        <w:tc>
          <w:tcPr>
            <w:tcW w:w="1122"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Simulation Modeling</w:t>
            </w:r>
          </w:p>
        </w:tc>
      </w:tr>
      <w:tr w:rsidR="00A01111" w:rsidRPr="00C20399" w:rsidTr="005025C1">
        <w:tc>
          <w:tcPr>
            <w:tcW w:w="616"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Shell</w:t>
            </w:r>
          </w:p>
        </w:tc>
        <w:tc>
          <w:tcPr>
            <w:tcW w:w="983"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Insulation Other</w:t>
            </w:r>
          </w:p>
        </w:tc>
        <w:tc>
          <w:tcPr>
            <w:tcW w:w="935" w:type="pct"/>
            <w:shd w:val="clear" w:color="auto" w:fill="auto"/>
            <w:vAlign w:val="center"/>
            <w:hideMark/>
          </w:tcPr>
          <w:p w:rsidR="00A01111" w:rsidRPr="00C20399" w:rsidRDefault="00A01111" w:rsidP="00AB752D">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153</w:t>
            </w:r>
          </w:p>
        </w:tc>
        <w:tc>
          <w:tcPr>
            <w:tcW w:w="701"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153</w:t>
            </w:r>
          </w:p>
        </w:tc>
        <w:tc>
          <w:tcPr>
            <w:tcW w:w="642"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r w:rsidRPr="00C20399">
              <w:rPr>
                <w:rFonts w:ascii="Calibri" w:eastAsia="Times New Roman" w:hAnsi="Calibri" w:cs="Times New Roman"/>
                <w:color w:val="000000"/>
                <w:sz w:val="20"/>
                <w:szCs w:val="20"/>
              </w:rPr>
              <w:t>%</w:t>
            </w:r>
          </w:p>
        </w:tc>
        <w:tc>
          <w:tcPr>
            <w:tcW w:w="1122"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 xml:space="preserve">Reported </w:t>
            </w:r>
            <w:r w:rsidRPr="00C20399">
              <w:rPr>
                <w:rFonts w:ascii="Calibri" w:eastAsia="Times New Roman" w:hAnsi="Calibri" w:cs="Times New Roman"/>
                <w:i/>
                <w:color w:val="000000"/>
                <w:sz w:val="20"/>
                <w:szCs w:val="20"/>
              </w:rPr>
              <w:t>Ex Ante</w:t>
            </w:r>
          </w:p>
        </w:tc>
      </w:tr>
      <w:tr w:rsidR="00A01111" w:rsidRPr="00C20399" w:rsidTr="005025C1">
        <w:tc>
          <w:tcPr>
            <w:tcW w:w="616"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Shell</w:t>
            </w:r>
          </w:p>
        </w:tc>
        <w:tc>
          <w:tcPr>
            <w:tcW w:w="983"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Windows</w:t>
            </w:r>
          </w:p>
        </w:tc>
        <w:tc>
          <w:tcPr>
            <w:tcW w:w="935" w:type="pct"/>
            <w:shd w:val="clear" w:color="auto" w:fill="auto"/>
            <w:vAlign w:val="center"/>
            <w:hideMark/>
          </w:tcPr>
          <w:p w:rsidR="00A01111" w:rsidRPr="00C20399" w:rsidRDefault="00A01111" w:rsidP="00AB752D">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1,295</w:t>
            </w:r>
          </w:p>
        </w:tc>
        <w:tc>
          <w:tcPr>
            <w:tcW w:w="701"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2,253</w:t>
            </w:r>
          </w:p>
        </w:tc>
        <w:tc>
          <w:tcPr>
            <w:tcW w:w="642"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174</w:t>
            </w:r>
            <w:r w:rsidRPr="00C20399">
              <w:rPr>
                <w:rFonts w:ascii="Calibri" w:eastAsia="Times New Roman" w:hAnsi="Calibri" w:cs="Times New Roman"/>
                <w:color w:val="000000"/>
                <w:sz w:val="20"/>
                <w:szCs w:val="20"/>
              </w:rPr>
              <w:t>%</w:t>
            </w:r>
          </w:p>
        </w:tc>
        <w:tc>
          <w:tcPr>
            <w:tcW w:w="1122"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Engineering Algorithm</w:t>
            </w:r>
          </w:p>
        </w:tc>
      </w:tr>
      <w:tr w:rsidR="00A01111" w:rsidRPr="00C20399" w:rsidTr="005025C1">
        <w:tc>
          <w:tcPr>
            <w:tcW w:w="616"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Shell</w:t>
            </w:r>
          </w:p>
        </w:tc>
        <w:tc>
          <w:tcPr>
            <w:tcW w:w="983"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Attic Insulation</w:t>
            </w:r>
          </w:p>
        </w:tc>
        <w:tc>
          <w:tcPr>
            <w:tcW w:w="935" w:type="pct"/>
            <w:shd w:val="clear" w:color="auto" w:fill="auto"/>
            <w:vAlign w:val="center"/>
            <w:hideMark/>
          </w:tcPr>
          <w:p w:rsidR="00A01111" w:rsidRPr="00C20399" w:rsidRDefault="00A01111" w:rsidP="00AB752D">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2,306</w:t>
            </w:r>
          </w:p>
        </w:tc>
        <w:tc>
          <w:tcPr>
            <w:tcW w:w="701"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1,429</w:t>
            </w:r>
          </w:p>
        </w:tc>
        <w:tc>
          <w:tcPr>
            <w:tcW w:w="642"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62</w:t>
            </w:r>
            <w:r w:rsidRPr="00C20399">
              <w:rPr>
                <w:rFonts w:ascii="Calibri" w:eastAsia="Times New Roman" w:hAnsi="Calibri" w:cs="Times New Roman"/>
                <w:color w:val="000000"/>
                <w:sz w:val="20"/>
                <w:szCs w:val="20"/>
              </w:rPr>
              <w:t>%</w:t>
            </w:r>
          </w:p>
        </w:tc>
        <w:tc>
          <w:tcPr>
            <w:tcW w:w="1122"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Simulation Modeling</w:t>
            </w:r>
          </w:p>
        </w:tc>
      </w:tr>
      <w:tr w:rsidR="00A01111" w:rsidRPr="00C20399" w:rsidTr="005025C1">
        <w:tc>
          <w:tcPr>
            <w:tcW w:w="616"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Shell</w:t>
            </w:r>
          </w:p>
        </w:tc>
        <w:tc>
          <w:tcPr>
            <w:tcW w:w="983"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Wall Insulation</w:t>
            </w:r>
          </w:p>
        </w:tc>
        <w:tc>
          <w:tcPr>
            <w:tcW w:w="935" w:type="pct"/>
            <w:shd w:val="clear" w:color="auto" w:fill="auto"/>
            <w:vAlign w:val="center"/>
            <w:hideMark/>
          </w:tcPr>
          <w:p w:rsidR="00A01111" w:rsidRPr="00C20399" w:rsidRDefault="00A01111" w:rsidP="00AB752D">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2,326</w:t>
            </w:r>
          </w:p>
        </w:tc>
        <w:tc>
          <w:tcPr>
            <w:tcW w:w="701"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716</w:t>
            </w:r>
          </w:p>
        </w:tc>
        <w:tc>
          <w:tcPr>
            <w:tcW w:w="642"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31</w:t>
            </w:r>
            <w:r w:rsidRPr="00C20399">
              <w:rPr>
                <w:rFonts w:ascii="Calibri" w:eastAsia="Times New Roman" w:hAnsi="Calibri" w:cs="Times New Roman"/>
                <w:color w:val="000000"/>
                <w:sz w:val="20"/>
                <w:szCs w:val="20"/>
              </w:rPr>
              <w:t>%</w:t>
            </w:r>
          </w:p>
        </w:tc>
        <w:tc>
          <w:tcPr>
            <w:tcW w:w="1122"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Simulation Modeling</w:t>
            </w:r>
          </w:p>
        </w:tc>
      </w:tr>
      <w:tr w:rsidR="00A01111" w:rsidRPr="00C20399" w:rsidTr="005025C1">
        <w:tc>
          <w:tcPr>
            <w:tcW w:w="616"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Water Heat</w:t>
            </w:r>
          </w:p>
        </w:tc>
        <w:tc>
          <w:tcPr>
            <w:tcW w:w="983"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DWH Bundle</w:t>
            </w:r>
          </w:p>
        </w:tc>
        <w:tc>
          <w:tcPr>
            <w:tcW w:w="935" w:type="pct"/>
            <w:shd w:val="clear" w:color="auto" w:fill="auto"/>
            <w:vAlign w:val="center"/>
            <w:hideMark/>
          </w:tcPr>
          <w:p w:rsidR="00A01111" w:rsidRPr="00C20399" w:rsidRDefault="00A01111" w:rsidP="00AB752D">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1,372</w:t>
            </w:r>
          </w:p>
        </w:tc>
        <w:tc>
          <w:tcPr>
            <w:tcW w:w="701"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390</w:t>
            </w:r>
          </w:p>
        </w:tc>
        <w:tc>
          <w:tcPr>
            <w:tcW w:w="642"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28</w:t>
            </w:r>
            <w:r w:rsidRPr="00C20399">
              <w:rPr>
                <w:rFonts w:ascii="Calibri" w:eastAsia="Times New Roman" w:hAnsi="Calibri" w:cs="Times New Roman"/>
                <w:color w:val="000000"/>
                <w:sz w:val="20"/>
                <w:szCs w:val="20"/>
              </w:rPr>
              <w:t>%</w:t>
            </w:r>
          </w:p>
        </w:tc>
        <w:tc>
          <w:tcPr>
            <w:tcW w:w="1122"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Engineering Algorithm</w:t>
            </w:r>
          </w:p>
        </w:tc>
      </w:tr>
      <w:tr w:rsidR="00A01111" w:rsidRPr="00C20399" w:rsidTr="005025C1">
        <w:tc>
          <w:tcPr>
            <w:tcW w:w="616"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Water Heat</w:t>
            </w:r>
          </w:p>
        </w:tc>
        <w:tc>
          <w:tcPr>
            <w:tcW w:w="983"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Temp Setback</w:t>
            </w:r>
          </w:p>
        </w:tc>
        <w:tc>
          <w:tcPr>
            <w:tcW w:w="935" w:type="pct"/>
            <w:shd w:val="clear" w:color="auto" w:fill="auto"/>
            <w:vAlign w:val="center"/>
            <w:hideMark/>
          </w:tcPr>
          <w:p w:rsidR="00A01111" w:rsidRPr="00C20399" w:rsidRDefault="00A01111" w:rsidP="00AB752D">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87</w:t>
            </w:r>
          </w:p>
        </w:tc>
        <w:tc>
          <w:tcPr>
            <w:tcW w:w="701" w:type="pct"/>
            <w:tcBorders>
              <w:bottom w:val="single" w:sz="4" w:space="0" w:color="BFBFBF"/>
            </w:tcBorders>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78</w:t>
            </w:r>
          </w:p>
        </w:tc>
        <w:tc>
          <w:tcPr>
            <w:tcW w:w="642" w:type="pct"/>
            <w:tcBorders>
              <w:bottom w:val="single" w:sz="4" w:space="0" w:color="BFBFBF"/>
            </w:tcBorders>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90</w:t>
            </w:r>
            <w:r w:rsidRPr="00C20399">
              <w:rPr>
                <w:rFonts w:ascii="Calibri" w:eastAsia="Times New Roman" w:hAnsi="Calibri" w:cs="Times New Roman"/>
                <w:color w:val="000000"/>
                <w:sz w:val="20"/>
                <w:szCs w:val="20"/>
              </w:rPr>
              <w:t>%</w:t>
            </w:r>
          </w:p>
        </w:tc>
        <w:tc>
          <w:tcPr>
            <w:tcW w:w="1122" w:type="pct"/>
            <w:tcBorders>
              <w:bottom w:val="single" w:sz="4" w:space="0" w:color="BFBFBF"/>
            </w:tcBorders>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Engineering Algorithm</w:t>
            </w:r>
          </w:p>
        </w:tc>
      </w:tr>
    </w:tbl>
    <w:p w:rsidR="00C20399" w:rsidRPr="004863EE" w:rsidRDefault="00C20399" w:rsidP="00AB752D">
      <w:pPr>
        <w:spacing w:after="0" w:line="240" w:lineRule="auto"/>
        <w:ind w:left="90" w:hanging="90"/>
        <w:rPr>
          <w:rFonts w:ascii="Calibri" w:eastAsia="Times New Roman" w:hAnsi="Calibri" w:cs="Times New Roman"/>
          <w:bCs/>
          <w:sz w:val="20"/>
          <w:szCs w:val="20"/>
        </w:rPr>
      </w:pPr>
      <w:r w:rsidRPr="004863EE">
        <w:rPr>
          <w:rFonts w:ascii="Calibri" w:eastAsia="Times New Roman" w:hAnsi="Calibri" w:cs="Times New Roman"/>
          <w:bCs/>
          <w:sz w:val="20"/>
          <w:szCs w:val="20"/>
        </w:rPr>
        <w:t xml:space="preserve">*Average </w:t>
      </w:r>
      <w:r w:rsidRPr="00296386">
        <w:rPr>
          <w:rFonts w:ascii="Calibri" w:eastAsia="Times New Roman" w:hAnsi="Calibri" w:cs="Times New Roman"/>
          <w:bCs/>
          <w:i/>
          <w:sz w:val="20"/>
          <w:szCs w:val="20"/>
        </w:rPr>
        <w:t>ex ante</w:t>
      </w:r>
      <w:r w:rsidRPr="004863EE">
        <w:rPr>
          <w:rFonts w:ascii="Calibri" w:eastAsia="Times New Roman" w:hAnsi="Calibri" w:cs="Times New Roman"/>
          <w:bCs/>
          <w:sz w:val="20"/>
          <w:szCs w:val="20"/>
        </w:rPr>
        <w:t xml:space="preserve"> savings per household </w:t>
      </w:r>
      <w:r>
        <w:rPr>
          <w:rFonts w:ascii="Calibri" w:eastAsia="Times New Roman" w:hAnsi="Calibri" w:cs="Times New Roman"/>
          <w:bCs/>
          <w:sz w:val="20"/>
          <w:szCs w:val="20"/>
        </w:rPr>
        <w:t>are</w:t>
      </w:r>
      <w:r w:rsidRPr="004863EE">
        <w:rPr>
          <w:rFonts w:ascii="Calibri" w:eastAsia="Times New Roman" w:hAnsi="Calibri" w:cs="Times New Roman"/>
          <w:bCs/>
          <w:sz w:val="20"/>
          <w:szCs w:val="20"/>
        </w:rPr>
        <w:t xml:space="preserve"> </w:t>
      </w:r>
      <w:r>
        <w:rPr>
          <w:rFonts w:ascii="Calibri" w:eastAsia="Times New Roman" w:hAnsi="Calibri" w:cs="Times New Roman"/>
          <w:bCs/>
          <w:sz w:val="20"/>
          <w:szCs w:val="20"/>
        </w:rPr>
        <w:t>the program population, except for measures estimated through billing analysis, which are based on the billing analysis participant sample</w:t>
      </w:r>
      <w:r w:rsidRPr="004863EE">
        <w:rPr>
          <w:rFonts w:ascii="Calibri" w:eastAsia="Times New Roman" w:hAnsi="Calibri" w:cs="Times New Roman"/>
          <w:bCs/>
          <w:sz w:val="20"/>
          <w:szCs w:val="20"/>
        </w:rPr>
        <w:t>.</w:t>
      </w:r>
    </w:p>
    <w:p w:rsidR="002C285E" w:rsidRPr="004863EE" w:rsidRDefault="002C285E" w:rsidP="00FC291D">
      <w:pPr>
        <w:pStyle w:val="NormalAfterTablesandFigures"/>
      </w:pPr>
    </w:p>
    <w:p w:rsidR="002C285E" w:rsidRDefault="002C285E" w:rsidP="001D5EAA">
      <w:pPr>
        <w:pStyle w:val="Caption"/>
        <w:spacing w:before="0"/>
      </w:pPr>
      <w:bookmarkStart w:id="95" w:name="_Ref389212000"/>
      <w:r>
        <w:t xml:space="preserve">Table </w:t>
      </w:r>
      <w:r w:rsidR="002506E1">
        <w:fldChar w:fldCharType="begin"/>
      </w:r>
      <w:r w:rsidR="002506E1">
        <w:instrText xml:space="preserve"> SEQ Table \* ARABIC </w:instrText>
      </w:r>
      <w:r w:rsidR="002506E1">
        <w:fldChar w:fldCharType="separate"/>
      </w:r>
      <w:r w:rsidR="00CD20CF">
        <w:rPr>
          <w:noProof/>
        </w:rPr>
        <w:t>46</w:t>
      </w:r>
      <w:r w:rsidR="002506E1">
        <w:rPr>
          <w:noProof/>
        </w:rPr>
        <w:fldChar w:fldCharType="end"/>
      </w:r>
      <w:bookmarkEnd w:id="95"/>
      <w:r>
        <w:t xml:space="preserve">. Comparison of </w:t>
      </w:r>
      <w:r w:rsidRPr="001567EE">
        <w:rPr>
          <w:i/>
        </w:rPr>
        <w:t xml:space="preserve">Ex Ante </w:t>
      </w:r>
      <w:r>
        <w:t xml:space="preserve">and </w:t>
      </w:r>
      <w:r w:rsidR="005025C1">
        <w:t>Evaluated</w:t>
      </w:r>
      <w:r>
        <w:t xml:space="preserve"> Gross Savings by Measure</w:t>
      </w:r>
      <w:r w:rsidR="001567EE">
        <w:t>—</w:t>
      </w:r>
      <w:r>
        <w:t>HES-IE Gas</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87"/>
        <w:gridCol w:w="1793"/>
        <w:gridCol w:w="1718"/>
        <w:gridCol w:w="1440"/>
        <w:gridCol w:w="1283"/>
        <w:gridCol w:w="2155"/>
      </w:tblGrid>
      <w:tr w:rsidR="00C20399" w:rsidRPr="00C20399" w:rsidTr="00D67F1F">
        <w:trPr>
          <w:tblHeader/>
        </w:trPr>
        <w:tc>
          <w:tcPr>
            <w:tcW w:w="620" w:type="pct"/>
            <w:shd w:val="clear" w:color="000000" w:fill="005DAA"/>
            <w:vAlign w:val="center"/>
            <w:hideMark/>
          </w:tcPr>
          <w:p w:rsidR="00C20399" w:rsidRPr="00C20399" w:rsidRDefault="00C20399" w:rsidP="00AB752D">
            <w:pPr>
              <w:spacing w:after="0"/>
              <w:jc w:val="center"/>
              <w:rPr>
                <w:rFonts w:ascii="Calibri" w:eastAsia="Times New Roman" w:hAnsi="Calibri" w:cs="Times New Roman"/>
                <w:b/>
                <w:bCs/>
                <w:color w:val="FFFFFF"/>
              </w:rPr>
            </w:pPr>
            <w:r w:rsidRPr="00C20399">
              <w:rPr>
                <w:rFonts w:ascii="Calibri" w:eastAsia="Times New Roman" w:hAnsi="Calibri" w:cs="Times New Roman"/>
                <w:b/>
                <w:bCs/>
                <w:color w:val="FFFFFF"/>
              </w:rPr>
              <w:t>Category</w:t>
            </w:r>
          </w:p>
        </w:tc>
        <w:tc>
          <w:tcPr>
            <w:tcW w:w="936" w:type="pct"/>
            <w:shd w:val="clear" w:color="000000" w:fill="005DAA"/>
            <w:vAlign w:val="center"/>
            <w:hideMark/>
          </w:tcPr>
          <w:p w:rsidR="00C20399" w:rsidRPr="00C20399" w:rsidRDefault="00C20399" w:rsidP="00AB752D">
            <w:pPr>
              <w:spacing w:after="0"/>
              <w:jc w:val="center"/>
              <w:rPr>
                <w:rFonts w:ascii="Calibri" w:eastAsia="Times New Roman" w:hAnsi="Calibri" w:cs="Times New Roman"/>
                <w:b/>
                <w:bCs/>
                <w:color w:val="FFFFFF"/>
              </w:rPr>
            </w:pPr>
            <w:r w:rsidRPr="00C20399">
              <w:rPr>
                <w:rFonts w:ascii="Calibri" w:eastAsia="Times New Roman" w:hAnsi="Calibri" w:cs="Times New Roman"/>
                <w:b/>
                <w:bCs/>
                <w:color w:val="FFFFFF"/>
              </w:rPr>
              <w:t>Measure</w:t>
            </w:r>
          </w:p>
        </w:tc>
        <w:tc>
          <w:tcPr>
            <w:tcW w:w="897" w:type="pct"/>
            <w:shd w:val="clear" w:color="000000" w:fill="005DAA"/>
            <w:vAlign w:val="center"/>
            <w:hideMark/>
          </w:tcPr>
          <w:p w:rsidR="00C20399" w:rsidRPr="00C20399" w:rsidRDefault="00C20399" w:rsidP="00AB752D">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 xml:space="preserve">Reported </w:t>
            </w:r>
            <w:r w:rsidRPr="005025C1">
              <w:rPr>
                <w:rFonts w:ascii="Calibri" w:eastAsia="Times New Roman" w:hAnsi="Calibri" w:cs="Times New Roman"/>
                <w:b/>
                <w:bCs/>
                <w:i/>
                <w:color w:val="FFFFFF"/>
              </w:rPr>
              <w:t xml:space="preserve">Ex ante </w:t>
            </w:r>
            <w:r>
              <w:rPr>
                <w:rFonts w:ascii="Calibri" w:eastAsia="Times New Roman" w:hAnsi="Calibri" w:cs="Times New Roman"/>
                <w:b/>
                <w:bCs/>
                <w:color w:val="FFFFFF"/>
              </w:rPr>
              <w:t>Savings (CCF/ Household)</w:t>
            </w:r>
            <w:r w:rsidRPr="00C20399">
              <w:rPr>
                <w:rFonts w:ascii="Calibri" w:eastAsia="Times New Roman" w:hAnsi="Calibri" w:cs="Times New Roman"/>
                <w:b/>
                <w:bCs/>
                <w:color w:val="FFFFFF"/>
              </w:rPr>
              <w:t>*</w:t>
            </w:r>
            <w:r w:rsidRPr="00C20399">
              <w:rPr>
                <w:rFonts w:ascii="Calibri" w:eastAsia="Times New Roman" w:hAnsi="Calibri" w:cs="Times New Roman"/>
                <w:b/>
                <w:bCs/>
                <w:color w:val="FFFFFF"/>
              </w:rPr>
              <w:br/>
              <w:t>(A)</w:t>
            </w:r>
          </w:p>
        </w:tc>
        <w:tc>
          <w:tcPr>
            <w:tcW w:w="752" w:type="pct"/>
            <w:shd w:val="clear" w:color="000000" w:fill="005DAA"/>
            <w:vAlign w:val="center"/>
            <w:hideMark/>
          </w:tcPr>
          <w:p w:rsidR="00C20399" w:rsidRPr="00C20399" w:rsidRDefault="005025C1" w:rsidP="00AB752D">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Gross Savings (CCF/ Household)</w:t>
            </w:r>
            <w:r w:rsidR="00C20399" w:rsidRPr="00C20399">
              <w:rPr>
                <w:rFonts w:ascii="Calibri" w:eastAsia="Times New Roman" w:hAnsi="Calibri" w:cs="Times New Roman"/>
                <w:b/>
                <w:bCs/>
                <w:color w:val="FFFFFF"/>
              </w:rPr>
              <w:br/>
              <w:t>(B)</w:t>
            </w:r>
          </w:p>
        </w:tc>
        <w:tc>
          <w:tcPr>
            <w:tcW w:w="670" w:type="pct"/>
            <w:shd w:val="clear" w:color="000000" w:fill="005DAA"/>
            <w:vAlign w:val="center"/>
            <w:hideMark/>
          </w:tcPr>
          <w:p w:rsidR="00C20399" w:rsidRPr="00C20399" w:rsidRDefault="005025C1" w:rsidP="00AB752D">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Realization rate</w:t>
            </w:r>
            <w:r w:rsidR="00C20399" w:rsidRPr="00C20399">
              <w:rPr>
                <w:rFonts w:ascii="Calibri" w:eastAsia="Times New Roman" w:hAnsi="Calibri" w:cs="Times New Roman"/>
                <w:b/>
                <w:bCs/>
                <w:color w:val="FFFFFF"/>
              </w:rPr>
              <w:t xml:space="preserve"> </w:t>
            </w:r>
            <w:r w:rsidR="00C20399" w:rsidRPr="00C20399">
              <w:rPr>
                <w:rFonts w:ascii="Calibri" w:eastAsia="Times New Roman" w:hAnsi="Calibri" w:cs="Times New Roman"/>
                <w:b/>
                <w:bCs/>
                <w:color w:val="FFFFFF"/>
              </w:rPr>
              <w:br/>
              <w:t>(B/A)</w:t>
            </w:r>
          </w:p>
        </w:tc>
        <w:tc>
          <w:tcPr>
            <w:tcW w:w="1125" w:type="pct"/>
            <w:shd w:val="clear" w:color="000000" w:fill="005DAA"/>
            <w:vAlign w:val="center"/>
            <w:hideMark/>
          </w:tcPr>
          <w:p w:rsidR="00C20399" w:rsidRPr="00C20399" w:rsidRDefault="00C20399" w:rsidP="00AB752D">
            <w:pPr>
              <w:spacing w:after="0"/>
              <w:jc w:val="center"/>
              <w:rPr>
                <w:rFonts w:ascii="Calibri" w:eastAsia="Times New Roman" w:hAnsi="Calibri" w:cs="Times New Roman"/>
                <w:b/>
                <w:bCs/>
                <w:color w:val="FFFFFF"/>
              </w:rPr>
            </w:pPr>
            <w:r w:rsidRPr="00C20399">
              <w:rPr>
                <w:rFonts w:ascii="Calibri" w:eastAsia="Times New Roman" w:hAnsi="Calibri" w:cs="Times New Roman"/>
                <w:b/>
                <w:bCs/>
                <w:color w:val="FFFFFF"/>
              </w:rPr>
              <w:t>Method</w:t>
            </w:r>
          </w:p>
        </w:tc>
      </w:tr>
      <w:tr w:rsidR="00A01111" w:rsidRPr="00C20399" w:rsidTr="005025C1">
        <w:tc>
          <w:tcPr>
            <w:tcW w:w="620"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Appliance</w:t>
            </w:r>
          </w:p>
        </w:tc>
        <w:tc>
          <w:tcPr>
            <w:tcW w:w="936"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Appliance Other</w:t>
            </w:r>
          </w:p>
        </w:tc>
        <w:tc>
          <w:tcPr>
            <w:tcW w:w="897" w:type="pct"/>
            <w:shd w:val="clear" w:color="auto" w:fill="auto"/>
            <w:vAlign w:val="center"/>
            <w:hideMark/>
          </w:tcPr>
          <w:p w:rsidR="00A01111" w:rsidRPr="00C20399" w:rsidRDefault="00A01111" w:rsidP="00AB752D">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8</w:t>
            </w:r>
          </w:p>
        </w:tc>
        <w:tc>
          <w:tcPr>
            <w:tcW w:w="752"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w:t>
            </w:r>
          </w:p>
        </w:tc>
        <w:tc>
          <w:tcPr>
            <w:tcW w:w="670"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r w:rsidRPr="00C20399">
              <w:rPr>
                <w:rFonts w:ascii="Calibri" w:eastAsia="Times New Roman" w:hAnsi="Calibri" w:cs="Times New Roman"/>
                <w:color w:val="000000"/>
                <w:sz w:val="20"/>
                <w:szCs w:val="20"/>
              </w:rPr>
              <w:t>%</w:t>
            </w:r>
          </w:p>
        </w:tc>
        <w:tc>
          <w:tcPr>
            <w:tcW w:w="1125"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 xml:space="preserve">Reported </w:t>
            </w:r>
            <w:r w:rsidRPr="00C20399">
              <w:rPr>
                <w:rFonts w:ascii="Calibri" w:eastAsia="Times New Roman" w:hAnsi="Calibri" w:cs="Times New Roman"/>
                <w:i/>
                <w:color w:val="000000"/>
                <w:sz w:val="20"/>
                <w:szCs w:val="20"/>
              </w:rPr>
              <w:t>Ex Ante</w:t>
            </w:r>
          </w:p>
        </w:tc>
      </w:tr>
      <w:tr w:rsidR="00A01111" w:rsidRPr="00C20399" w:rsidTr="005025C1">
        <w:tc>
          <w:tcPr>
            <w:tcW w:w="620"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HVAC</w:t>
            </w:r>
          </w:p>
        </w:tc>
        <w:tc>
          <w:tcPr>
            <w:tcW w:w="936"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Duct Sealing</w:t>
            </w:r>
          </w:p>
        </w:tc>
        <w:tc>
          <w:tcPr>
            <w:tcW w:w="897" w:type="pct"/>
            <w:shd w:val="clear" w:color="auto" w:fill="auto"/>
            <w:vAlign w:val="center"/>
            <w:hideMark/>
          </w:tcPr>
          <w:p w:rsidR="00A01111" w:rsidRPr="00C20399" w:rsidRDefault="00A01111" w:rsidP="00AB752D">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174</w:t>
            </w:r>
          </w:p>
        </w:tc>
        <w:tc>
          <w:tcPr>
            <w:tcW w:w="752"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28</w:t>
            </w:r>
          </w:p>
        </w:tc>
        <w:tc>
          <w:tcPr>
            <w:tcW w:w="670"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16</w:t>
            </w:r>
            <w:r w:rsidRPr="00C20399">
              <w:rPr>
                <w:rFonts w:ascii="Calibri" w:eastAsia="Times New Roman" w:hAnsi="Calibri" w:cs="Times New Roman"/>
                <w:color w:val="000000"/>
                <w:sz w:val="20"/>
                <w:szCs w:val="20"/>
              </w:rPr>
              <w:t>%</w:t>
            </w:r>
          </w:p>
        </w:tc>
        <w:tc>
          <w:tcPr>
            <w:tcW w:w="1125"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Simulation Modeling</w:t>
            </w:r>
          </w:p>
        </w:tc>
      </w:tr>
      <w:tr w:rsidR="00A01111" w:rsidRPr="00C20399" w:rsidTr="005025C1">
        <w:tc>
          <w:tcPr>
            <w:tcW w:w="620"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HVAC</w:t>
            </w:r>
          </w:p>
        </w:tc>
        <w:tc>
          <w:tcPr>
            <w:tcW w:w="936"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Heating System Replacement</w:t>
            </w:r>
          </w:p>
        </w:tc>
        <w:tc>
          <w:tcPr>
            <w:tcW w:w="897" w:type="pct"/>
            <w:shd w:val="clear" w:color="auto" w:fill="auto"/>
            <w:vAlign w:val="center"/>
            <w:hideMark/>
          </w:tcPr>
          <w:p w:rsidR="00A01111" w:rsidRPr="00C20399" w:rsidRDefault="00A01111" w:rsidP="00AB752D">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128</w:t>
            </w:r>
          </w:p>
        </w:tc>
        <w:tc>
          <w:tcPr>
            <w:tcW w:w="752"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107</w:t>
            </w:r>
          </w:p>
        </w:tc>
        <w:tc>
          <w:tcPr>
            <w:tcW w:w="670"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84</w:t>
            </w:r>
            <w:r w:rsidRPr="00C20399">
              <w:rPr>
                <w:rFonts w:ascii="Calibri" w:eastAsia="Times New Roman" w:hAnsi="Calibri" w:cs="Times New Roman"/>
                <w:color w:val="000000"/>
                <w:sz w:val="20"/>
                <w:szCs w:val="20"/>
              </w:rPr>
              <w:t>%</w:t>
            </w:r>
          </w:p>
        </w:tc>
        <w:tc>
          <w:tcPr>
            <w:tcW w:w="1125"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Billing Analysis (±14%)</w:t>
            </w:r>
          </w:p>
        </w:tc>
      </w:tr>
      <w:tr w:rsidR="00A01111" w:rsidRPr="00C20399" w:rsidTr="005025C1">
        <w:tc>
          <w:tcPr>
            <w:tcW w:w="620"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Other</w:t>
            </w:r>
          </w:p>
        </w:tc>
        <w:tc>
          <w:tcPr>
            <w:tcW w:w="936"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Other</w:t>
            </w:r>
          </w:p>
        </w:tc>
        <w:tc>
          <w:tcPr>
            <w:tcW w:w="897" w:type="pct"/>
            <w:shd w:val="clear" w:color="auto" w:fill="auto"/>
            <w:vAlign w:val="center"/>
            <w:hideMark/>
          </w:tcPr>
          <w:p w:rsidR="00A01111" w:rsidRPr="00C20399" w:rsidRDefault="00A01111" w:rsidP="00AB752D">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23</w:t>
            </w:r>
          </w:p>
        </w:tc>
        <w:tc>
          <w:tcPr>
            <w:tcW w:w="752"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23</w:t>
            </w:r>
          </w:p>
        </w:tc>
        <w:tc>
          <w:tcPr>
            <w:tcW w:w="670"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r w:rsidRPr="00C20399">
              <w:rPr>
                <w:rFonts w:ascii="Calibri" w:eastAsia="Times New Roman" w:hAnsi="Calibri" w:cs="Times New Roman"/>
                <w:color w:val="000000"/>
                <w:sz w:val="20"/>
                <w:szCs w:val="20"/>
              </w:rPr>
              <w:t>%</w:t>
            </w:r>
          </w:p>
        </w:tc>
        <w:tc>
          <w:tcPr>
            <w:tcW w:w="1125"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 xml:space="preserve">Reported </w:t>
            </w:r>
            <w:r w:rsidRPr="00C20399">
              <w:rPr>
                <w:rFonts w:ascii="Calibri" w:eastAsia="Times New Roman" w:hAnsi="Calibri" w:cs="Times New Roman"/>
                <w:i/>
                <w:color w:val="000000"/>
                <w:sz w:val="20"/>
                <w:szCs w:val="20"/>
              </w:rPr>
              <w:t>Ex Ante</w:t>
            </w:r>
          </w:p>
        </w:tc>
      </w:tr>
      <w:tr w:rsidR="00A01111" w:rsidRPr="00C20399" w:rsidTr="005025C1">
        <w:tc>
          <w:tcPr>
            <w:tcW w:w="620"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Shell</w:t>
            </w:r>
          </w:p>
        </w:tc>
        <w:tc>
          <w:tcPr>
            <w:tcW w:w="936"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Air Sealing</w:t>
            </w:r>
          </w:p>
        </w:tc>
        <w:tc>
          <w:tcPr>
            <w:tcW w:w="897" w:type="pct"/>
            <w:shd w:val="clear" w:color="auto" w:fill="auto"/>
            <w:vAlign w:val="center"/>
            <w:hideMark/>
          </w:tcPr>
          <w:p w:rsidR="00A01111" w:rsidRPr="00C20399" w:rsidRDefault="00A01111" w:rsidP="00AB752D">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59</w:t>
            </w:r>
          </w:p>
        </w:tc>
        <w:tc>
          <w:tcPr>
            <w:tcW w:w="752"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36</w:t>
            </w:r>
          </w:p>
        </w:tc>
        <w:tc>
          <w:tcPr>
            <w:tcW w:w="670"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61</w:t>
            </w:r>
            <w:r w:rsidRPr="00C20399">
              <w:rPr>
                <w:rFonts w:ascii="Calibri" w:eastAsia="Times New Roman" w:hAnsi="Calibri" w:cs="Times New Roman"/>
                <w:color w:val="000000"/>
                <w:sz w:val="20"/>
                <w:szCs w:val="20"/>
              </w:rPr>
              <w:t>%</w:t>
            </w:r>
          </w:p>
        </w:tc>
        <w:tc>
          <w:tcPr>
            <w:tcW w:w="1125"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Billing Analysis (±31%)</w:t>
            </w:r>
          </w:p>
        </w:tc>
      </w:tr>
      <w:tr w:rsidR="00A01111" w:rsidRPr="00C20399" w:rsidTr="005025C1">
        <w:tc>
          <w:tcPr>
            <w:tcW w:w="620"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Shell</w:t>
            </w:r>
          </w:p>
        </w:tc>
        <w:tc>
          <w:tcPr>
            <w:tcW w:w="936"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Windows</w:t>
            </w:r>
          </w:p>
        </w:tc>
        <w:tc>
          <w:tcPr>
            <w:tcW w:w="897" w:type="pct"/>
            <w:shd w:val="clear" w:color="auto" w:fill="auto"/>
            <w:vAlign w:val="center"/>
            <w:hideMark/>
          </w:tcPr>
          <w:p w:rsidR="00A01111" w:rsidRPr="00C20399" w:rsidRDefault="00A01111" w:rsidP="00AB752D">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25</w:t>
            </w:r>
          </w:p>
        </w:tc>
        <w:tc>
          <w:tcPr>
            <w:tcW w:w="752"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23</w:t>
            </w:r>
          </w:p>
        </w:tc>
        <w:tc>
          <w:tcPr>
            <w:tcW w:w="670"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93</w:t>
            </w:r>
            <w:r w:rsidRPr="00C20399">
              <w:rPr>
                <w:rFonts w:ascii="Calibri" w:eastAsia="Times New Roman" w:hAnsi="Calibri" w:cs="Times New Roman"/>
                <w:color w:val="000000"/>
                <w:sz w:val="20"/>
                <w:szCs w:val="20"/>
              </w:rPr>
              <w:t>%</w:t>
            </w:r>
          </w:p>
        </w:tc>
        <w:tc>
          <w:tcPr>
            <w:tcW w:w="1125"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Engineering Algorithm</w:t>
            </w:r>
          </w:p>
        </w:tc>
      </w:tr>
      <w:tr w:rsidR="00A01111" w:rsidRPr="00C20399" w:rsidTr="005025C1">
        <w:tc>
          <w:tcPr>
            <w:tcW w:w="620"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lastRenderedPageBreak/>
              <w:t>Shell</w:t>
            </w:r>
          </w:p>
        </w:tc>
        <w:tc>
          <w:tcPr>
            <w:tcW w:w="936"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Attic Insulation</w:t>
            </w:r>
          </w:p>
        </w:tc>
        <w:tc>
          <w:tcPr>
            <w:tcW w:w="897" w:type="pct"/>
            <w:shd w:val="clear" w:color="auto" w:fill="auto"/>
            <w:vAlign w:val="center"/>
            <w:hideMark/>
          </w:tcPr>
          <w:p w:rsidR="00A01111" w:rsidRPr="00C20399" w:rsidRDefault="00A01111" w:rsidP="00AB752D">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152</w:t>
            </w:r>
          </w:p>
        </w:tc>
        <w:tc>
          <w:tcPr>
            <w:tcW w:w="752"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197</w:t>
            </w:r>
          </w:p>
        </w:tc>
        <w:tc>
          <w:tcPr>
            <w:tcW w:w="670"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129</w:t>
            </w:r>
            <w:r w:rsidRPr="00C20399">
              <w:rPr>
                <w:rFonts w:ascii="Calibri" w:eastAsia="Times New Roman" w:hAnsi="Calibri" w:cs="Times New Roman"/>
                <w:color w:val="000000"/>
                <w:sz w:val="20"/>
                <w:szCs w:val="20"/>
              </w:rPr>
              <w:t>%</w:t>
            </w:r>
          </w:p>
        </w:tc>
        <w:tc>
          <w:tcPr>
            <w:tcW w:w="1125"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Simulation Modeling</w:t>
            </w:r>
          </w:p>
        </w:tc>
      </w:tr>
      <w:tr w:rsidR="00A01111" w:rsidRPr="00C20399" w:rsidTr="005025C1">
        <w:tc>
          <w:tcPr>
            <w:tcW w:w="620"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Shell</w:t>
            </w:r>
          </w:p>
        </w:tc>
        <w:tc>
          <w:tcPr>
            <w:tcW w:w="936"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Wall Insulation</w:t>
            </w:r>
          </w:p>
        </w:tc>
        <w:tc>
          <w:tcPr>
            <w:tcW w:w="897" w:type="pct"/>
            <w:shd w:val="clear" w:color="auto" w:fill="auto"/>
            <w:vAlign w:val="center"/>
            <w:hideMark/>
          </w:tcPr>
          <w:p w:rsidR="00A01111" w:rsidRPr="00C20399" w:rsidRDefault="00A01111" w:rsidP="00AB752D">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304</w:t>
            </w:r>
          </w:p>
        </w:tc>
        <w:tc>
          <w:tcPr>
            <w:tcW w:w="752"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96</w:t>
            </w:r>
          </w:p>
        </w:tc>
        <w:tc>
          <w:tcPr>
            <w:tcW w:w="670"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32</w:t>
            </w:r>
            <w:r w:rsidRPr="00C20399">
              <w:rPr>
                <w:rFonts w:ascii="Calibri" w:eastAsia="Times New Roman" w:hAnsi="Calibri" w:cs="Times New Roman"/>
                <w:color w:val="000000"/>
                <w:sz w:val="20"/>
                <w:szCs w:val="20"/>
              </w:rPr>
              <w:t>%</w:t>
            </w:r>
          </w:p>
        </w:tc>
        <w:tc>
          <w:tcPr>
            <w:tcW w:w="1125"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Billing Analysis (±30%)</w:t>
            </w:r>
          </w:p>
        </w:tc>
      </w:tr>
      <w:tr w:rsidR="00A01111" w:rsidRPr="00C20399" w:rsidTr="005025C1">
        <w:tc>
          <w:tcPr>
            <w:tcW w:w="620"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Water Heat</w:t>
            </w:r>
          </w:p>
        </w:tc>
        <w:tc>
          <w:tcPr>
            <w:tcW w:w="936"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Temp Setback</w:t>
            </w:r>
          </w:p>
        </w:tc>
        <w:tc>
          <w:tcPr>
            <w:tcW w:w="897" w:type="pct"/>
            <w:shd w:val="clear" w:color="auto" w:fill="auto"/>
            <w:vAlign w:val="center"/>
            <w:hideMark/>
          </w:tcPr>
          <w:p w:rsidR="00A01111" w:rsidRPr="00C20399" w:rsidRDefault="00A01111" w:rsidP="00AB752D">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6</w:t>
            </w:r>
          </w:p>
        </w:tc>
        <w:tc>
          <w:tcPr>
            <w:tcW w:w="752"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w:t>
            </w:r>
          </w:p>
        </w:tc>
        <w:tc>
          <w:tcPr>
            <w:tcW w:w="670" w:type="pct"/>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62</w:t>
            </w:r>
            <w:r w:rsidRPr="00C20399">
              <w:rPr>
                <w:rFonts w:ascii="Calibri" w:eastAsia="Times New Roman" w:hAnsi="Calibri" w:cs="Times New Roman"/>
                <w:color w:val="000000"/>
                <w:sz w:val="20"/>
                <w:szCs w:val="20"/>
              </w:rPr>
              <w:t>%</w:t>
            </w:r>
          </w:p>
        </w:tc>
        <w:tc>
          <w:tcPr>
            <w:tcW w:w="1125"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Engineering Algorithm</w:t>
            </w:r>
          </w:p>
        </w:tc>
      </w:tr>
      <w:tr w:rsidR="00A01111" w:rsidRPr="00C20399" w:rsidTr="005025C1">
        <w:tc>
          <w:tcPr>
            <w:tcW w:w="620"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Water Heat</w:t>
            </w:r>
          </w:p>
        </w:tc>
        <w:tc>
          <w:tcPr>
            <w:tcW w:w="936" w:type="pct"/>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DWH Bundle</w:t>
            </w:r>
          </w:p>
        </w:tc>
        <w:tc>
          <w:tcPr>
            <w:tcW w:w="897" w:type="pct"/>
            <w:shd w:val="clear" w:color="auto" w:fill="auto"/>
            <w:vAlign w:val="center"/>
            <w:hideMark/>
          </w:tcPr>
          <w:p w:rsidR="00A01111" w:rsidRPr="00C20399" w:rsidRDefault="00A01111" w:rsidP="00AB752D">
            <w:pPr>
              <w:spacing w:after="0"/>
              <w:jc w:val="right"/>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41</w:t>
            </w:r>
          </w:p>
        </w:tc>
        <w:tc>
          <w:tcPr>
            <w:tcW w:w="752" w:type="pct"/>
            <w:tcBorders>
              <w:bottom w:val="single" w:sz="4" w:space="0" w:color="BFBFBF"/>
            </w:tcBorders>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29</w:t>
            </w:r>
          </w:p>
        </w:tc>
        <w:tc>
          <w:tcPr>
            <w:tcW w:w="670" w:type="pct"/>
            <w:tcBorders>
              <w:bottom w:val="single" w:sz="4" w:space="0" w:color="BFBFBF"/>
            </w:tcBorders>
            <w:shd w:val="clear" w:color="auto" w:fill="auto"/>
            <w:vAlign w:val="center"/>
            <w:hideMark/>
          </w:tcPr>
          <w:p w:rsidR="00A01111" w:rsidRPr="00C20399" w:rsidRDefault="00A01111" w:rsidP="00E350B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72</w:t>
            </w:r>
            <w:r w:rsidRPr="00C20399">
              <w:rPr>
                <w:rFonts w:ascii="Calibri" w:eastAsia="Times New Roman" w:hAnsi="Calibri" w:cs="Times New Roman"/>
                <w:color w:val="000000"/>
                <w:sz w:val="20"/>
                <w:szCs w:val="20"/>
              </w:rPr>
              <w:t>%</w:t>
            </w:r>
          </w:p>
        </w:tc>
        <w:tc>
          <w:tcPr>
            <w:tcW w:w="1125" w:type="pct"/>
            <w:tcBorders>
              <w:bottom w:val="single" w:sz="4" w:space="0" w:color="BFBFBF"/>
            </w:tcBorders>
            <w:shd w:val="clear" w:color="auto" w:fill="auto"/>
            <w:vAlign w:val="center"/>
            <w:hideMark/>
          </w:tcPr>
          <w:p w:rsidR="00A01111" w:rsidRPr="00C20399" w:rsidRDefault="00A01111" w:rsidP="00AB752D">
            <w:pPr>
              <w:spacing w:after="0"/>
              <w:rPr>
                <w:rFonts w:ascii="Calibri" w:eastAsia="Times New Roman" w:hAnsi="Calibri" w:cs="Times New Roman"/>
                <w:color w:val="000000"/>
                <w:sz w:val="20"/>
                <w:szCs w:val="20"/>
              </w:rPr>
            </w:pPr>
            <w:r w:rsidRPr="00C20399">
              <w:rPr>
                <w:rFonts w:ascii="Calibri" w:eastAsia="Times New Roman" w:hAnsi="Calibri" w:cs="Times New Roman"/>
                <w:color w:val="000000"/>
                <w:sz w:val="20"/>
                <w:szCs w:val="20"/>
              </w:rPr>
              <w:t>Billing Analysis (±26%)</w:t>
            </w:r>
          </w:p>
        </w:tc>
      </w:tr>
    </w:tbl>
    <w:p w:rsidR="00BD4616" w:rsidRPr="004863EE" w:rsidRDefault="00BD4616" w:rsidP="00ED3F7C">
      <w:pPr>
        <w:spacing w:after="0" w:line="240" w:lineRule="auto"/>
        <w:ind w:left="90" w:hanging="90"/>
        <w:rPr>
          <w:rFonts w:ascii="Calibri" w:eastAsia="Times New Roman" w:hAnsi="Calibri" w:cs="Times New Roman"/>
          <w:bCs/>
          <w:sz w:val="20"/>
          <w:szCs w:val="20"/>
        </w:rPr>
      </w:pPr>
      <w:r w:rsidRPr="004863EE">
        <w:rPr>
          <w:rFonts w:ascii="Calibri" w:eastAsia="Times New Roman" w:hAnsi="Calibri" w:cs="Times New Roman"/>
          <w:bCs/>
          <w:sz w:val="20"/>
          <w:szCs w:val="20"/>
        </w:rPr>
        <w:t xml:space="preserve">*Average </w:t>
      </w:r>
      <w:r w:rsidRPr="00296386">
        <w:rPr>
          <w:rFonts w:ascii="Calibri" w:eastAsia="Times New Roman" w:hAnsi="Calibri" w:cs="Times New Roman"/>
          <w:bCs/>
          <w:i/>
          <w:sz w:val="20"/>
          <w:szCs w:val="20"/>
        </w:rPr>
        <w:t>ex ante</w:t>
      </w:r>
      <w:r w:rsidRPr="004863EE">
        <w:rPr>
          <w:rFonts w:ascii="Calibri" w:eastAsia="Times New Roman" w:hAnsi="Calibri" w:cs="Times New Roman"/>
          <w:bCs/>
          <w:sz w:val="20"/>
          <w:szCs w:val="20"/>
        </w:rPr>
        <w:t xml:space="preserve"> savings per household </w:t>
      </w:r>
      <w:r>
        <w:rPr>
          <w:rFonts w:ascii="Calibri" w:eastAsia="Times New Roman" w:hAnsi="Calibri" w:cs="Times New Roman"/>
          <w:bCs/>
          <w:sz w:val="20"/>
          <w:szCs w:val="20"/>
        </w:rPr>
        <w:t>are</w:t>
      </w:r>
      <w:r w:rsidRPr="004863EE">
        <w:rPr>
          <w:rFonts w:ascii="Calibri" w:eastAsia="Times New Roman" w:hAnsi="Calibri" w:cs="Times New Roman"/>
          <w:bCs/>
          <w:sz w:val="20"/>
          <w:szCs w:val="20"/>
        </w:rPr>
        <w:t xml:space="preserve"> </w:t>
      </w:r>
      <w:r>
        <w:rPr>
          <w:rFonts w:ascii="Calibri" w:eastAsia="Times New Roman" w:hAnsi="Calibri" w:cs="Times New Roman"/>
          <w:bCs/>
          <w:sz w:val="20"/>
          <w:szCs w:val="20"/>
        </w:rPr>
        <w:t>the program population, except for measures estimated through billing analysis, which are based on the billing analysis participant sample</w:t>
      </w:r>
      <w:r w:rsidRPr="004863EE">
        <w:rPr>
          <w:rFonts w:ascii="Calibri" w:eastAsia="Times New Roman" w:hAnsi="Calibri" w:cs="Times New Roman"/>
          <w:bCs/>
          <w:sz w:val="20"/>
          <w:szCs w:val="20"/>
        </w:rPr>
        <w:t>.</w:t>
      </w:r>
    </w:p>
    <w:p w:rsidR="0096060F" w:rsidRPr="003E3609" w:rsidRDefault="0096060F" w:rsidP="0096060F">
      <w:pPr>
        <w:pStyle w:val="Heading2"/>
      </w:pPr>
      <w:bookmarkStart w:id="96" w:name="_Toc389663848"/>
      <w:r>
        <w:t xml:space="preserve">Measure-Level </w:t>
      </w:r>
      <w:r w:rsidR="00977022" w:rsidRPr="003E3609">
        <w:t>Savings</w:t>
      </w:r>
      <w:bookmarkEnd w:id="96"/>
    </w:p>
    <w:p w:rsidR="002C62A8" w:rsidRDefault="002C62A8" w:rsidP="002C62A8">
      <w:pPr>
        <w:rPr>
          <w:lang w:eastAsia="ar-SA"/>
        </w:rPr>
      </w:pPr>
      <w:r w:rsidRPr="003E3609">
        <w:rPr>
          <w:lang w:eastAsia="ar-SA"/>
        </w:rPr>
        <w:t>This section presents evaluated gross savings</w:t>
      </w:r>
      <w:r>
        <w:rPr>
          <w:lang w:eastAsia="ar-SA"/>
        </w:rPr>
        <w:t xml:space="preserve"> estimates for all HES-IE measures, covering electric, natural gas, and oil/propane fuel types. </w:t>
      </w:r>
      <w:r w:rsidR="0021565B">
        <w:rPr>
          <w:lang w:eastAsia="ar-SA"/>
        </w:rPr>
        <w:t>The report groups r</w:t>
      </w:r>
      <w:r>
        <w:rPr>
          <w:lang w:eastAsia="ar-SA"/>
        </w:rPr>
        <w:t>esults by fuel savings and present</w:t>
      </w:r>
      <w:r w:rsidR="0021565B">
        <w:rPr>
          <w:lang w:eastAsia="ar-SA"/>
        </w:rPr>
        <w:t xml:space="preserve">s them </w:t>
      </w:r>
      <w:r>
        <w:rPr>
          <w:lang w:eastAsia="ar-SA"/>
        </w:rPr>
        <w:t xml:space="preserve">for distinct measures and/or measure categories. </w:t>
      </w:r>
    </w:p>
    <w:p w:rsidR="002C62A8" w:rsidRDefault="0085314A" w:rsidP="002C62A8">
      <w:pPr>
        <w:pStyle w:val="Heading3"/>
      </w:pPr>
      <w:r>
        <w:t xml:space="preserve">HES-IE </w:t>
      </w:r>
      <w:r w:rsidR="002C62A8">
        <w:t xml:space="preserve">Electric Savings </w:t>
      </w:r>
    </w:p>
    <w:p w:rsidR="002C62A8" w:rsidRPr="005520AB" w:rsidRDefault="002C62A8" w:rsidP="002C62A8">
      <w:pPr>
        <w:rPr>
          <w:b/>
        </w:rPr>
      </w:pPr>
      <w:r>
        <w:t>The billing analysis provided estimate</w:t>
      </w:r>
      <w:r w:rsidR="0021565B">
        <w:t>s</w:t>
      </w:r>
      <w:r>
        <w:t xml:space="preserve"> of electric </w:t>
      </w:r>
      <w:r w:rsidRPr="005520AB">
        <w:t xml:space="preserve">savings </w:t>
      </w:r>
      <w:r>
        <w:t xml:space="preserve">for several HES-IE measure categories: lighting, ductless heat pumps, and refrigerator and freezer replacement (including the “appliance other” category). </w:t>
      </w:r>
      <w:r w:rsidR="0021565B">
        <w:t>The Evaluation Team determined a</w:t>
      </w:r>
      <w:r>
        <w:t xml:space="preserve">ll other electric savings </w:t>
      </w:r>
      <w:r w:rsidR="0021565B">
        <w:t xml:space="preserve">estimates </w:t>
      </w:r>
      <w:r>
        <w:t>presented in this section through engineering algorithms and simulation modeling.</w:t>
      </w:r>
    </w:p>
    <w:p w:rsidR="00453172" w:rsidRDefault="00453172" w:rsidP="00DE67A2">
      <w:pPr>
        <w:pStyle w:val="Heading4"/>
      </w:pPr>
      <w:r>
        <w:t>Lighting</w:t>
      </w:r>
    </w:p>
    <w:p w:rsidR="00E00C84" w:rsidRPr="00E00C84" w:rsidRDefault="00E00C84" w:rsidP="00E00C84">
      <w:r>
        <w:t>The Evaluation Team estimated impacts for a combined lighting bundle (</w:t>
      </w:r>
      <w:r w:rsidR="002906D5">
        <w:t xml:space="preserve">primarily </w:t>
      </w:r>
      <w:r>
        <w:t>including CFLs, along with fixtures and LEDs) through the billing analysis.</w:t>
      </w:r>
      <w:r w:rsidR="003E3609">
        <w:rPr>
          <w:rStyle w:val="FootnoteReference"/>
        </w:rPr>
        <w:footnoteReference w:id="25"/>
      </w:r>
      <w:r w:rsidR="003E3609">
        <w:t xml:space="preserve"> </w:t>
      </w:r>
      <w:r w:rsidR="005C2163">
        <w:fldChar w:fldCharType="begin"/>
      </w:r>
      <w:r w:rsidR="00EA1D99">
        <w:instrText xml:space="preserve"> REF _Ref388433987 \h </w:instrText>
      </w:r>
      <w:r w:rsidR="005C2163">
        <w:fldChar w:fldCharType="separate"/>
      </w:r>
      <w:r w:rsidR="00CD20CF">
        <w:t xml:space="preserve">Table </w:t>
      </w:r>
      <w:r w:rsidR="00CD20CF">
        <w:rPr>
          <w:noProof/>
        </w:rPr>
        <w:t>47</w:t>
      </w:r>
      <w:r w:rsidR="005C2163">
        <w:fldChar w:fldCharType="end"/>
      </w:r>
      <w:r>
        <w:t xml:space="preserve"> presents the billing analysis model results for lighting measures, which achieved a precision </w:t>
      </w:r>
      <w:r w:rsidR="003E3609">
        <w:t xml:space="preserve">estimate </w:t>
      </w:r>
      <w:r w:rsidR="00150AD4">
        <w:t xml:space="preserve">within </w:t>
      </w:r>
      <w:r w:rsidR="003E3609">
        <w:t>the study threshold</w:t>
      </w:r>
      <w:r>
        <w:t xml:space="preserve">. </w:t>
      </w:r>
    </w:p>
    <w:p w:rsidR="00CC6625" w:rsidRDefault="00CC6625" w:rsidP="00CC6625">
      <w:pPr>
        <w:pStyle w:val="Caption"/>
      </w:pPr>
      <w:bookmarkStart w:id="97" w:name="_Ref388433987"/>
      <w:r>
        <w:t xml:space="preserve">Table </w:t>
      </w:r>
      <w:r w:rsidR="002506E1">
        <w:fldChar w:fldCharType="begin"/>
      </w:r>
      <w:r w:rsidR="002506E1">
        <w:instrText xml:space="preserve"> SEQ Table \* ARABIC </w:instrText>
      </w:r>
      <w:r w:rsidR="002506E1">
        <w:fldChar w:fldCharType="separate"/>
      </w:r>
      <w:r w:rsidR="00CD20CF">
        <w:rPr>
          <w:noProof/>
        </w:rPr>
        <w:t>47</w:t>
      </w:r>
      <w:r w:rsidR="002506E1">
        <w:rPr>
          <w:noProof/>
        </w:rPr>
        <w:fldChar w:fldCharType="end"/>
      </w:r>
      <w:bookmarkEnd w:id="97"/>
      <w:r>
        <w:t xml:space="preserve">. </w:t>
      </w:r>
      <w:r w:rsidR="00E00C84">
        <w:t xml:space="preserve">HES-IE </w:t>
      </w:r>
      <w:r>
        <w:t xml:space="preserve">Billing Analysis </w:t>
      </w:r>
      <w:r w:rsidR="003E3DA0">
        <w:t>Electric</w:t>
      </w:r>
      <w:r>
        <w:t xml:space="preserve"> Savings Results for Lighting</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78"/>
        <w:gridCol w:w="720"/>
        <w:gridCol w:w="1170"/>
        <w:gridCol w:w="2160"/>
        <w:gridCol w:w="2250"/>
        <w:gridCol w:w="1998"/>
      </w:tblGrid>
      <w:tr w:rsidR="00CC6625" w:rsidRPr="00CC6625" w:rsidTr="00325C41">
        <w:tc>
          <w:tcPr>
            <w:tcW w:w="667" w:type="pct"/>
            <w:shd w:val="clear" w:color="000000" w:fill="005DAA"/>
            <w:vAlign w:val="center"/>
            <w:hideMark/>
          </w:tcPr>
          <w:p w:rsidR="00CC6625" w:rsidRPr="00CC6625" w:rsidRDefault="00CC6625" w:rsidP="00EA1D99">
            <w:pPr>
              <w:spacing w:after="0"/>
              <w:jc w:val="center"/>
              <w:rPr>
                <w:rFonts w:ascii="Calibri" w:eastAsia="Times New Roman" w:hAnsi="Calibri" w:cs="Times New Roman"/>
                <w:b/>
                <w:bCs/>
                <w:color w:val="FFFFFF"/>
              </w:rPr>
            </w:pPr>
            <w:r w:rsidRPr="00CC6625">
              <w:rPr>
                <w:rFonts w:ascii="Calibri" w:eastAsia="Times New Roman" w:hAnsi="Calibri" w:cs="Times New Roman"/>
                <w:b/>
                <w:bCs/>
                <w:color w:val="FFFFFF"/>
              </w:rPr>
              <w:t>Measure</w:t>
            </w:r>
          </w:p>
        </w:tc>
        <w:tc>
          <w:tcPr>
            <w:tcW w:w="376" w:type="pct"/>
            <w:shd w:val="clear" w:color="000000" w:fill="005DAA"/>
            <w:vAlign w:val="center"/>
            <w:hideMark/>
          </w:tcPr>
          <w:p w:rsidR="00CC6625" w:rsidRPr="00CC6625" w:rsidRDefault="00CC6625" w:rsidP="00EA1D99">
            <w:pPr>
              <w:spacing w:after="0"/>
              <w:jc w:val="center"/>
              <w:rPr>
                <w:rFonts w:ascii="Calibri" w:eastAsia="Times New Roman" w:hAnsi="Calibri" w:cs="Times New Roman"/>
                <w:b/>
                <w:bCs/>
                <w:color w:val="FFFFFF"/>
              </w:rPr>
            </w:pPr>
            <w:r w:rsidRPr="00CC6625">
              <w:rPr>
                <w:rFonts w:ascii="Calibri" w:eastAsia="Times New Roman" w:hAnsi="Calibri" w:cs="Times New Roman"/>
                <w:b/>
                <w:bCs/>
                <w:color w:val="FFFFFF"/>
              </w:rPr>
              <w:t>n</w:t>
            </w:r>
          </w:p>
        </w:tc>
        <w:tc>
          <w:tcPr>
            <w:tcW w:w="611" w:type="pct"/>
            <w:shd w:val="clear" w:color="000000" w:fill="005DAA"/>
            <w:vAlign w:val="center"/>
            <w:hideMark/>
          </w:tcPr>
          <w:p w:rsidR="00CC6625" w:rsidRPr="00CC6625" w:rsidRDefault="00CC6625" w:rsidP="00EA1D99">
            <w:pPr>
              <w:spacing w:after="0"/>
              <w:jc w:val="center"/>
              <w:rPr>
                <w:rFonts w:ascii="Calibri" w:eastAsia="Times New Roman" w:hAnsi="Calibri" w:cs="Times New Roman"/>
                <w:b/>
                <w:bCs/>
                <w:color w:val="FFFFFF"/>
              </w:rPr>
            </w:pPr>
            <w:r w:rsidRPr="00CC6625">
              <w:rPr>
                <w:rFonts w:ascii="Calibri" w:eastAsia="Times New Roman" w:hAnsi="Calibri" w:cs="Times New Roman"/>
                <w:b/>
                <w:bCs/>
                <w:color w:val="FFFFFF"/>
              </w:rPr>
              <w:t>PRENAC</w:t>
            </w:r>
          </w:p>
        </w:tc>
        <w:tc>
          <w:tcPr>
            <w:tcW w:w="1128" w:type="pct"/>
            <w:shd w:val="clear" w:color="000000" w:fill="005DAA"/>
            <w:vAlign w:val="center"/>
            <w:hideMark/>
          </w:tcPr>
          <w:p w:rsidR="00CC6625" w:rsidRPr="00CC6625" w:rsidRDefault="00CC6625" w:rsidP="00EA1D99">
            <w:pPr>
              <w:spacing w:after="0"/>
              <w:jc w:val="center"/>
              <w:rPr>
                <w:rFonts w:ascii="Calibri" w:eastAsia="Times New Roman" w:hAnsi="Calibri" w:cs="Times New Roman"/>
                <w:b/>
                <w:bCs/>
                <w:color w:val="FFFFFF"/>
              </w:rPr>
            </w:pPr>
            <w:r w:rsidRPr="00CC6625">
              <w:rPr>
                <w:rFonts w:ascii="Calibri" w:eastAsia="Times New Roman" w:hAnsi="Calibri" w:cs="Times New Roman"/>
                <w:b/>
                <w:bCs/>
                <w:color w:val="FFFFFF"/>
              </w:rPr>
              <w:t>Gross Model Savings (kWh)</w:t>
            </w:r>
          </w:p>
        </w:tc>
        <w:tc>
          <w:tcPr>
            <w:tcW w:w="1175" w:type="pct"/>
            <w:shd w:val="clear" w:color="000000" w:fill="005DAA"/>
            <w:vAlign w:val="center"/>
            <w:hideMark/>
          </w:tcPr>
          <w:p w:rsidR="00CC6625" w:rsidRPr="00CC6625" w:rsidRDefault="00CC6625" w:rsidP="00EA1D99">
            <w:pPr>
              <w:spacing w:after="0"/>
              <w:jc w:val="center"/>
              <w:rPr>
                <w:rFonts w:ascii="Calibri" w:eastAsia="Times New Roman" w:hAnsi="Calibri" w:cs="Times New Roman"/>
                <w:b/>
                <w:bCs/>
                <w:color w:val="FFFFFF"/>
              </w:rPr>
            </w:pPr>
            <w:r w:rsidRPr="00CC6625">
              <w:rPr>
                <w:rFonts w:ascii="Calibri" w:eastAsia="Times New Roman" w:hAnsi="Calibri" w:cs="Times New Roman"/>
                <w:b/>
                <w:bCs/>
                <w:color w:val="FFFFFF"/>
              </w:rPr>
              <w:t>Savings as Percent of Pre-Usage</w:t>
            </w:r>
          </w:p>
        </w:tc>
        <w:tc>
          <w:tcPr>
            <w:tcW w:w="1043" w:type="pct"/>
            <w:shd w:val="clear" w:color="000000" w:fill="005DAA"/>
            <w:vAlign w:val="center"/>
            <w:hideMark/>
          </w:tcPr>
          <w:p w:rsidR="00CC6625" w:rsidRPr="00CC6625" w:rsidRDefault="0021453A" w:rsidP="00EA1D99">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 xml:space="preserve">Relative </w:t>
            </w:r>
            <w:r w:rsidR="00CC6625" w:rsidRPr="00CC6625">
              <w:rPr>
                <w:rFonts w:ascii="Calibri" w:eastAsia="Times New Roman" w:hAnsi="Calibri" w:cs="Times New Roman"/>
                <w:b/>
                <w:bCs/>
                <w:color w:val="FFFFFF"/>
              </w:rPr>
              <w:t xml:space="preserve">Precision </w:t>
            </w:r>
            <w:r>
              <w:rPr>
                <w:rFonts w:ascii="Calibri" w:eastAsia="Times New Roman" w:hAnsi="Calibri" w:cs="Times New Roman"/>
                <w:b/>
                <w:bCs/>
                <w:color w:val="FFFFFF"/>
              </w:rPr>
              <w:t xml:space="preserve">at </w:t>
            </w:r>
            <w:r w:rsidR="00CC6625" w:rsidRPr="00CC6625">
              <w:rPr>
                <w:rFonts w:ascii="Calibri" w:eastAsia="Times New Roman" w:hAnsi="Calibri" w:cs="Times New Roman"/>
                <w:b/>
                <w:bCs/>
                <w:color w:val="FFFFFF"/>
              </w:rPr>
              <w:t>90%</w:t>
            </w:r>
          </w:p>
        </w:tc>
      </w:tr>
      <w:tr w:rsidR="00CC6625" w:rsidRPr="00CC6625" w:rsidTr="00325C41">
        <w:tc>
          <w:tcPr>
            <w:tcW w:w="667" w:type="pct"/>
            <w:shd w:val="clear" w:color="auto" w:fill="auto"/>
            <w:vAlign w:val="center"/>
            <w:hideMark/>
          </w:tcPr>
          <w:p w:rsidR="00CC6625" w:rsidRPr="00CC6625" w:rsidRDefault="00CC6625" w:rsidP="00EA1D99">
            <w:pPr>
              <w:spacing w:after="0"/>
              <w:rPr>
                <w:rFonts w:ascii="Calibri" w:eastAsia="Times New Roman" w:hAnsi="Calibri" w:cs="Times New Roman"/>
                <w:color w:val="000000"/>
                <w:sz w:val="20"/>
                <w:szCs w:val="20"/>
              </w:rPr>
            </w:pPr>
            <w:r w:rsidRPr="00CC6625">
              <w:rPr>
                <w:rFonts w:ascii="Calibri" w:eastAsia="Times New Roman" w:hAnsi="Calibri" w:cs="Times New Roman"/>
                <w:color w:val="000000"/>
                <w:sz w:val="20"/>
                <w:szCs w:val="20"/>
              </w:rPr>
              <w:t>Lighting</w:t>
            </w:r>
          </w:p>
        </w:tc>
        <w:tc>
          <w:tcPr>
            <w:tcW w:w="376" w:type="pct"/>
            <w:shd w:val="clear" w:color="auto" w:fill="auto"/>
            <w:vAlign w:val="center"/>
            <w:hideMark/>
          </w:tcPr>
          <w:p w:rsidR="00CC6625" w:rsidRPr="00CC6625" w:rsidRDefault="00CC6625" w:rsidP="00EA1D99">
            <w:pPr>
              <w:spacing w:after="0"/>
              <w:jc w:val="right"/>
              <w:rPr>
                <w:rFonts w:ascii="Calibri" w:eastAsia="Times New Roman" w:hAnsi="Calibri" w:cs="Times New Roman"/>
                <w:color w:val="000000"/>
                <w:sz w:val="20"/>
                <w:szCs w:val="20"/>
              </w:rPr>
            </w:pPr>
            <w:r w:rsidRPr="00CC6625">
              <w:rPr>
                <w:rFonts w:ascii="Calibri" w:eastAsia="Times New Roman" w:hAnsi="Calibri" w:cs="Times New Roman"/>
                <w:color w:val="000000"/>
                <w:sz w:val="20"/>
                <w:szCs w:val="20"/>
              </w:rPr>
              <w:t>4,876</w:t>
            </w:r>
          </w:p>
        </w:tc>
        <w:tc>
          <w:tcPr>
            <w:tcW w:w="611" w:type="pct"/>
            <w:shd w:val="clear" w:color="auto" w:fill="auto"/>
            <w:vAlign w:val="center"/>
            <w:hideMark/>
          </w:tcPr>
          <w:p w:rsidR="00CC6625" w:rsidRPr="00CC6625" w:rsidRDefault="00CC6625" w:rsidP="00EA1D99">
            <w:pPr>
              <w:spacing w:after="0"/>
              <w:jc w:val="right"/>
              <w:rPr>
                <w:rFonts w:ascii="Calibri" w:eastAsia="Times New Roman" w:hAnsi="Calibri" w:cs="Times New Roman"/>
                <w:color w:val="000000"/>
                <w:sz w:val="20"/>
                <w:szCs w:val="20"/>
              </w:rPr>
            </w:pPr>
            <w:r w:rsidRPr="00CC6625">
              <w:rPr>
                <w:rFonts w:ascii="Calibri" w:eastAsia="Times New Roman" w:hAnsi="Calibri" w:cs="Times New Roman"/>
                <w:color w:val="000000"/>
                <w:sz w:val="20"/>
                <w:szCs w:val="20"/>
              </w:rPr>
              <w:t>7,271</w:t>
            </w:r>
          </w:p>
        </w:tc>
        <w:tc>
          <w:tcPr>
            <w:tcW w:w="1128" w:type="pct"/>
            <w:shd w:val="clear" w:color="auto" w:fill="auto"/>
            <w:vAlign w:val="center"/>
            <w:hideMark/>
          </w:tcPr>
          <w:p w:rsidR="00CC6625" w:rsidRPr="00CC6625" w:rsidRDefault="00CC6625" w:rsidP="0076753A">
            <w:pPr>
              <w:spacing w:after="0"/>
              <w:jc w:val="right"/>
              <w:rPr>
                <w:rFonts w:ascii="Calibri" w:eastAsia="Times New Roman" w:hAnsi="Calibri" w:cs="Times New Roman"/>
                <w:color w:val="000000"/>
                <w:sz w:val="20"/>
                <w:szCs w:val="20"/>
              </w:rPr>
            </w:pPr>
            <w:r w:rsidRPr="00CC6625">
              <w:rPr>
                <w:rFonts w:ascii="Calibri" w:eastAsia="Times New Roman" w:hAnsi="Calibri" w:cs="Times New Roman"/>
                <w:color w:val="000000"/>
                <w:sz w:val="20"/>
                <w:szCs w:val="20"/>
              </w:rPr>
              <w:t>64</w:t>
            </w:r>
            <w:r w:rsidR="0076753A">
              <w:rPr>
                <w:rFonts w:ascii="Calibri" w:eastAsia="Times New Roman" w:hAnsi="Calibri" w:cs="Times New Roman"/>
                <w:color w:val="000000"/>
                <w:sz w:val="20"/>
                <w:szCs w:val="20"/>
              </w:rPr>
              <w:t>7</w:t>
            </w:r>
          </w:p>
        </w:tc>
        <w:tc>
          <w:tcPr>
            <w:tcW w:w="1175" w:type="pct"/>
            <w:shd w:val="clear" w:color="auto" w:fill="auto"/>
            <w:vAlign w:val="center"/>
            <w:hideMark/>
          </w:tcPr>
          <w:p w:rsidR="00CC6625" w:rsidRPr="00CC6625" w:rsidRDefault="00CC6625" w:rsidP="00EA1D99">
            <w:pPr>
              <w:spacing w:after="0"/>
              <w:jc w:val="right"/>
              <w:rPr>
                <w:rFonts w:ascii="Calibri" w:eastAsia="Times New Roman" w:hAnsi="Calibri" w:cs="Times New Roman"/>
                <w:color w:val="000000"/>
                <w:sz w:val="20"/>
                <w:szCs w:val="20"/>
              </w:rPr>
            </w:pPr>
            <w:r w:rsidRPr="00CC6625">
              <w:rPr>
                <w:rFonts w:ascii="Calibri" w:eastAsia="Times New Roman" w:hAnsi="Calibri" w:cs="Times New Roman"/>
                <w:color w:val="000000"/>
                <w:sz w:val="20"/>
                <w:szCs w:val="20"/>
              </w:rPr>
              <w:t>9%</w:t>
            </w:r>
          </w:p>
        </w:tc>
        <w:tc>
          <w:tcPr>
            <w:tcW w:w="1043" w:type="pct"/>
            <w:shd w:val="clear" w:color="auto" w:fill="auto"/>
            <w:vAlign w:val="center"/>
            <w:hideMark/>
          </w:tcPr>
          <w:p w:rsidR="00CC6625" w:rsidRPr="00CC6625" w:rsidRDefault="0021453A" w:rsidP="00EA1D99">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CC6625" w:rsidRPr="00CC6625">
              <w:rPr>
                <w:rFonts w:ascii="Calibri" w:eastAsia="Times New Roman" w:hAnsi="Calibri" w:cs="Times New Roman"/>
                <w:color w:val="000000"/>
                <w:sz w:val="20"/>
                <w:szCs w:val="20"/>
              </w:rPr>
              <w:t>6%</w:t>
            </w:r>
          </w:p>
        </w:tc>
      </w:tr>
    </w:tbl>
    <w:p w:rsidR="00CC6625" w:rsidRDefault="00CC6625" w:rsidP="00EA1D99">
      <w:pPr>
        <w:pStyle w:val="NormalAfterTablesandFigures"/>
      </w:pPr>
    </w:p>
    <w:p w:rsidR="00E00C84" w:rsidRDefault="00E00C84" w:rsidP="00EA1D99">
      <w:r w:rsidRPr="00E00C84">
        <w:t>On average, 13.7 CFLs were installed per household</w:t>
      </w:r>
      <w:r w:rsidR="00150AD4">
        <w:t>.</w:t>
      </w:r>
      <w:r w:rsidRPr="00E00C84">
        <w:t xml:space="preserve"> </w:t>
      </w:r>
      <w:r w:rsidR="00150AD4">
        <w:t>T</w:t>
      </w:r>
      <w:r w:rsidR="00150AD4" w:rsidRPr="00E00C84">
        <w:t xml:space="preserve">his </w:t>
      </w:r>
      <w:r w:rsidRPr="00E00C84">
        <w:t xml:space="preserve">equates to about 47 kWh per bulb. These results </w:t>
      </w:r>
      <w:r w:rsidR="002906D5">
        <w:t>were</w:t>
      </w:r>
      <w:r w:rsidRPr="00E00C84">
        <w:t xml:space="preserve"> slightly higher than average gross </w:t>
      </w:r>
      <w:r w:rsidRPr="00E00C84">
        <w:rPr>
          <w:i/>
        </w:rPr>
        <w:t>ex ante</w:t>
      </w:r>
      <w:r w:rsidRPr="00E00C84">
        <w:t xml:space="preserve"> savings from the utility tracking system data, based on PSD calculations.</w:t>
      </w:r>
    </w:p>
    <w:p w:rsidR="00CC6625" w:rsidRPr="000E6110" w:rsidRDefault="005C2163" w:rsidP="00EA1D99">
      <w:r>
        <w:fldChar w:fldCharType="begin"/>
      </w:r>
      <w:r w:rsidR="00EA1D99">
        <w:instrText xml:space="preserve"> REF _Ref388434107 \h </w:instrText>
      </w:r>
      <w:r>
        <w:fldChar w:fldCharType="separate"/>
      </w:r>
      <w:r w:rsidR="00CD20CF">
        <w:t xml:space="preserve">Table </w:t>
      </w:r>
      <w:r w:rsidR="00CD20CF">
        <w:rPr>
          <w:noProof/>
        </w:rPr>
        <w:t>48</w:t>
      </w:r>
      <w:r>
        <w:fldChar w:fldCharType="end"/>
      </w:r>
      <w:r w:rsidR="00CC6625">
        <w:t xml:space="preserve"> provides realization rates</w:t>
      </w:r>
      <w:r w:rsidR="002906D5">
        <w:t>,</w:t>
      </w:r>
      <w:r w:rsidR="00CC6625">
        <w:t xml:space="preserve"> based on comparing the gross savings estimate from the billing analysis to the average </w:t>
      </w:r>
      <w:r w:rsidR="00CC6625" w:rsidRPr="004E7EA6">
        <w:rPr>
          <w:i/>
        </w:rPr>
        <w:t>ex ante</w:t>
      </w:r>
      <w:r w:rsidR="00CC6625">
        <w:t xml:space="preserve"> savings per household.</w:t>
      </w:r>
    </w:p>
    <w:p w:rsidR="00CC6625" w:rsidRDefault="00CC6625" w:rsidP="00BD4406">
      <w:pPr>
        <w:pStyle w:val="Caption"/>
      </w:pPr>
      <w:bookmarkStart w:id="98" w:name="_Ref388434107"/>
      <w:r>
        <w:lastRenderedPageBreak/>
        <w:t xml:space="preserve">Table </w:t>
      </w:r>
      <w:r w:rsidR="002506E1">
        <w:fldChar w:fldCharType="begin"/>
      </w:r>
      <w:r w:rsidR="002506E1">
        <w:instrText xml:space="preserve"> SEQ Table \* ARABIC </w:instrText>
      </w:r>
      <w:r w:rsidR="002506E1">
        <w:fldChar w:fldCharType="separate"/>
      </w:r>
      <w:r w:rsidR="00CD20CF">
        <w:rPr>
          <w:noProof/>
        </w:rPr>
        <w:t>48</w:t>
      </w:r>
      <w:r w:rsidR="002506E1">
        <w:rPr>
          <w:noProof/>
        </w:rPr>
        <w:fldChar w:fldCharType="end"/>
      </w:r>
      <w:bookmarkEnd w:id="98"/>
      <w:r>
        <w:t xml:space="preserve">. </w:t>
      </w:r>
      <w:r w:rsidR="00E00C84">
        <w:t xml:space="preserve">HES-IE </w:t>
      </w:r>
      <w:r>
        <w:t>Billing Analysis Realization Rate Summary for Lighting</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78"/>
        <w:gridCol w:w="1440"/>
        <w:gridCol w:w="1530"/>
        <w:gridCol w:w="1260"/>
        <w:gridCol w:w="2070"/>
        <w:gridCol w:w="1998"/>
      </w:tblGrid>
      <w:tr w:rsidR="00D547FD" w:rsidRPr="00CC6625" w:rsidTr="002906D5">
        <w:tc>
          <w:tcPr>
            <w:tcW w:w="667" w:type="pct"/>
            <w:shd w:val="clear" w:color="000000" w:fill="005DAA"/>
            <w:vAlign w:val="center"/>
            <w:hideMark/>
          </w:tcPr>
          <w:p w:rsidR="00CC6625" w:rsidRPr="00CC6625" w:rsidRDefault="00CC6625" w:rsidP="00BD4406">
            <w:pPr>
              <w:spacing w:after="0"/>
              <w:jc w:val="center"/>
              <w:rPr>
                <w:rFonts w:ascii="Calibri" w:eastAsia="Times New Roman" w:hAnsi="Calibri" w:cs="Times New Roman"/>
                <w:b/>
                <w:bCs/>
                <w:color w:val="FFFFFF"/>
              </w:rPr>
            </w:pPr>
            <w:r w:rsidRPr="00CC6625">
              <w:rPr>
                <w:rFonts w:ascii="Calibri" w:eastAsia="Times New Roman" w:hAnsi="Calibri" w:cs="Times New Roman"/>
                <w:b/>
                <w:bCs/>
                <w:color w:val="FFFFFF"/>
              </w:rPr>
              <w:t>Measure</w:t>
            </w:r>
          </w:p>
        </w:tc>
        <w:tc>
          <w:tcPr>
            <w:tcW w:w="752" w:type="pct"/>
            <w:shd w:val="clear" w:color="000000" w:fill="005DAA"/>
            <w:vAlign w:val="center"/>
            <w:hideMark/>
          </w:tcPr>
          <w:p w:rsidR="00CC6625" w:rsidRPr="00CC6625" w:rsidRDefault="00CC6625" w:rsidP="00BD4406">
            <w:pPr>
              <w:spacing w:after="0"/>
              <w:jc w:val="center"/>
              <w:rPr>
                <w:rFonts w:ascii="Calibri" w:eastAsia="Times New Roman" w:hAnsi="Calibri" w:cs="Times New Roman"/>
                <w:b/>
                <w:bCs/>
                <w:color w:val="FFFFFF"/>
              </w:rPr>
            </w:pPr>
            <w:r w:rsidRPr="00CC6625">
              <w:rPr>
                <w:rFonts w:ascii="Calibri" w:eastAsia="Times New Roman" w:hAnsi="Calibri" w:cs="Times New Roman"/>
                <w:b/>
                <w:bCs/>
                <w:color w:val="FFFFFF"/>
              </w:rPr>
              <w:t>Gross Model Savings (kWh)</w:t>
            </w:r>
          </w:p>
        </w:tc>
        <w:tc>
          <w:tcPr>
            <w:tcW w:w="799" w:type="pct"/>
            <w:shd w:val="clear" w:color="000000" w:fill="005DAA"/>
            <w:vAlign w:val="center"/>
            <w:hideMark/>
          </w:tcPr>
          <w:p w:rsidR="00CC6625" w:rsidRPr="00CC6625" w:rsidRDefault="00CC6625" w:rsidP="00BD4406">
            <w:pPr>
              <w:spacing w:after="0"/>
              <w:jc w:val="center"/>
              <w:rPr>
                <w:rFonts w:ascii="Calibri" w:eastAsia="Times New Roman" w:hAnsi="Calibri" w:cs="Times New Roman"/>
                <w:b/>
                <w:bCs/>
                <w:color w:val="FFFFFF"/>
              </w:rPr>
            </w:pPr>
            <w:r w:rsidRPr="00CC6625">
              <w:rPr>
                <w:rFonts w:ascii="Calibri" w:eastAsia="Times New Roman" w:hAnsi="Calibri" w:cs="Times New Roman"/>
                <w:b/>
                <w:bCs/>
                <w:color w:val="FFFFFF"/>
              </w:rPr>
              <w:t xml:space="preserve">Reported </w:t>
            </w:r>
            <w:r w:rsidRPr="00CF5867">
              <w:rPr>
                <w:rFonts w:ascii="Calibri" w:eastAsia="Times New Roman" w:hAnsi="Calibri" w:cs="Times New Roman"/>
                <w:b/>
                <w:bCs/>
                <w:i/>
                <w:color w:val="FFFFFF"/>
              </w:rPr>
              <w:t>Ex Ante</w:t>
            </w:r>
            <w:r w:rsidRPr="00CC6625">
              <w:rPr>
                <w:rFonts w:ascii="Calibri" w:eastAsia="Times New Roman" w:hAnsi="Calibri" w:cs="Times New Roman"/>
                <w:b/>
                <w:bCs/>
                <w:color w:val="FFFFFF"/>
              </w:rPr>
              <w:t xml:space="preserve"> Savings (kWh)</w:t>
            </w:r>
          </w:p>
        </w:tc>
        <w:tc>
          <w:tcPr>
            <w:tcW w:w="658" w:type="pct"/>
            <w:shd w:val="clear" w:color="000000" w:fill="005DAA"/>
            <w:vAlign w:val="center"/>
            <w:hideMark/>
          </w:tcPr>
          <w:p w:rsidR="00CC6625" w:rsidRPr="00CC6625" w:rsidRDefault="00CC6625" w:rsidP="00BD4406">
            <w:pPr>
              <w:spacing w:after="0"/>
              <w:jc w:val="center"/>
              <w:rPr>
                <w:rFonts w:ascii="Calibri" w:eastAsia="Times New Roman" w:hAnsi="Calibri" w:cs="Times New Roman"/>
                <w:b/>
                <w:bCs/>
                <w:color w:val="FFFFFF"/>
              </w:rPr>
            </w:pPr>
            <w:r w:rsidRPr="00CC6625">
              <w:rPr>
                <w:rFonts w:ascii="Calibri" w:eastAsia="Times New Roman" w:hAnsi="Calibri" w:cs="Times New Roman"/>
                <w:b/>
                <w:bCs/>
                <w:color w:val="FFFFFF"/>
              </w:rPr>
              <w:t>Realization Rate</w:t>
            </w:r>
          </w:p>
        </w:tc>
        <w:tc>
          <w:tcPr>
            <w:tcW w:w="1081" w:type="pct"/>
            <w:shd w:val="clear" w:color="000000" w:fill="005DAA"/>
            <w:vAlign w:val="center"/>
            <w:hideMark/>
          </w:tcPr>
          <w:p w:rsidR="00CC6625" w:rsidRPr="00CC6625" w:rsidRDefault="00CC6625" w:rsidP="00BD4406">
            <w:pPr>
              <w:spacing w:after="0"/>
              <w:jc w:val="center"/>
              <w:rPr>
                <w:rFonts w:ascii="Calibri" w:eastAsia="Times New Roman" w:hAnsi="Calibri" w:cs="Times New Roman"/>
                <w:b/>
                <w:bCs/>
                <w:color w:val="FFFFFF"/>
              </w:rPr>
            </w:pPr>
            <w:r w:rsidRPr="00CC6625">
              <w:rPr>
                <w:rFonts w:ascii="Calibri" w:eastAsia="Times New Roman" w:hAnsi="Calibri" w:cs="Times New Roman"/>
                <w:b/>
                <w:bCs/>
                <w:color w:val="FFFFFF"/>
              </w:rPr>
              <w:t>Model Savings as Percent of Pre-Usage</w:t>
            </w:r>
          </w:p>
        </w:tc>
        <w:tc>
          <w:tcPr>
            <w:tcW w:w="1043" w:type="pct"/>
            <w:shd w:val="clear" w:color="000000" w:fill="005DAA"/>
            <w:vAlign w:val="center"/>
            <w:hideMark/>
          </w:tcPr>
          <w:p w:rsidR="00CC6625" w:rsidRPr="00CC6625" w:rsidRDefault="00CC6625" w:rsidP="00BD4406">
            <w:pPr>
              <w:spacing w:after="0"/>
              <w:jc w:val="center"/>
              <w:rPr>
                <w:rFonts w:ascii="Calibri" w:eastAsia="Times New Roman" w:hAnsi="Calibri" w:cs="Times New Roman"/>
                <w:b/>
                <w:bCs/>
                <w:color w:val="FFFFFF"/>
              </w:rPr>
            </w:pPr>
            <w:r w:rsidRPr="00CC6625">
              <w:rPr>
                <w:rFonts w:ascii="Calibri" w:eastAsia="Times New Roman" w:hAnsi="Calibri" w:cs="Times New Roman"/>
                <w:b/>
                <w:bCs/>
                <w:color w:val="FFFFFF"/>
              </w:rPr>
              <w:t xml:space="preserve">Reported </w:t>
            </w:r>
            <w:r w:rsidRPr="00CF5867">
              <w:rPr>
                <w:rFonts w:ascii="Calibri" w:eastAsia="Times New Roman" w:hAnsi="Calibri" w:cs="Times New Roman"/>
                <w:b/>
                <w:bCs/>
                <w:i/>
                <w:color w:val="FFFFFF"/>
              </w:rPr>
              <w:t>Ex Ante</w:t>
            </w:r>
            <w:r w:rsidRPr="00CC6625">
              <w:rPr>
                <w:rFonts w:ascii="Calibri" w:eastAsia="Times New Roman" w:hAnsi="Calibri" w:cs="Times New Roman"/>
                <w:b/>
                <w:bCs/>
                <w:color w:val="FFFFFF"/>
              </w:rPr>
              <w:t xml:space="preserve"> Savings as Percent of Pre-Usage</w:t>
            </w:r>
          </w:p>
        </w:tc>
      </w:tr>
      <w:tr w:rsidR="00D547FD" w:rsidRPr="00CC6625" w:rsidTr="002906D5">
        <w:tc>
          <w:tcPr>
            <w:tcW w:w="667" w:type="pct"/>
            <w:shd w:val="clear" w:color="auto" w:fill="auto"/>
            <w:vAlign w:val="center"/>
            <w:hideMark/>
          </w:tcPr>
          <w:p w:rsidR="00CC6625" w:rsidRPr="00CC6625" w:rsidRDefault="00CC6625" w:rsidP="00BD4406">
            <w:pPr>
              <w:spacing w:after="0"/>
              <w:rPr>
                <w:rFonts w:ascii="Calibri" w:eastAsia="Times New Roman" w:hAnsi="Calibri" w:cs="Times New Roman"/>
                <w:color w:val="000000"/>
                <w:sz w:val="20"/>
                <w:szCs w:val="20"/>
              </w:rPr>
            </w:pPr>
            <w:r w:rsidRPr="00CC6625">
              <w:rPr>
                <w:rFonts w:ascii="Calibri" w:eastAsia="Times New Roman" w:hAnsi="Calibri" w:cs="Times New Roman"/>
                <w:color w:val="000000"/>
                <w:sz w:val="20"/>
                <w:szCs w:val="20"/>
              </w:rPr>
              <w:t>Lighting</w:t>
            </w:r>
          </w:p>
        </w:tc>
        <w:tc>
          <w:tcPr>
            <w:tcW w:w="752" w:type="pct"/>
            <w:shd w:val="clear" w:color="auto" w:fill="auto"/>
            <w:vAlign w:val="center"/>
            <w:hideMark/>
          </w:tcPr>
          <w:p w:rsidR="00CC6625" w:rsidRPr="00CC6625" w:rsidRDefault="00CC6625" w:rsidP="0076753A">
            <w:pPr>
              <w:spacing w:after="0"/>
              <w:jc w:val="right"/>
              <w:rPr>
                <w:rFonts w:ascii="Calibri" w:eastAsia="Times New Roman" w:hAnsi="Calibri" w:cs="Times New Roman"/>
                <w:color w:val="000000"/>
                <w:sz w:val="20"/>
                <w:szCs w:val="20"/>
              </w:rPr>
            </w:pPr>
            <w:r w:rsidRPr="00CC6625">
              <w:rPr>
                <w:rFonts w:ascii="Calibri" w:eastAsia="Times New Roman" w:hAnsi="Calibri" w:cs="Times New Roman"/>
                <w:color w:val="000000"/>
                <w:sz w:val="20"/>
                <w:szCs w:val="20"/>
              </w:rPr>
              <w:t>64</w:t>
            </w:r>
            <w:r w:rsidR="0076753A">
              <w:rPr>
                <w:rFonts w:ascii="Calibri" w:eastAsia="Times New Roman" w:hAnsi="Calibri" w:cs="Times New Roman"/>
                <w:color w:val="000000"/>
                <w:sz w:val="20"/>
                <w:szCs w:val="20"/>
              </w:rPr>
              <w:t>7</w:t>
            </w:r>
          </w:p>
        </w:tc>
        <w:tc>
          <w:tcPr>
            <w:tcW w:w="799" w:type="pct"/>
            <w:shd w:val="clear" w:color="auto" w:fill="auto"/>
            <w:vAlign w:val="center"/>
            <w:hideMark/>
          </w:tcPr>
          <w:p w:rsidR="00CC6625" w:rsidRPr="00CC6625" w:rsidRDefault="00CC6625" w:rsidP="00BD4406">
            <w:pPr>
              <w:spacing w:after="0"/>
              <w:jc w:val="right"/>
              <w:rPr>
                <w:rFonts w:ascii="Calibri" w:eastAsia="Times New Roman" w:hAnsi="Calibri" w:cs="Times New Roman"/>
                <w:color w:val="000000"/>
                <w:sz w:val="20"/>
                <w:szCs w:val="20"/>
              </w:rPr>
            </w:pPr>
            <w:r w:rsidRPr="00CC6625">
              <w:rPr>
                <w:rFonts w:ascii="Calibri" w:eastAsia="Times New Roman" w:hAnsi="Calibri" w:cs="Times New Roman"/>
                <w:color w:val="000000"/>
                <w:sz w:val="20"/>
                <w:szCs w:val="20"/>
              </w:rPr>
              <w:t>467</w:t>
            </w:r>
          </w:p>
        </w:tc>
        <w:tc>
          <w:tcPr>
            <w:tcW w:w="658" w:type="pct"/>
            <w:shd w:val="clear" w:color="auto" w:fill="auto"/>
            <w:vAlign w:val="center"/>
            <w:hideMark/>
          </w:tcPr>
          <w:p w:rsidR="00CC6625" w:rsidRPr="00CC6625" w:rsidRDefault="00CC6625" w:rsidP="00BD4406">
            <w:pPr>
              <w:spacing w:after="0"/>
              <w:jc w:val="right"/>
              <w:rPr>
                <w:rFonts w:ascii="Calibri" w:eastAsia="Times New Roman" w:hAnsi="Calibri" w:cs="Times New Roman"/>
                <w:color w:val="000000"/>
                <w:sz w:val="20"/>
                <w:szCs w:val="20"/>
              </w:rPr>
            </w:pPr>
            <w:r w:rsidRPr="00CC6625">
              <w:rPr>
                <w:rFonts w:ascii="Calibri" w:eastAsia="Times New Roman" w:hAnsi="Calibri" w:cs="Times New Roman"/>
                <w:color w:val="000000"/>
                <w:sz w:val="20"/>
                <w:szCs w:val="20"/>
              </w:rPr>
              <w:t>138%</w:t>
            </w:r>
          </w:p>
        </w:tc>
        <w:tc>
          <w:tcPr>
            <w:tcW w:w="1081" w:type="pct"/>
            <w:shd w:val="clear" w:color="auto" w:fill="auto"/>
            <w:vAlign w:val="center"/>
            <w:hideMark/>
          </w:tcPr>
          <w:p w:rsidR="00CC6625" w:rsidRPr="00CC6625" w:rsidRDefault="00CC6625" w:rsidP="00BD4406">
            <w:pPr>
              <w:spacing w:after="0"/>
              <w:jc w:val="right"/>
              <w:rPr>
                <w:rFonts w:ascii="Calibri" w:eastAsia="Times New Roman" w:hAnsi="Calibri" w:cs="Times New Roman"/>
                <w:color w:val="000000"/>
                <w:sz w:val="20"/>
                <w:szCs w:val="20"/>
              </w:rPr>
            </w:pPr>
            <w:r w:rsidRPr="00CC6625">
              <w:rPr>
                <w:rFonts w:ascii="Calibri" w:eastAsia="Times New Roman" w:hAnsi="Calibri" w:cs="Times New Roman"/>
                <w:color w:val="000000"/>
                <w:sz w:val="20"/>
                <w:szCs w:val="20"/>
              </w:rPr>
              <w:t>9%</w:t>
            </w:r>
          </w:p>
        </w:tc>
        <w:tc>
          <w:tcPr>
            <w:tcW w:w="1043" w:type="pct"/>
            <w:shd w:val="clear" w:color="auto" w:fill="auto"/>
            <w:vAlign w:val="center"/>
            <w:hideMark/>
          </w:tcPr>
          <w:p w:rsidR="00CC6625" w:rsidRPr="00CC6625" w:rsidRDefault="00CC6625" w:rsidP="00BD4406">
            <w:pPr>
              <w:spacing w:after="0"/>
              <w:jc w:val="right"/>
              <w:rPr>
                <w:rFonts w:ascii="Calibri" w:eastAsia="Times New Roman" w:hAnsi="Calibri" w:cs="Times New Roman"/>
                <w:color w:val="000000"/>
                <w:sz w:val="20"/>
                <w:szCs w:val="20"/>
              </w:rPr>
            </w:pPr>
            <w:r w:rsidRPr="00CC6625">
              <w:rPr>
                <w:rFonts w:ascii="Calibri" w:eastAsia="Times New Roman" w:hAnsi="Calibri" w:cs="Times New Roman"/>
                <w:color w:val="000000"/>
                <w:sz w:val="20"/>
                <w:szCs w:val="20"/>
              </w:rPr>
              <w:t>6%</w:t>
            </w:r>
          </w:p>
        </w:tc>
      </w:tr>
    </w:tbl>
    <w:p w:rsidR="00CC6625" w:rsidRDefault="00CC6625" w:rsidP="00EA1D99">
      <w:pPr>
        <w:pStyle w:val="NormalAfterTablesandFigures"/>
      </w:pPr>
    </w:p>
    <w:p w:rsidR="00E00C84" w:rsidRPr="00E00C84" w:rsidRDefault="00E00C84" w:rsidP="00EA1D99">
      <w:r w:rsidRPr="00E00C84">
        <w:t>Typical drivers of energy savings include</w:t>
      </w:r>
      <w:r w:rsidR="002906D5">
        <w:t>d:</w:t>
      </w:r>
      <w:r w:rsidRPr="00E00C84">
        <w:t xml:space="preserve"> assumptions for average HOU</w:t>
      </w:r>
      <w:r w:rsidR="002906D5">
        <w:t>;</w:t>
      </w:r>
      <w:r w:rsidRPr="00E00C84">
        <w:t xml:space="preserve"> and the change in wattage between the existing and replaced bulbs. HES</w:t>
      </w:r>
      <w:r w:rsidR="000E6B50">
        <w:t>-IE</w:t>
      </w:r>
      <w:r w:rsidRPr="00E00C84">
        <w:t xml:space="preserve"> field implementation protocols require</w:t>
      </w:r>
      <w:r w:rsidR="002906D5">
        <w:t>d</w:t>
      </w:r>
      <w:r w:rsidRPr="00E00C84">
        <w:t xml:space="preserve"> auditors to install all bulbs delivered to participants (</w:t>
      </w:r>
      <w:r w:rsidR="002906D5">
        <w:t xml:space="preserve">i.e., </w:t>
      </w:r>
      <w:r w:rsidRPr="00E00C84">
        <w:t xml:space="preserve">no bulbs </w:t>
      </w:r>
      <w:r w:rsidR="00825111">
        <w:t xml:space="preserve">were </w:t>
      </w:r>
      <w:r w:rsidRPr="00E00C84">
        <w:t xml:space="preserve">left behind uninstalled), up to a maximum of </w:t>
      </w:r>
      <w:r w:rsidR="00825111">
        <w:br/>
      </w:r>
      <w:r w:rsidRPr="00E00C84">
        <w:t>25 bulbs per home.</w:t>
      </w:r>
      <w:r w:rsidR="00A16FEF" w:rsidRPr="00E00C84">
        <w:rPr>
          <w:rStyle w:val="FootnoteReference"/>
        </w:rPr>
        <w:footnoteReference w:id="26"/>
      </w:r>
      <w:r w:rsidRPr="00E00C84">
        <w:t xml:space="preserve"> </w:t>
      </w:r>
      <w:r w:rsidR="002906D5">
        <w:t>S</w:t>
      </w:r>
      <w:r w:rsidRPr="00E00C84">
        <w:t xml:space="preserve">pecific guidance </w:t>
      </w:r>
      <w:r w:rsidR="002906D5">
        <w:t xml:space="preserve">did not address </w:t>
      </w:r>
      <w:r w:rsidRPr="00E00C84">
        <w:t>installation</w:t>
      </w:r>
      <w:r w:rsidR="002906D5">
        <w:t>s</w:t>
      </w:r>
      <w:r w:rsidRPr="00E00C84">
        <w:t xml:space="preserve"> only in high-use sockets</w:t>
      </w:r>
      <w:r w:rsidR="00B9308B">
        <w:t>.</w:t>
      </w:r>
      <w:r w:rsidRPr="00E00C84">
        <w:t xml:space="preserve"> </w:t>
      </w:r>
      <w:r w:rsidR="00B9308B">
        <w:t>Similar program</w:t>
      </w:r>
      <w:r w:rsidR="00F806DB">
        <w:t>s</w:t>
      </w:r>
      <w:r w:rsidR="00B9308B">
        <w:t xml:space="preserve"> sometimes use such </w:t>
      </w:r>
      <w:r w:rsidRPr="00E00C84">
        <w:t xml:space="preserve">instruction to restrict installation only </w:t>
      </w:r>
      <w:r w:rsidR="00B9308B">
        <w:t xml:space="preserve">to </w:t>
      </w:r>
      <w:r w:rsidRPr="00E00C84">
        <w:t xml:space="preserve">high-use sockets (e.g., </w:t>
      </w:r>
      <w:r w:rsidR="00B9308B">
        <w:t>three</w:t>
      </w:r>
      <w:r w:rsidRPr="00E00C84">
        <w:t xml:space="preserve"> hours or more) to ensure </w:t>
      </w:r>
      <w:r w:rsidR="00B9308B">
        <w:t xml:space="preserve">the </w:t>
      </w:r>
      <w:r w:rsidRPr="00E00C84">
        <w:t>higher savings associated with higher HOU.</w:t>
      </w:r>
    </w:p>
    <w:p w:rsidR="00E00C84" w:rsidRDefault="00B9308B" w:rsidP="00EA1D99">
      <w:r>
        <w:t xml:space="preserve">A closer examination of </w:t>
      </w:r>
      <w:r w:rsidR="00E00C84" w:rsidRPr="00E00C84">
        <w:t>average savings</w:t>
      </w:r>
      <w:r w:rsidR="00825111">
        <w:t>,</w:t>
      </w:r>
      <w:r w:rsidR="00E00C84" w:rsidRPr="00E00C84">
        <w:t xml:space="preserve"> based on the number of lighting installations per home</w:t>
      </w:r>
      <w:r w:rsidR="00825111">
        <w:t>,</w:t>
      </w:r>
      <w:r w:rsidR="00E00C84" w:rsidRPr="00E00C84">
        <w:t xml:space="preserve"> reveal</w:t>
      </w:r>
      <w:r>
        <w:t>ed</w:t>
      </w:r>
      <w:r w:rsidR="00E00C84" w:rsidRPr="00E00C84">
        <w:t xml:space="preserve"> a decrease in average savings</w:t>
      </w:r>
      <w:r>
        <w:t>,</w:t>
      </w:r>
      <w:r w:rsidR="00E00C84" w:rsidRPr="00E00C84">
        <w:t xml:space="preserve"> given an increase in installations. This trend </w:t>
      </w:r>
      <w:r>
        <w:t xml:space="preserve">could </w:t>
      </w:r>
      <w:r w:rsidR="00E00C84" w:rsidRPr="00E00C84">
        <w:t xml:space="preserve">relate to the </w:t>
      </w:r>
      <w:r w:rsidR="00825111">
        <w:t xml:space="preserve">HOU </w:t>
      </w:r>
      <w:r w:rsidR="00E00C84" w:rsidRPr="00E00C84">
        <w:t xml:space="preserve">effect, </w:t>
      </w:r>
      <w:r w:rsidR="00825111">
        <w:t xml:space="preserve">with </w:t>
      </w:r>
      <w:r w:rsidR="00E00C84" w:rsidRPr="00E00C84">
        <w:t>few installations made into higher-use sockets (resulting in higher average savings), with an average decrease in HOU as the number of installations per home increase.</w:t>
      </w:r>
      <w:r w:rsidR="003A2BC0" w:rsidRPr="003A2BC0">
        <w:rPr>
          <w:rStyle w:val="FootnoteReference"/>
        </w:rPr>
        <w:t xml:space="preserve"> </w:t>
      </w:r>
      <w:r w:rsidR="003A2BC0">
        <w:rPr>
          <w:rStyle w:val="FootnoteReference"/>
        </w:rPr>
        <w:footnoteReference w:id="27"/>
      </w:r>
      <w:r w:rsidR="00E00C84" w:rsidRPr="00E00C84">
        <w:t xml:space="preserve"> </w:t>
      </w:r>
      <w:r w:rsidR="005C2163">
        <w:fldChar w:fldCharType="begin"/>
      </w:r>
      <w:r w:rsidR="00EA1D99">
        <w:instrText xml:space="preserve"> REF _Ref388434195 \h </w:instrText>
      </w:r>
      <w:r w:rsidR="005C2163">
        <w:fldChar w:fldCharType="separate"/>
      </w:r>
      <w:r w:rsidR="00CD20CF">
        <w:t xml:space="preserve">Figure </w:t>
      </w:r>
      <w:r w:rsidR="00CD20CF">
        <w:rPr>
          <w:noProof/>
        </w:rPr>
        <w:t>6</w:t>
      </w:r>
      <w:r w:rsidR="005C2163">
        <w:fldChar w:fldCharType="end"/>
      </w:r>
      <w:r w:rsidR="00E00C84" w:rsidRPr="00E00C84">
        <w:t xml:space="preserve"> </w:t>
      </w:r>
      <w:r>
        <w:t xml:space="preserve">illustrates </w:t>
      </w:r>
      <w:r w:rsidR="00E00C84" w:rsidRPr="00E00C84">
        <w:t>this trend</w:t>
      </w:r>
      <w:r>
        <w:t xml:space="preserve">, with </w:t>
      </w:r>
      <w:r w:rsidR="00E00C84" w:rsidRPr="00E00C84">
        <w:t>a decrease in lighting savings based on the quantity installed (increasing the number of lower-use sockets in the overall average).</w:t>
      </w:r>
    </w:p>
    <w:p w:rsidR="00E00C84" w:rsidRDefault="00E00C84" w:rsidP="00E00C84">
      <w:pPr>
        <w:pStyle w:val="Caption"/>
      </w:pPr>
      <w:bookmarkStart w:id="99" w:name="_Ref388434195"/>
      <w:r>
        <w:lastRenderedPageBreak/>
        <w:t xml:space="preserve">Figure </w:t>
      </w:r>
      <w:r w:rsidR="002506E1">
        <w:fldChar w:fldCharType="begin"/>
      </w:r>
      <w:r w:rsidR="002506E1">
        <w:instrText xml:space="preserve"> SEQ Figure \* ARABIC </w:instrText>
      </w:r>
      <w:r w:rsidR="002506E1">
        <w:fldChar w:fldCharType="separate"/>
      </w:r>
      <w:r w:rsidR="00CD20CF">
        <w:rPr>
          <w:noProof/>
        </w:rPr>
        <w:t>6</w:t>
      </w:r>
      <w:r w:rsidR="002506E1">
        <w:rPr>
          <w:noProof/>
        </w:rPr>
        <w:fldChar w:fldCharType="end"/>
      </w:r>
      <w:bookmarkEnd w:id="99"/>
      <w:r>
        <w:t>. HES-IE</w:t>
      </w:r>
      <w:r w:rsidR="00B9308B">
        <w:t>—</w:t>
      </w:r>
      <w:r>
        <w:t>Per</w:t>
      </w:r>
      <w:r w:rsidR="00B9308B">
        <w:t>-</w:t>
      </w:r>
      <w:r>
        <w:t>Unit Lighting Savings</w:t>
      </w:r>
      <w:r w:rsidR="00B9308B">
        <w:t>,</w:t>
      </w:r>
      <w:r>
        <w:t xml:space="preserve"> Based on Number of Installations</w:t>
      </w:r>
    </w:p>
    <w:p w:rsidR="00E00C84" w:rsidRPr="00600ABD" w:rsidRDefault="0076753A" w:rsidP="00325C41">
      <w:pPr>
        <w:spacing w:after="0"/>
        <w:jc w:val="center"/>
      </w:pPr>
      <w:r>
        <w:rPr>
          <w:noProof/>
        </w:rPr>
        <w:drawing>
          <wp:inline distT="0" distB="0" distL="0" distR="0">
            <wp:extent cx="4584700" cy="27559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E00C84" w:rsidRDefault="00E00C84" w:rsidP="00EA1D99">
      <w:pPr>
        <w:pStyle w:val="NormalAfterTablesandFigures"/>
      </w:pPr>
    </w:p>
    <w:p w:rsidR="00E00C84" w:rsidRDefault="005C2163" w:rsidP="00E00C84">
      <w:r>
        <w:fldChar w:fldCharType="begin"/>
      </w:r>
      <w:r w:rsidR="00EA1D99">
        <w:instrText xml:space="preserve"> REF _Ref388434231 \h </w:instrText>
      </w:r>
      <w:r>
        <w:fldChar w:fldCharType="separate"/>
      </w:r>
      <w:r w:rsidR="00CD20CF">
        <w:t xml:space="preserve">Table </w:t>
      </w:r>
      <w:r w:rsidR="00CD20CF">
        <w:rPr>
          <w:noProof/>
        </w:rPr>
        <w:t>49</w:t>
      </w:r>
      <w:r>
        <w:fldChar w:fldCharType="end"/>
      </w:r>
      <w:r w:rsidR="00E00C84" w:rsidRPr="00E00C84">
        <w:t xml:space="preserve"> presents additional details </w:t>
      </w:r>
      <w:r w:rsidR="00B9308B">
        <w:t xml:space="preserve">regarding </w:t>
      </w:r>
      <w:r w:rsidR="00E00C84" w:rsidRPr="00E00C84">
        <w:t xml:space="preserve">lighting installations by </w:t>
      </w:r>
      <w:r w:rsidR="00B9308B">
        <w:t xml:space="preserve">the </w:t>
      </w:r>
      <w:r w:rsidR="00E00C84" w:rsidRPr="00E00C84">
        <w:t xml:space="preserve">quantity received (binned in categories of 1 to 10, 11 to 20, and greater than 20 lighting installations). </w:t>
      </w:r>
      <w:r w:rsidR="00F806DB">
        <w:t>As shown, average savings per bulb decrease within each category as more bulbs are installed per home.</w:t>
      </w:r>
    </w:p>
    <w:p w:rsidR="00E00C84" w:rsidRDefault="00E00C84" w:rsidP="00E00C84">
      <w:pPr>
        <w:pStyle w:val="Caption"/>
      </w:pPr>
      <w:bookmarkStart w:id="100" w:name="_Ref388434231"/>
      <w:r>
        <w:t xml:space="preserve">Table </w:t>
      </w:r>
      <w:r w:rsidR="002506E1">
        <w:fldChar w:fldCharType="begin"/>
      </w:r>
      <w:r w:rsidR="002506E1">
        <w:instrText xml:space="preserve"> SEQ Table \* ARABIC </w:instrText>
      </w:r>
      <w:r w:rsidR="002506E1">
        <w:fldChar w:fldCharType="separate"/>
      </w:r>
      <w:r w:rsidR="00CD20CF">
        <w:rPr>
          <w:noProof/>
        </w:rPr>
        <w:t>49</w:t>
      </w:r>
      <w:r w:rsidR="002506E1">
        <w:rPr>
          <w:noProof/>
        </w:rPr>
        <w:fldChar w:fldCharType="end"/>
      </w:r>
      <w:bookmarkEnd w:id="100"/>
      <w:r>
        <w:t>. HES-IE Energy Savings Based on Lighting Quantity Installed</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92"/>
        <w:gridCol w:w="1192"/>
        <w:gridCol w:w="1192"/>
        <w:gridCol w:w="1192"/>
        <w:gridCol w:w="1192"/>
        <w:gridCol w:w="1193"/>
        <w:gridCol w:w="1193"/>
        <w:gridCol w:w="1230"/>
      </w:tblGrid>
      <w:tr w:rsidR="00E00C84" w:rsidRPr="00E00C84" w:rsidTr="00EA1D99">
        <w:tc>
          <w:tcPr>
            <w:tcW w:w="625" w:type="pct"/>
            <w:vMerge w:val="restart"/>
            <w:shd w:val="clear" w:color="000000" w:fill="005DAA"/>
            <w:vAlign w:val="center"/>
            <w:hideMark/>
          </w:tcPr>
          <w:p w:rsidR="00E00C84" w:rsidRPr="00E00C84" w:rsidRDefault="00E00C84" w:rsidP="00325C41">
            <w:pPr>
              <w:spacing w:after="0"/>
              <w:jc w:val="center"/>
              <w:rPr>
                <w:rFonts w:ascii="Calibri" w:eastAsia="Times New Roman" w:hAnsi="Calibri" w:cs="Arial"/>
                <w:b/>
                <w:bCs/>
                <w:color w:val="FFFFFF"/>
              </w:rPr>
            </w:pPr>
            <w:r w:rsidRPr="00E00C84">
              <w:rPr>
                <w:rFonts w:ascii="Calibri" w:eastAsia="Times New Roman" w:hAnsi="Calibri" w:cs="Arial"/>
                <w:b/>
                <w:bCs/>
                <w:color w:val="FFFFFF"/>
              </w:rPr>
              <w:t>CFLs Received</w:t>
            </w:r>
          </w:p>
        </w:tc>
        <w:tc>
          <w:tcPr>
            <w:tcW w:w="625" w:type="pct"/>
            <w:vMerge w:val="restart"/>
            <w:shd w:val="clear" w:color="000000" w:fill="005DAA"/>
            <w:vAlign w:val="center"/>
            <w:hideMark/>
          </w:tcPr>
          <w:p w:rsidR="00E00C84" w:rsidRPr="00E00C84" w:rsidRDefault="00E00C84" w:rsidP="00325C41">
            <w:pPr>
              <w:spacing w:after="0"/>
              <w:jc w:val="center"/>
              <w:rPr>
                <w:rFonts w:ascii="Calibri" w:eastAsia="Times New Roman" w:hAnsi="Calibri" w:cs="Arial"/>
                <w:b/>
                <w:bCs/>
                <w:color w:val="FFFFFF"/>
              </w:rPr>
            </w:pPr>
            <w:r w:rsidRPr="00E00C84">
              <w:rPr>
                <w:rFonts w:ascii="Calibri" w:eastAsia="Times New Roman" w:hAnsi="Calibri" w:cs="Arial"/>
                <w:b/>
                <w:bCs/>
                <w:color w:val="FFFFFF"/>
              </w:rPr>
              <w:t>Percent of Sample</w:t>
            </w:r>
          </w:p>
        </w:tc>
        <w:tc>
          <w:tcPr>
            <w:tcW w:w="625" w:type="pct"/>
            <w:vMerge w:val="restart"/>
            <w:shd w:val="clear" w:color="000000" w:fill="005DAA"/>
            <w:vAlign w:val="center"/>
            <w:hideMark/>
          </w:tcPr>
          <w:p w:rsidR="00E00C84" w:rsidRPr="00E00C84" w:rsidRDefault="00E00C84" w:rsidP="00325C41">
            <w:pPr>
              <w:spacing w:after="0"/>
              <w:jc w:val="center"/>
              <w:rPr>
                <w:rFonts w:ascii="Calibri" w:eastAsia="Times New Roman" w:hAnsi="Calibri" w:cs="Arial"/>
                <w:b/>
                <w:bCs/>
                <w:color w:val="FFFFFF"/>
              </w:rPr>
            </w:pPr>
            <w:r w:rsidRPr="00E00C84">
              <w:rPr>
                <w:rFonts w:ascii="Calibri" w:eastAsia="Times New Roman" w:hAnsi="Calibri" w:cs="Arial"/>
                <w:b/>
                <w:bCs/>
                <w:color w:val="FFFFFF"/>
              </w:rPr>
              <w:t>Average CFLs Installed</w:t>
            </w:r>
          </w:p>
        </w:tc>
        <w:tc>
          <w:tcPr>
            <w:tcW w:w="1250" w:type="pct"/>
            <w:gridSpan w:val="2"/>
            <w:shd w:val="clear" w:color="000000" w:fill="005DAA"/>
            <w:vAlign w:val="center"/>
            <w:hideMark/>
          </w:tcPr>
          <w:p w:rsidR="00E00C84" w:rsidRPr="00E00C84" w:rsidRDefault="00E00C84" w:rsidP="00325C41">
            <w:pPr>
              <w:spacing w:after="0"/>
              <w:jc w:val="center"/>
              <w:rPr>
                <w:rFonts w:ascii="Calibri" w:eastAsia="Times New Roman" w:hAnsi="Calibri" w:cs="Arial"/>
                <w:b/>
                <w:bCs/>
                <w:color w:val="FFFFFF"/>
              </w:rPr>
            </w:pPr>
            <w:r w:rsidRPr="00E00C84">
              <w:rPr>
                <w:rFonts w:ascii="Calibri" w:eastAsia="Times New Roman" w:hAnsi="Calibri" w:cs="Arial"/>
                <w:b/>
                <w:bCs/>
                <w:color w:val="FFFFFF"/>
              </w:rPr>
              <w:t>Gross Model Savings</w:t>
            </w:r>
          </w:p>
        </w:tc>
        <w:tc>
          <w:tcPr>
            <w:tcW w:w="1250" w:type="pct"/>
            <w:gridSpan w:val="2"/>
            <w:shd w:val="clear" w:color="000000" w:fill="005DAA"/>
            <w:vAlign w:val="center"/>
            <w:hideMark/>
          </w:tcPr>
          <w:p w:rsidR="00E00C84" w:rsidRPr="00E00C84" w:rsidRDefault="00E00C84" w:rsidP="00325C41">
            <w:pPr>
              <w:spacing w:after="0"/>
              <w:jc w:val="center"/>
              <w:rPr>
                <w:rFonts w:ascii="Calibri" w:eastAsia="Times New Roman" w:hAnsi="Calibri" w:cs="Arial"/>
                <w:b/>
                <w:bCs/>
                <w:color w:val="FFFFFF"/>
              </w:rPr>
            </w:pPr>
            <w:r w:rsidRPr="00E00C84">
              <w:rPr>
                <w:rFonts w:ascii="Calibri" w:eastAsia="Times New Roman" w:hAnsi="Calibri" w:cs="Arial"/>
                <w:b/>
                <w:bCs/>
                <w:i/>
                <w:iCs/>
                <w:color w:val="FFFFFF"/>
              </w:rPr>
              <w:t>Ex Ante</w:t>
            </w:r>
            <w:r w:rsidRPr="00E00C84">
              <w:rPr>
                <w:rFonts w:ascii="Calibri" w:eastAsia="Times New Roman" w:hAnsi="Calibri" w:cs="Arial"/>
                <w:b/>
                <w:bCs/>
                <w:color w:val="FFFFFF"/>
              </w:rPr>
              <w:t xml:space="preserve"> Savings</w:t>
            </w:r>
          </w:p>
        </w:tc>
        <w:tc>
          <w:tcPr>
            <w:tcW w:w="625" w:type="pct"/>
            <w:vMerge w:val="restart"/>
            <w:shd w:val="clear" w:color="000000" w:fill="005DAA"/>
            <w:vAlign w:val="center"/>
            <w:hideMark/>
          </w:tcPr>
          <w:p w:rsidR="00E00C84" w:rsidRPr="00E00C84" w:rsidRDefault="00E00C84" w:rsidP="00325C41">
            <w:pPr>
              <w:spacing w:after="0"/>
              <w:jc w:val="center"/>
              <w:rPr>
                <w:rFonts w:ascii="Calibri" w:eastAsia="Times New Roman" w:hAnsi="Calibri" w:cs="Arial"/>
                <w:b/>
                <w:bCs/>
                <w:color w:val="FFFFFF"/>
              </w:rPr>
            </w:pPr>
            <w:r w:rsidRPr="00E00C84">
              <w:rPr>
                <w:rFonts w:ascii="Calibri" w:eastAsia="Times New Roman" w:hAnsi="Calibri" w:cs="Arial"/>
                <w:b/>
                <w:bCs/>
                <w:color w:val="FFFFFF"/>
              </w:rPr>
              <w:t>Realization Rate</w:t>
            </w:r>
          </w:p>
        </w:tc>
      </w:tr>
      <w:tr w:rsidR="00E00C84" w:rsidRPr="00E00C84" w:rsidTr="00EA1D99">
        <w:tc>
          <w:tcPr>
            <w:tcW w:w="625" w:type="pct"/>
            <w:vMerge/>
            <w:vAlign w:val="center"/>
            <w:hideMark/>
          </w:tcPr>
          <w:p w:rsidR="00E00C84" w:rsidRPr="00E00C84" w:rsidRDefault="00E00C84" w:rsidP="00325C41">
            <w:pPr>
              <w:spacing w:after="0"/>
              <w:rPr>
                <w:rFonts w:ascii="Calibri" w:eastAsia="Times New Roman" w:hAnsi="Calibri" w:cs="Arial"/>
                <w:b/>
                <w:bCs/>
                <w:color w:val="FFFFFF"/>
              </w:rPr>
            </w:pPr>
          </w:p>
        </w:tc>
        <w:tc>
          <w:tcPr>
            <w:tcW w:w="625" w:type="pct"/>
            <w:vMerge/>
            <w:vAlign w:val="center"/>
            <w:hideMark/>
          </w:tcPr>
          <w:p w:rsidR="00E00C84" w:rsidRPr="00E00C84" w:rsidRDefault="00E00C84" w:rsidP="00325C41">
            <w:pPr>
              <w:spacing w:after="0"/>
              <w:rPr>
                <w:rFonts w:ascii="Calibri" w:eastAsia="Times New Roman" w:hAnsi="Calibri" w:cs="Arial"/>
                <w:b/>
                <w:bCs/>
                <w:color w:val="FFFFFF"/>
              </w:rPr>
            </w:pPr>
          </w:p>
        </w:tc>
        <w:tc>
          <w:tcPr>
            <w:tcW w:w="625" w:type="pct"/>
            <w:vMerge/>
            <w:vAlign w:val="center"/>
            <w:hideMark/>
          </w:tcPr>
          <w:p w:rsidR="00E00C84" w:rsidRPr="00E00C84" w:rsidRDefault="00E00C84" w:rsidP="00325C41">
            <w:pPr>
              <w:spacing w:after="0"/>
              <w:rPr>
                <w:rFonts w:ascii="Calibri" w:eastAsia="Times New Roman" w:hAnsi="Calibri" w:cs="Arial"/>
                <w:b/>
                <w:bCs/>
                <w:color w:val="FFFFFF"/>
              </w:rPr>
            </w:pPr>
          </w:p>
        </w:tc>
        <w:tc>
          <w:tcPr>
            <w:tcW w:w="625" w:type="pct"/>
            <w:shd w:val="clear" w:color="000000" w:fill="005DAA"/>
            <w:vAlign w:val="center"/>
            <w:hideMark/>
          </w:tcPr>
          <w:p w:rsidR="00E00C84" w:rsidRPr="00E00C84" w:rsidRDefault="00E00C84" w:rsidP="00325C41">
            <w:pPr>
              <w:spacing w:after="0"/>
              <w:jc w:val="center"/>
              <w:rPr>
                <w:rFonts w:ascii="Calibri" w:eastAsia="Times New Roman" w:hAnsi="Calibri" w:cs="Arial"/>
                <w:b/>
                <w:bCs/>
                <w:color w:val="FFFFFF"/>
              </w:rPr>
            </w:pPr>
            <w:r w:rsidRPr="00E00C84">
              <w:rPr>
                <w:rFonts w:ascii="Calibri" w:eastAsia="Times New Roman" w:hAnsi="Calibri" w:cs="Arial"/>
                <w:b/>
                <w:bCs/>
                <w:color w:val="FFFFFF"/>
              </w:rPr>
              <w:t>kWh / unit</w:t>
            </w:r>
          </w:p>
        </w:tc>
        <w:tc>
          <w:tcPr>
            <w:tcW w:w="625" w:type="pct"/>
            <w:shd w:val="clear" w:color="000000" w:fill="005DAA"/>
            <w:vAlign w:val="center"/>
            <w:hideMark/>
          </w:tcPr>
          <w:p w:rsidR="00E00C84" w:rsidRPr="00E00C84" w:rsidRDefault="00E00C84" w:rsidP="00325C41">
            <w:pPr>
              <w:spacing w:after="0"/>
              <w:jc w:val="center"/>
              <w:rPr>
                <w:rFonts w:ascii="Calibri" w:eastAsia="Times New Roman" w:hAnsi="Calibri" w:cs="Arial"/>
                <w:b/>
                <w:bCs/>
                <w:color w:val="FFFFFF"/>
              </w:rPr>
            </w:pPr>
            <w:r w:rsidRPr="00E00C84">
              <w:rPr>
                <w:rFonts w:ascii="Calibri" w:eastAsia="Times New Roman" w:hAnsi="Calibri" w:cs="Arial"/>
                <w:b/>
                <w:bCs/>
                <w:color w:val="FFFFFF"/>
              </w:rPr>
              <w:t>kWh / household</w:t>
            </w:r>
          </w:p>
        </w:tc>
        <w:tc>
          <w:tcPr>
            <w:tcW w:w="625" w:type="pct"/>
            <w:shd w:val="clear" w:color="000000" w:fill="005DAA"/>
            <w:vAlign w:val="center"/>
            <w:hideMark/>
          </w:tcPr>
          <w:p w:rsidR="00E00C84" w:rsidRPr="00E00C84" w:rsidRDefault="00E00C84" w:rsidP="00325C41">
            <w:pPr>
              <w:spacing w:after="0"/>
              <w:jc w:val="center"/>
              <w:rPr>
                <w:rFonts w:ascii="Calibri" w:eastAsia="Times New Roman" w:hAnsi="Calibri" w:cs="Arial"/>
                <w:b/>
                <w:bCs/>
                <w:color w:val="FFFFFF"/>
              </w:rPr>
            </w:pPr>
            <w:r w:rsidRPr="00E00C84">
              <w:rPr>
                <w:rFonts w:ascii="Calibri" w:eastAsia="Times New Roman" w:hAnsi="Calibri" w:cs="Arial"/>
                <w:b/>
                <w:bCs/>
                <w:color w:val="FFFFFF"/>
              </w:rPr>
              <w:t>kWh / unit</w:t>
            </w:r>
          </w:p>
        </w:tc>
        <w:tc>
          <w:tcPr>
            <w:tcW w:w="625" w:type="pct"/>
            <w:shd w:val="clear" w:color="000000" w:fill="005DAA"/>
            <w:vAlign w:val="center"/>
            <w:hideMark/>
          </w:tcPr>
          <w:p w:rsidR="00E00C84" w:rsidRPr="00E00C84" w:rsidRDefault="00E00C84" w:rsidP="00325C41">
            <w:pPr>
              <w:spacing w:after="0"/>
              <w:jc w:val="center"/>
              <w:rPr>
                <w:rFonts w:ascii="Calibri" w:eastAsia="Times New Roman" w:hAnsi="Calibri" w:cs="Arial"/>
                <w:b/>
                <w:bCs/>
                <w:color w:val="FFFFFF"/>
              </w:rPr>
            </w:pPr>
            <w:r w:rsidRPr="00E00C84">
              <w:rPr>
                <w:rFonts w:ascii="Calibri" w:eastAsia="Times New Roman" w:hAnsi="Calibri" w:cs="Arial"/>
                <w:b/>
                <w:bCs/>
                <w:color w:val="FFFFFF"/>
              </w:rPr>
              <w:t>kWh / household</w:t>
            </w:r>
          </w:p>
        </w:tc>
        <w:tc>
          <w:tcPr>
            <w:tcW w:w="625" w:type="pct"/>
            <w:vMerge/>
            <w:vAlign w:val="center"/>
            <w:hideMark/>
          </w:tcPr>
          <w:p w:rsidR="00E00C84" w:rsidRPr="00E00C84" w:rsidRDefault="00E00C84" w:rsidP="00325C41">
            <w:pPr>
              <w:spacing w:after="0"/>
              <w:rPr>
                <w:rFonts w:ascii="Calibri" w:eastAsia="Times New Roman" w:hAnsi="Calibri" w:cs="Arial"/>
                <w:b/>
                <w:bCs/>
                <w:color w:val="FFFFFF"/>
              </w:rPr>
            </w:pPr>
          </w:p>
        </w:tc>
      </w:tr>
      <w:tr w:rsidR="00E00C84" w:rsidRPr="00E00C84" w:rsidTr="0076753A">
        <w:tc>
          <w:tcPr>
            <w:tcW w:w="625" w:type="pct"/>
            <w:shd w:val="clear" w:color="auto" w:fill="auto"/>
            <w:vAlign w:val="center"/>
            <w:hideMark/>
          </w:tcPr>
          <w:p w:rsidR="00E00C84" w:rsidRPr="00E00C84" w:rsidRDefault="00E00C84" w:rsidP="00325C41">
            <w:pPr>
              <w:spacing w:after="0"/>
              <w:rPr>
                <w:rFonts w:ascii="Calibri" w:eastAsia="Times New Roman" w:hAnsi="Calibri" w:cs="Arial"/>
                <w:color w:val="000000"/>
                <w:sz w:val="20"/>
                <w:szCs w:val="20"/>
              </w:rPr>
            </w:pPr>
            <w:r w:rsidRPr="00E00C84">
              <w:rPr>
                <w:rFonts w:ascii="Calibri" w:eastAsia="Times New Roman" w:hAnsi="Calibri" w:cs="Arial"/>
                <w:color w:val="000000"/>
                <w:sz w:val="20"/>
                <w:szCs w:val="20"/>
              </w:rPr>
              <w:t>1-10</w:t>
            </w:r>
          </w:p>
        </w:tc>
        <w:tc>
          <w:tcPr>
            <w:tcW w:w="625" w:type="pct"/>
            <w:shd w:val="clear" w:color="auto" w:fill="auto"/>
            <w:vAlign w:val="center"/>
            <w:hideMark/>
          </w:tcPr>
          <w:p w:rsidR="00E00C84" w:rsidRPr="00E00C84" w:rsidRDefault="00E00C84" w:rsidP="00325C41">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43%</w:t>
            </w:r>
          </w:p>
        </w:tc>
        <w:tc>
          <w:tcPr>
            <w:tcW w:w="625" w:type="pct"/>
            <w:shd w:val="clear" w:color="auto" w:fill="auto"/>
            <w:vAlign w:val="center"/>
            <w:hideMark/>
          </w:tcPr>
          <w:p w:rsidR="00E00C84" w:rsidRPr="00E00C84" w:rsidRDefault="00E00C84" w:rsidP="00325C41">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5.7</w:t>
            </w:r>
          </w:p>
        </w:tc>
        <w:tc>
          <w:tcPr>
            <w:tcW w:w="625" w:type="pct"/>
            <w:shd w:val="clear" w:color="auto" w:fill="auto"/>
            <w:vAlign w:val="center"/>
          </w:tcPr>
          <w:p w:rsidR="00E00C84" w:rsidRPr="00E00C84" w:rsidRDefault="0076753A" w:rsidP="00325C41">
            <w:pPr>
              <w:spacing w:after="0"/>
              <w:jc w:val="right"/>
              <w:rPr>
                <w:rFonts w:ascii="Calibri" w:eastAsia="Times New Roman" w:hAnsi="Calibri" w:cs="Arial"/>
                <w:color w:val="000000"/>
                <w:sz w:val="20"/>
                <w:szCs w:val="20"/>
              </w:rPr>
            </w:pPr>
            <w:r>
              <w:rPr>
                <w:rFonts w:ascii="Calibri" w:eastAsia="Times New Roman" w:hAnsi="Calibri" w:cs="Arial"/>
                <w:color w:val="000000"/>
                <w:sz w:val="20"/>
                <w:szCs w:val="20"/>
              </w:rPr>
              <w:t>89.4</w:t>
            </w:r>
          </w:p>
        </w:tc>
        <w:tc>
          <w:tcPr>
            <w:tcW w:w="625" w:type="pct"/>
            <w:shd w:val="clear" w:color="auto" w:fill="auto"/>
            <w:vAlign w:val="center"/>
          </w:tcPr>
          <w:p w:rsidR="00E00C84" w:rsidRPr="00E00C84" w:rsidRDefault="0076753A" w:rsidP="00325C41">
            <w:pPr>
              <w:spacing w:after="0"/>
              <w:jc w:val="right"/>
              <w:rPr>
                <w:rFonts w:ascii="Calibri" w:eastAsia="Times New Roman" w:hAnsi="Calibri" w:cs="Arial"/>
                <w:color w:val="000000"/>
                <w:sz w:val="20"/>
                <w:szCs w:val="20"/>
              </w:rPr>
            </w:pPr>
            <w:r>
              <w:rPr>
                <w:rFonts w:ascii="Calibri" w:eastAsia="Times New Roman" w:hAnsi="Calibri" w:cs="Arial"/>
                <w:color w:val="000000"/>
                <w:sz w:val="20"/>
                <w:szCs w:val="20"/>
              </w:rPr>
              <w:t>514</w:t>
            </w:r>
          </w:p>
        </w:tc>
        <w:tc>
          <w:tcPr>
            <w:tcW w:w="625" w:type="pct"/>
            <w:shd w:val="clear" w:color="auto" w:fill="auto"/>
            <w:vAlign w:val="center"/>
            <w:hideMark/>
          </w:tcPr>
          <w:p w:rsidR="00E00C84" w:rsidRPr="00E00C84" w:rsidRDefault="00E00C84" w:rsidP="00325C41">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36.3</w:t>
            </w:r>
          </w:p>
        </w:tc>
        <w:tc>
          <w:tcPr>
            <w:tcW w:w="625" w:type="pct"/>
            <w:shd w:val="clear" w:color="auto" w:fill="auto"/>
            <w:vAlign w:val="center"/>
            <w:hideMark/>
          </w:tcPr>
          <w:p w:rsidR="00E00C84" w:rsidRPr="00E00C84" w:rsidRDefault="00E00C84" w:rsidP="00325C41">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209</w:t>
            </w:r>
          </w:p>
        </w:tc>
        <w:tc>
          <w:tcPr>
            <w:tcW w:w="625" w:type="pct"/>
            <w:shd w:val="clear" w:color="auto" w:fill="auto"/>
            <w:vAlign w:val="center"/>
            <w:hideMark/>
          </w:tcPr>
          <w:p w:rsidR="00E00C84" w:rsidRPr="00E00C84" w:rsidRDefault="00E00C84" w:rsidP="00325C41">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2</w:t>
            </w:r>
            <w:r w:rsidR="00297A9C">
              <w:rPr>
                <w:rFonts w:ascii="Calibri" w:eastAsia="Times New Roman" w:hAnsi="Calibri" w:cs="Arial"/>
                <w:color w:val="000000"/>
                <w:sz w:val="20"/>
                <w:szCs w:val="20"/>
              </w:rPr>
              <w:t>46</w:t>
            </w:r>
            <w:r w:rsidRPr="00E00C84">
              <w:rPr>
                <w:rFonts w:ascii="Calibri" w:eastAsia="Times New Roman" w:hAnsi="Calibri" w:cs="Arial"/>
                <w:color w:val="000000"/>
                <w:sz w:val="20"/>
                <w:szCs w:val="20"/>
              </w:rPr>
              <w:t>%</w:t>
            </w:r>
          </w:p>
        </w:tc>
      </w:tr>
      <w:tr w:rsidR="00E00C84" w:rsidRPr="00E00C84" w:rsidTr="0076753A">
        <w:tc>
          <w:tcPr>
            <w:tcW w:w="625" w:type="pct"/>
            <w:shd w:val="clear" w:color="auto" w:fill="auto"/>
            <w:vAlign w:val="center"/>
            <w:hideMark/>
          </w:tcPr>
          <w:p w:rsidR="00E00C84" w:rsidRPr="00E00C84" w:rsidRDefault="00E00C84" w:rsidP="00325C41">
            <w:pPr>
              <w:spacing w:after="0"/>
              <w:rPr>
                <w:rFonts w:ascii="Calibri" w:eastAsia="Times New Roman" w:hAnsi="Calibri" w:cs="Arial"/>
                <w:color w:val="000000"/>
                <w:sz w:val="20"/>
                <w:szCs w:val="20"/>
              </w:rPr>
            </w:pPr>
            <w:r w:rsidRPr="00E00C84">
              <w:rPr>
                <w:rFonts w:ascii="Calibri" w:eastAsia="Times New Roman" w:hAnsi="Calibri" w:cs="Arial"/>
                <w:color w:val="000000"/>
                <w:sz w:val="20"/>
                <w:szCs w:val="20"/>
              </w:rPr>
              <w:t>11-20</w:t>
            </w:r>
          </w:p>
        </w:tc>
        <w:tc>
          <w:tcPr>
            <w:tcW w:w="625" w:type="pct"/>
            <w:shd w:val="clear" w:color="auto" w:fill="auto"/>
            <w:vAlign w:val="center"/>
            <w:hideMark/>
          </w:tcPr>
          <w:p w:rsidR="00E00C84" w:rsidRPr="00E00C84" w:rsidRDefault="00E00C84" w:rsidP="00325C41">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35%</w:t>
            </w:r>
          </w:p>
        </w:tc>
        <w:tc>
          <w:tcPr>
            <w:tcW w:w="625" w:type="pct"/>
            <w:shd w:val="clear" w:color="auto" w:fill="auto"/>
            <w:vAlign w:val="center"/>
            <w:hideMark/>
          </w:tcPr>
          <w:p w:rsidR="00E00C84" w:rsidRPr="00E00C84" w:rsidRDefault="00E00C84" w:rsidP="00325C41">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14.7</w:t>
            </w:r>
          </w:p>
        </w:tc>
        <w:tc>
          <w:tcPr>
            <w:tcW w:w="625" w:type="pct"/>
            <w:shd w:val="clear" w:color="auto" w:fill="auto"/>
            <w:vAlign w:val="center"/>
          </w:tcPr>
          <w:p w:rsidR="00E00C84" w:rsidRPr="00E00C84" w:rsidRDefault="0076753A" w:rsidP="00325C41">
            <w:pPr>
              <w:spacing w:after="0"/>
              <w:jc w:val="right"/>
              <w:rPr>
                <w:rFonts w:ascii="Calibri" w:eastAsia="Times New Roman" w:hAnsi="Calibri" w:cs="Arial"/>
                <w:color w:val="000000"/>
                <w:sz w:val="20"/>
                <w:szCs w:val="20"/>
              </w:rPr>
            </w:pPr>
            <w:r>
              <w:rPr>
                <w:rFonts w:ascii="Calibri" w:eastAsia="Times New Roman" w:hAnsi="Calibri" w:cs="Arial"/>
                <w:color w:val="000000"/>
                <w:sz w:val="20"/>
                <w:szCs w:val="20"/>
              </w:rPr>
              <w:t>44.8</w:t>
            </w:r>
          </w:p>
        </w:tc>
        <w:tc>
          <w:tcPr>
            <w:tcW w:w="625" w:type="pct"/>
            <w:shd w:val="clear" w:color="auto" w:fill="auto"/>
            <w:vAlign w:val="center"/>
          </w:tcPr>
          <w:p w:rsidR="00E00C84" w:rsidRPr="00E00C84" w:rsidRDefault="0076753A" w:rsidP="00325C41">
            <w:pPr>
              <w:spacing w:after="0"/>
              <w:jc w:val="right"/>
              <w:rPr>
                <w:rFonts w:ascii="Calibri" w:eastAsia="Times New Roman" w:hAnsi="Calibri" w:cs="Arial"/>
                <w:color w:val="000000"/>
                <w:sz w:val="20"/>
                <w:szCs w:val="20"/>
              </w:rPr>
            </w:pPr>
            <w:r>
              <w:rPr>
                <w:rFonts w:ascii="Calibri" w:eastAsia="Times New Roman" w:hAnsi="Calibri" w:cs="Arial"/>
                <w:color w:val="000000"/>
                <w:sz w:val="20"/>
                <w:szCs w:val="20"/>
              </w:rPr>
              <w:t>661</w:t>
            </w:r>
          </w:p>
        </w:tc>
        <w:tc>
          <w:tcPr>
            <w:tcW w:w="625" w:type="pct"/>
            <w:shd w:val="clear" w:color="auto" w:fill="auto"/>
            <w:vAlign w:val="center"/>
            <w:hideMark/>
          </w:tcPr>
          <w:p w:rsidR="00E00C84" w:rsidRPr="00E00C84" w:rsidRDefault="00E00C84" w:rsidP="00325C41">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35.4</w:t>
            </w:r>
          </w:p>
        </w:tc>
        <w:tc>
          <w:tcPr>
            <w:tcW w:w="625" w:type="pct"/>
            <w:shd w:val="clear" w:color="auto" w:fill="auto"/>
            <w:vAlign w:val="center"/>
            <w:hideMark/>
          </w:tcPr>
          <w:p w:rsidR="00E00C84" w:rsidRPr="00E00C84" w:rsidRDefault="00E00C84" w:rsidP="00325C41">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522</w:t>
            </w:r>
          </w:p>
        </w:tc>
        <w:tc>
          <w:tcPr>
            <w:tcW w:w="625" w:type="pct"/>
            <w:shd w:val="clear" w:color="auto" w:fill="auto"/>
            <w:vAlign w:val="center"/>
            <w:hideMark/>
          </w:tcPr>
          <w:p w:rsidR="00E00C84" w:rsidRPr="00E00C84" w:rsidRDefault="00297A9C" w:rsidP="00325C41">
            <w:pPr>
              <w:spacing w:after="0"/>
              <w:jc w:val="right"/>
              <w:rPr>
                <w:rFonts w:ascii="Calibri" w:eastAsia="Times New Roman" w:hAnsi="Calibri" w:cs="Arial"/>
                <w:color w:val="000000"/>
                <w:sz w:val="20"/>
                <w:szCs w:val="20"/>
              </w:rPr>
            </w:pPr>
            <w:r>
              <w:rPr>
                <w:rFonts w:ascii="Calibri" w:eastAsia="Times New Roman" w:hAnsi="Calibri" w:cs="Arial"/>
                <w:color w:val="000000"/>
                <w:sz w:val="20"/>
                <w:szCs w:val="20"/>
              </w:rPr>
              <w:t>127</w:t>
            </w:r>
            <w:r w:rsidR="00E00C84" w:rsidRPr="00E00C84">
              <w:rPr>
                <w:rFonts w:ascii="Calibri" w:eastAsia="Times New Roman" w:hAnsi="Calibri" w:cs="Arial"/>
                <w:color w:val="000000"/>
                <w:sz w:val="20"/>
                <w:szCs w:val="20"/>
              </w:rPr>
              <w:t>%</w:t>
            </w:r>
          </w:p>
        </w:tc>
      </w:tr>
      <w:tr w:rsidR="00E00C84" w:rsidRPr="00E00C84" w:rsidTr="0076753A">
        <w:tc>
          <w:tcPr>
            <w:tcW w:w="625" w:type="pct"/>
            <w:shd w:val="clear" w:color="auto" w:fill="auto"/>
            <w:vAlign w:val="center"/>
            <w:hideMark/>
          </w:tcPr>
          <w:p w:rsidR="00E00C84" w:rsidRPr="00E00C84" w:rsidRDefault="00E00C84" w:rsidP="00325C41">
            <w:pPr>
              <w:spacing w:after="0"/>
              <w:rPr>
                <w:rFonts w:ascii="Calibri" w:eastAsia="Times New Roman" w:hAnsi="Calibri" w:cs="Arial"/>
                <w:color w:val="000000"/>
                <w:sz w:val="20"/>
                <w:szCs w:val="20"/>
              </w:rPr>
            </w:pPr>
            <w:r w:rsidRPr="00E00C84">
              <w:rPr>
                <w:rFonts w:ascii="Calibri" w:eastAsia="Times New Roman" w:hAnsi="Calibri" w:cs="Arial"/>
                <w:color w:val="000000"/>
                <w:sz w:val="20"/>
                <w:szCs w:val="20"/>
              </w:rPr>
              <w:t>&gt;20</w:t>
            </w:r>
          </w:p>
        </w:tc>
        <w:tc>
          <w:tcPr>
            <w:tcW w:w="625" w:type="pct"/>
            <w:shd w:val="clear" w:color="auto" w:fill="auto"/>
            <w:vAlign w:val="center"/>
            <w:hideMark/>
          </w:tcPr>
          <w:p w:rsidR="00E00C84" w:rsidRPr="00E00C84" w:rsidRDefault="00E00C84" w:rsidP="00325C41">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21%</w:t>
            </w:r>
          </w:p>
        </w:tc>
        <w:tc>
          <w:tcPr>
            <w:tcW w:w="625" w:type="pct"/>
            <w:shd w:val="clear" w:color="auto" w:fill="auto"/>
            <w:vAlign w:val="center"/>
            <w:hideMark/>
          </w:tcPr>
          <w:p w:rsidR="00E00C84" w:rsidRPr="00E00C84" w:rsidRDefault="00E00C84" w:rsidP="00325C41">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30.0</w:t>
            </w:r>
          </w:p>
        </w:tc>
        <w:tc>
          <w:tcPr>
            <w:tcW w:w="625" w:type="pct"/>
            <w:shd w:val="clear" w:color="auto" w:fill="auto"/>
            <w:vAlign w:val="center"/>
          </w:tcPr>
          <w:p w:rsidR="00E00C84" w:rsidRPr="00E00C84" w:rsidRDefault="0076753A" w:rsidP="00325C41">
            <w:pPr>
              <w:spacing w:after="0"/>
              <w:jc w:val="right"/>
              <w:rPr>
                <w:rFonts w:ascii="Calibri" w:eastAsia="Times New Roman" w:hAnsi="Calibri" w:cs="Arial"/>
                <w:color w:val="000000"/>
                <w:sz w:val="20"/>
                <w:szCs w:val="20"/>
              </w:rPr>
            </w:pPr>
            <w:r>
              <w:rPr>
                <w:rFonts w:ascii="Calibri" w:eastAsia="Times New Roman" w:hAnsi="Calibri" w:cs="Arial"/>
                <w:color w:val="000000"/>
                <w:sz w:val="20"/>
                <w:szCs w:val="20"/>
              </w:rPr>
              <w:t>29.7</w:t>
            </w:r>
          </w:p>
        </w:tc>
        <w:tc>
          <w:tcPr>
            <w:tcW w:w="625" w:type="pct"/>
            <w:shd w:val="clear" w:color="auto" w:fill="auto"/>
            <w:vAlign w:val="center"/>
          </w:tcPr>
          <w:p w:rsidR="00E00C84" w:rsidRPr="00E00C84" w:rsidRDefault="0076753A" w:rsidP="00325C41">
            <w:pPr>
              <w:spacing w:after="0"/>
              <w:jc w:val="right"/>
              <w:rPr>
                <w:rFonts w:ascii="Calibri" w:eastAsia="Times New Roman" w:hAnsi="Calibri" w:cs="Arial"/>
                <w:color w:val="000000"/>
                <w:sz w:val="20"/>
                <w:szCs w:val="20"/>
              </w:rPr>
            </w:pPr>
            <w:r>
              <w:rPr>
                <w:rFonts w:ascii="Calibri" w:eastAsia="Times New Roman" w:hAnsi="Calibri" w:cs="Arial"/>
                <w:color w:val="000000"/>
                <w:sz w:val="20"/>
                <w:szCs w:val="20"/>
              </w:rPr>
              <w:t>892</w:t>
            </w:r>
          </w:p>
        </w:tc>
        <w:tc>
          <w:tcPr>
            <w:tcW w:w="625" w:type="pct"/>
            <w:shd w:val="clear" w:color="auto" w:fill="auto"/>
            <w:vAlign w:val="center"/>
            <w:hideMark/>
          </w:tcPr>
          <w:p w:rsidR="00E00C84" w:rsidRPr="00E00C84" w:rsidRDefault="00E00C84" w:rsidP="00325C41">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32.1</w:t>
            </w:r>
          </w:p>
        </w:tc>
        <w:tc>
          <w:tcPr>
            <w:tcW w:w="625" w:type="pct"/>
            <w:shd w:val="clear" w:color="auto" w:fill="auto"/>
            <w:vAlign w:val="center"/>
            <w:hideMark/>
          </w:tcPr>
          <w:p w:rsidR="00E00C84" w:rsidRPr="00E00C84" w:rsidRDefault="00E00C84" w:rsidP="00325C41">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964</w:t>
            </w:r>
          </w:p>
        </w:tc>
        <w:tc>
          <w:tcPr>
            <w:tcW w:w="625" w:type="pct"/>
            <w:shd w:val="clear" w:color="auto" w:fill="auto"/>
            <w:vAlign w:val="center"/>
            <w:hideMark/>
          </w:tcPr>
          <w:p w:rsidR="00E00C84" w:rsidRPr="00E00C84" w:rsidRDefault="00297A9C" w:rsidP="00325C41">
            <w:pPr>
              <w:spacing w:after="0"/>
              <w:jc w:val="right"/>
              <w:rPr>
                <w:rFonts w:ascii="Calibri" w:eastAsia="Times New Roman" w:hAnsi="Calibri" w:cs="Arial"/>
                <w:color w:val="000000"/>
                <w:sz w:val="20"/>
                <w:szCs w:val="20"/>
              </w:rPr>
            </w:pPr>
            <w:r>
              <w:rPr>
                <w:rFonts w:ascii="Calibri" w:eastAsia="Times New Roman" w:hAnsi="Calibri" w:cs="Arial"/>
                <w:color w:val="000000"/>
                <w:sz w:val="20"/>
                <w:szCs w:val="20"/>
              </w:rPr>
              <w:t>92</w:t>
            </w:r>
            <w:r w:rsidR="00E00C84" w:rsidRPr="00E00C84">
              <w:rPr>
                <w:rFonts w:ascii="Calibri" w:eastAsia="Times New Roman" w:hAnsi="Calibri" w:cs="Arial"/>
                <w:color w:val="000000"/>
                <w:sz w:val="20"/>
                <w:szCs w:val="20"/>
              </w:rPr>
              <w:t>%</w:t>
            </w:r>
          </w:p>
        </w:tc>
      </w:tr>
      <w:tr w:rsidR="00E00C84" w:rsidRPr="00E00C84" w:rsidTr="0076753A">
        <w:tc>
          <w:tcPr>
            <w:tcW w:w="625" w:type="pct"/>
            <w:shd w:val="clear" w:color="auto" w:fill="auto"/>
            <w:vAlign w:val="center"/>
            <w:hideMark/>
          </w:tcPr>
          <w:p w:rsidR="00E00C84" w:rsidRPr="00E00C84" w:rsidRDefault="00E00C84" w:rsidP="00325C41">
            <w:pPr>
              <w:spacing w:after="0"/>
              <w:rPr>
                <w:rFonts w:ascii="Calibri" w:eastAsia="Times New Roman" w:hAnsi="Calibri" w:cs="Arial"/>
                <w:color w:val="000000"/>
                <w:sz w:val="20"/>
                <w:szCs w:val="20"/>
              </w:rPr>
            </w:pPr>
            <w:r w:rsidRPr="00E00C84">
              <w:rPr>
                <w:rFonts w:ascii="Calibri" w:eastAsia="Times New Roman" w:hAnsi="Calibri" w:cs="Arial"/>
                <w:color w:val="000000"/>
                <w:sz w:val="20"/>
                <w:szCs w:val="20"/>
              </w:rPr>
              <w:t>Overall</w:t>
            </w:r>
          </w:p>
        </w:tc>
        <w:tc>
          <w:tcPr>
            <w:tcW w:w="625" w:type="pct"/>
            <w:shd w:val="clear" w:color="auto" w:fill="auto"/>
            <w:vAlign w:val="center"/>
            <w:hideMark/>
          </w:tcPr>
          <w:p w:rsidR="00E00C84" w:rsidRPr="00E00C84" w:rsidRDefault="00E00C84" w:rsidP="00325C41">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100%</w:t>
            </w:r>
          </w:p>
        </w:tc>
        <w:tc>
          <w:tcPr>
            <w:tcW w:w="625" w:type="pct"/>
            <w:shd w:val="clear" w:color="auto" w:fill="auto"/>
            <w:vAlign w:val="center"/>
            <w:hideMark/>
          </w:tcPr>
          <w:p w:rsidR="00E00C84" w:rsidRPr="00E00C84" w:rsidRDefault="00E00C84" w:rsidP="00325C41">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13.7</w:t>
            </w:r>
          </w:p>
        </w:tc>
        <w:tc>
          <w:tcPr>
            <w:tcW w:w="625" w:type="pct"/>
            <w:shd w:val="clear" w:color="auto" w:fill="auto"/>
            <w:vAlign w:val="center"/>
          </w:tcPr>
          <w:p w:rsidR="00E00C84" w:rsidRPr="00E00C84" w:rsidRDefault="0076753A" w:rsidP="00325C41">
            <w:pPr>
              <w:spacing w:after="0"/>
              <w:jc w:val="right"/>
              <w:rPr>
                <w:rFonts w:ascii="Calibri" w:eastAsia="Times New Roman" w:hAnsi="Calibri" w:cs="Arial"/>
                <w:color w:val="000000"/>
                <w:sz w:val="20"/>
                <w:szCs w:val="20"/>
              </w:rPr>
            </w:pPr>
            <w:r>
              <w:rPr>
                <w:rFonts w:ascii="Calibri" w:eastAsia="Times New Roman" w:hAnsi="Calibri" w:cs="Arial"/>
                <w:color w:val="000000"/>
                <w:sz w:val="20"/>
                <w:szCs w:val="20"/>
              </w:rPr>
              <w:t>47.1</w:t>
            </w:r>
          </w:p>
        </w:tc>
        <w:tc>
          <w:tcPr>
            <w:tcW w:w="625" w:type="pct"/>
            <w:shd w:val="clear" w:color="auto" w:fill="auto"/>
            <w:vAlign w:val="center"/>
          </w:tcPr>
          <w:p w:rsidR="00E00C84" w:rsidRPr="00E00C84" w:rsidRDefault="0076753A" w:rsidP="00325C41">
            <w:pPr>
              <w:spacing w:after="0"/>
              <w:jc w:val="right"/>
              <w:rPr>
                <w:rFonts w:ascii="Calibri" w:eastAsia="Times New Roman" w:hAnsi="Calibri" w:cs="Arial"/>
                <w:color w:val="000000"/>
                <w:sz w:val="20"/>
                <w:szCs w:val="20"/>
              </w:rPr>
            </w:pPr>
            <w:r>
              <w:rPr>
                <w:rFonts w:ascii="Calibri" w:eastAsia="Times New Roman" w:hAnsi="Calibri" w:cs="Arial"/>
                <w:color w:val="000000"/>
                <w:sz w:val="20"/>
                <w:szCs w:val="20"/>
              </w:rPr>
              <w:t>647</w:t>
            </w:r>
          </w:p>
        </w:tc>
        <w:tc>
          <w:tcPr>
            <w:tcW w:w="625" w:type="pct"/>
            <w:shd w:val="clear" w:color="auto" w:fill="auto"/>
            <w:vAlign w:val="center"/>
            <w:hideMark/>
          </w:tcPr>
          <w:p w:rsidR="00E00C84" w:rsidRPr="00E00C84" w:rsidRDefault="00E00C84" w:rsidP="00325C41">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34.0</w:t>
            </w:r>
          </w:p>
        </w:tc>
        <w:tc>
          <w:tcPr>
            <w:tcW w:w="625" w:type="pct"/>
            <w:shd w:val="clear" w:color="auto" w:fill="auto"/>
            <w:vAlign w:val="center"/>
            <w:hideMark/>
          </w:tcPr>
          <w:p w:rsidR="00E00C84" w:rsidRPr="00E00C84" w:rsidRDefault="00E00C84" w:rsidP="00325C41">
            <w:pPr>
              <w:spacing w:after="0"/>
              <w:jc w:val="right"/>
              <w:rPr>
                <w:rFonts w:ascii="Calibri" w:eastAsia="Times New Roman" w:hAnsi="Calibri" w:cs="Arial"/>
                <w:color w:val="000000"/>
                <w:sz w:val="20"/>
                <w:szCs w:val="20"/>
              </w:rPr>
            </w:pPr>
            <w:r w:rsidRPr="00E00C84">
              <w:rPr>
                <w:rFonts w:ascii="Calibri" w:eastAsia="Times New Roman" w:hAnsi="Calibri" w:cs="Arial"/>
                <w:color w:val="000000"/>
                <w:sz w:val="20"/>
                <w:szCs w:val="20"/>
              </w:rPr>
              <w:t>467</w:t>
            </w:r>
          </w:p>
        </w:tc>
        <w:tc>
          <w:tcPr>
            <w:tcW w:w="625" w:type="pct"/>
            <w:shd w:val="clear" w:color="auto" w:fill="auto"/>
            <w:vAlign w:val="center"/>
            <w:hideMark/>
          </w:tcPr>
          <w:p w:rsidR="00E00C84" w:rsidRPr="00E00C84" w:rsidRDefault="00297A9C" w:rsidP="00325C41">
            <w:pPr>
              <w:spacing w:after="0"/>
              <w:jc w:val="right"/>
              <w:rPr>
                <w:rFonts w:ascii="Calibri" w:eastAsia="Times New Roman" w:hAnsi="Calibri" w:cs="Arial"/>
                <w:color w:val="000000"/>
                <w:sz w:val="20"/>
                <w:szCs w:val="20"/>
              </w:rPr>
            </w:pPr>
            <w:r>
              <w:rPr>
                <w:rFonts w:ascii="Calibri" w:eastAsia="Times New Roman" w:hAnsi="Calibri" w:cs="Arial"/>
                <w:color w:val="000000"/>
                <w:sz w:val="20"/>
                <w:szCs w:val="20"/>
              </w:rPr>
              <w:t>138</w:t>
            </w:r>
            <w:r w:rsidR="00E00C84" w:rsidRPr="00E00C84">
              <w:rPr>
                <w:rFonts w:ascii="Calibri" w:eastAsia="Times New Roman" w:hAnsi="Calibri" w:cs="Arial"/>
                <w:color w:val="000000"/>
                <w:sz w:val="20"/>
                <w:szCs w:val="20"/>
              </w:rPr>
              <w:t>%</w:t>
            </w:r>
          </w:p>
        </w:tc>
      </w:tr>
    </w:tbl>
    <w:p w:rsidR="00E00C84" w:rsidRPr="00CC6625" w:rsidRDefault="00E00C84" w:rsidP="00EA1D99">
      <w:pPr>
        <w:pStyle w:val="NormalAfterTablesandFigures"/>
      </w:pPr>
    </w:p>
    <w:p w:rsidR="00453172" w:rsidRDefault="00D3146F" w:rsidP="00DE67A2">
      <w:pPr>
        <w:pStyle w:val="Heading4"/>
      </w:pPr>
      <w:r>
        <w:t xml:space="preserve">Shell </w:t>
      </w:r>
      <w:r w:rsidR="003518BC">
        <w:t xml:space="preserve">Measures </w:t>
      </w:r>
      <w:r>
        <w:t>and Duct Sealing</w:t>
      </w:r>
    </w:p>
    <w:p w:rsidR="003009EA" w:rsidRDefault="00D67CFB" w:rsidP="00DE67A2">
      <w:r>
        <w:t xml:space="preserve">The Evaluation Team </w:t>
      </w:r>
      <w:r w:rsidR="00B9308B">
        <w:t xml:space="preserve">primarily used calibrated building simulation models to </w:t>
      </w:r>
      <w:r>
        <w:t>estimate impacts for shell m</w:t>
      </w:r>
      <w:r w:rsidR="003009EA">
        <w:t xml:space="preserve">easures (including air sealing, </w:t>
      </w:r>
      <w:r>
        <w:t>attic and wall insulation) and duct</w:t>
      </w:r>
      <w:r w:rsidR="00B9308B">
        <w:t>-</w:t>
      </w:r>
      <w:r>
        <w:t>sealing measures.</w:t>
      </w:r>
      <w:r w:rsidR="00DE1457">
        <w:t xml:space="preserve"> </w:t>
      </w:r>
      <w:r w:rsidR="003009EA">
        <w:t xml:space="preserve">Impacts associated with window replacements have been </w:t>
      </w:r>
      <w:r w:rsidR="00261F0B">
        <w:t>assessed</w:t>
      </w:r>
      <w:r w:rsidR="003009EA">
        <w:t xml:space="preserve"> using engineering algorithms due to limited information provided in the program tracking data. </w:t>
      </w:r>
    </w:p>
    <w:p w:rsidR="00D67CFB" w:rsidRDefault="00D67CFB" w:rsidP="00DE67A2">
      <w:r>
        <w:t>Electric savings for these measures are associated with heating savings from electric heat sources</w:t>
      </w:r>
      <w:r w:rsidR="00825111">
        <w:t>,</w:t>
      </w:r>
      <w:r w:rsidR="00B9308B">
        <w:t xml:space="preserve"> along with</w:t>
      </w:r>
      <w:r>
        <w:t xml:space="preserve"> reductions in cooling and fan energy consumption (associated with reduced run time</w:t>
      </w:r>
      <w:r w:rsidR="00B9308B">
        <w:t>s</w:t>
      </w:r>
      <w:r>
        <w:t xml:space="preserve"> in homes with gas, oil, or propane heating). </w:t>
      </w:r>
    </w:p>
    <w:p w:rsidR="00D67CFB" w:rsidRDefault="001167B1" w:rsidP="00AE0E68">
      <w:pPr>
        <w:spacing w:after="120"/>
        <w:rPr>
          <w:lang w:eastAsia="ar-SA"/>
        </w:rPr>
      </w:pPr>
      <w:r>
        <w:t>The Evaluation Team used detail</w:t>
      </w:r>
      <w:r w:rsidR="00825111">
        <w:t>s</w:t>
      </w:r>
      <w:r>
        <w:t xml:space="preserve"> provided in the utility tracking data (for each building type and heating fuel combination) to assess corresponding pre- and post-installation information for each measure </w:t>
      </w:r>
      <w:r>
        <w:lastRenderedPageBreak/>
        <w:t xml:space="preserve">analyzed using the calibrated simulation approach. </w:t>
      </w:r>
      <w:r w:rsidR="002506E1">
        <w:fldChar w:fldCharType="begin"/>
      </w:r>
      <w:r w:rsidR="002506E1">
        <w:instrText xml:space="preserve"> REF _Ref388255159 \h  \* MERG</w:instrText>
      </w:r>
      <w:r w:rsidR="002506E1">
        <w:instrText xml:space="preserve">EFORMAT </w:instrText>
      </w:r>
      <w:r w:rsidR="002506E1">
        <w:fldChar w:fldCharType="separate"/>
      </w:r>
      <w:r w:rsidR="00CD20CF">
        <w:t xml:space="preserve">Table </w:t>
      </w:r>
      <w:r w:rsidR="00CD20CF">
        <w:rPr>
          <w:noProof/>
        </w:rPr>
        <w:t>50</w:t>
      </w:r>
      <w:r w:rsidR="002506E1">
        <w:fldChar w:fldCharType="end"/>
      </w:r>
      <w:r>
        <w:t xml:space="preserve"> presents these details, including average pre- and post-installation insulation levels (weighte</w:t>
      </w:r>
      <w:r w:rsidR="003009EA">
        <w:t xml:space="preserve">d by square footage installed) and </w:t>
      </w:r>
      <w:r>
        <w:t>changes in air and duct</w:t>
      </w:r>
      <w:r w:rsidR="00825111">
        <w:t>-</w:t>
      </w:r>
      <w:r>
        <w:t>sealing levels.</w:t>
      </w:r>
    </w:p>
    <w:p w:rsidR="00AE0E68" w:rsidRDefault="00D67CFB" w:rsidP="00AE0E68">
      <w:pPr>
        <w:pStyle w:val="Caption"/>
      </w:pPr>
      <w:bookmarkStart w:id="101" w:name="_Ref388255159"/>
      <w:r>
        <w:t xml:space="preserve">Table </w:t>
      </w:r>
      <w:r w:rsidR="002506E1">
        <w:fldChar w:fldCharType="begin"/>
      </w:r>
      <w:r w:rsidR="002506E1">
        <w:instrText xml:space="preserve"> SEQ Table \* ARABIC </w:instrText>
      </w:r>
      <w:r w:rsidR="002506E1">
        <w:fldChar w:fldCharType="separate"/>
      </w:r>
      <w:r w:rsidR="00CD20CF">
        <w:rPr>
          <w:noProof/>
        </w:rPr>
        <w:t>50</w:t>
      </w:r>
      <w:r w:rsidR="002506E1">
        <w:rPr>
          <w:noProof/>
        </w:rPr>
        <w:fldChar w:fldCharType="end"/>
      </w:r>
      <w:bookmarkEnd w:id="101"/>
      <w:r w:rsidR="00AE0E68">
        <w:rPr>
          <w:noProof/>
        </w:rPr>
        <w:t>.</w:t>
      </w:r>
      <w:r>
        <w:t xml:space="preserve"> </w:t>
      </w:r>
      <w:r w:rsidR="00AE0E68">
        <w:t>HES-IE Electric—Shell and Duct</w:t>
      </w:r>
      <w:r w:rsidR="00825111">
        <w:t>-</w:t>
      </w:r>
      <w:r w:rsidR="00AE0E68">
        <w:t>Sealing Measure Distribution and Installation Details</w:t>
      </w:r>
    </w:p>
    <w:tbl>
      <w:tblPr>
        <w:tblW w:w="5000" w:type="pct"/>
        <w:tblLook w:val="04A0" w:firstRow="1" w:lastRow="0" w:firstColumn="1" w:lastColumn="0" w:noHBand="0" w:noVBand="1"/>
      </w:tblPr>
      <w:tblGrid>
        <w:gridCol w:w="1458"/>
        <w:gridCol w:w="1441"/>
        <w:gridCol w:w="1620"/>
        <w:gridCol w:w="1800"/>
        <w:gridCol w:w="2003"/>
        <w:gridCol w:w="1254"/>
      </w:tblGrid>
      <w:tr w:rsidR="00AE0E68" w:rsidRPr="00AE0E68" w:rsidTr="00325C41">
        <w:tc>
          <w:tcPr>
            <w:tcW w:w="761"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AE0E68" w:rsidRPr="00AE0E68" w:rsidRDefault="00AE0E68" w:rsidP="00325C41">
            <w:pPr>
              <w:spacing w:after="0"/>
              <w:jc w:val="center"/>
              <w:rPr>
                <w:rFonts w:ascii="Calibri" w:eastAsia="Times New Roman" w:hAnsi="Calibri" w:cs="Times New Roman"/>
                <w:b/>
                <w:bCs/>
                <w:color w:val="FFFFFF"/>
              </w:rPr>
            </w:pPr>
            <w:r w:rsidRPr="00AE0E68">
              <w:rPr>
                <w:rFonts w:ascii="Calibri" w:eastAsia="Times New Roman" w:hAnsi="Calibri" w:cs="Times New Roman"/>
                <w:b/>
                <w:bCs/>
                <w:color w:val="FFFFFF"/>
              </w:rPr>
              <w:t>Measure</w:t>
            </w:r>
          </w:p>
        </w:tc>
        <w:tc>
          <w:tcPr>
            <w:tcW w:w="752"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AE0E68" w:rsidRPr="00AE0E68" w:rsidRDefault="00AE0E68" w:rsidP="00325C41">
            <w:pPr>
              <w:spacing w:after="0"/>
              <w:jc w:val="center"/>
              <w:rPr>
                <w:rFonts w:ascii="Calibri" w:eastAsia="Times New Roman" w:hAnsi="Calibri" w:cs="Times New Roman"/>
                <w:b/>
                <w:bCs/>
                <w:color w:val="FFFFFF"/>
              </w:rPr>
            </w:pPr>
            <w:r w:rsidRPr="00AE0E68">
              <w:rPr>
                <w:rFonts w:ascii="Calibri" w:eastAsia="Times New Roman" w:hAnsi="Calibri" w:cs="Times New Roman"/>
                <w:b/>
                <w:bCs/>
                <w:color w:val="FFFFFF"/>
              </w:rPr>
              <w:t>Participants*</w:t>
            </w:r>
          </w:p>
        </w:tc>
        <w:tc>
          <w:tcPr>
            <w:tcW w:w="846"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AE0E68" w:rsidRPr="00AE0E68" w:rsidRDefault="00AE0E68" w:rsidP="00325C41">
            <w:pPr>
              <w:spacing w:after="0"/>
              <w:jc w:val="center"/>
              <w:rPr>
                <w:rFonts w:ascii="Calibri" w:eastAsia="Times New Roman" w:hAnsi="Calibri" w:cs="Times New Roman"/>
                <w:b/>
                <w:bCs/>
                <w:color w:val="FFFFFF"/>
              </w:rPr>
            </w:pPr>
            <w:r w:rsidRPr="00AE0E68">
              <w:rPr>
                <w:rFonts w:ascii="Calibri" w:eastAsia="Times New Roman" w:hAnsi="Calibri" w:cs="Times New Roman"/>
                <w:b/>
                <w:bCs/>
                <w:color w:val="FFFFFF"/>
              </w:rPr>
              <w:t>Pre-Condition</w:t>
            </w:r>
          </w:p>
        </w:tc>
        <w:tc>
          <w:tcPr>
            <w:tcW w:w="940"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AE0E68" w:rsidRPr="00AE0E68" w:rsidRDefault="00AE0E68" w:rsidP="00325C41">
            <w:pPr>
              <w:spacing w:after="0"/>
              <w:jc w:val="center"/>
              <w:rPr>
                <w:rFonts w:ascii="Calibri" w:eastAsia="Times New Roman" w:hAnsi="Calibri" w:cs="Times New Roman"/>
                <w:b/>
                <w:bCs/>
                <w:color w:val="FFFFFF"/>
              </w:rPr>
            </w:pPr>
            <w:r w:rsidRPr="00AE0E68">
              <w:rPr>
                <w:rFonts w:ascii="Calibri" w:eastAsia="Times New Roman" w:hAnsi="Calibri" w:cs="Times New Roman"/>
                <w:b/>
                <w:bCs/>
                <w:color w:val="FFFFFF"/>
              </w:rPr>
              <w:t>Post-Condition</w:t>
            </w:r>
          </w:p>
        </w:tc>
        <w:tc>
          <w:tcPr>
            <w:tcW w:w="1046"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AE0E68" w:rsidRPr="00AE0E68" w:rsidRDefault="00AE0E68" w:rsidP="00325C41">
            <w:pPr>
              <w:spacing w:after="0"/>
              <w:jc w:val="center"/>
              <w:rPr>
                <w:rFonts w:ascii="Calibri" w:eastAsia="Times New Roman" w:hAnsi="Calibri" w:cs="Times New Roman"/>
                <w:b/>
                <w:bCs/>
                <w:color w:val="FFFFFF"/>
              </w:rPr>
            </w:pPr>
            <w:r w:rsidRPr="00AE0E68">
              <w:rPr>
                <w:rFonts w:ascii="Calibri" w:eastAsia="Times New Roman" w:hAnsi="Calibri" w:cs="Times New Roman"/>
                <w:b/>
                <w:bCs/>
                <w:color w:val="FFFFFF"/>
              </w:rPr>
              <w:t>Average % Leakage Reduction</w:t>
            </w:r>
          </w:p>
        </w:tc>
        <w:tc>
          <w:tcPr>
            <w:tcW w:w="655"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AE0E68" w:rsidRPr="00AE0E68" w:rsidRDefault="00AE0E68" w:rsidP="00325C41">
            <w:pPr>
              <w:spacing w:after="0"/>
              <w:jc w:val="center"/>
              <w:rPr>
                <w:rFonts w:ascii="Calibri" w:eastAsia="Times New Roman" w:hAnsi="Calibri" w:cs="Times New Roman"/>
                <w:b/>
                <w:bCs/>
                <w:color w:val="FFFFFF"/>
              </w:rPr>
            </w:pPr>
            <w:r w:rsidRPr="00AE0E68">
              <w:rPr>
                <w:rFonts w:ascii="Calibri" w:eastAsia="Times New Roman" w:hAnsi="Calibri" w:cs="Times New Roman"/>
                <w:b/>
                <w:bCs/>
                <w:color w:val="FFFFFF"/>
              </w:rPr>
              <w:t>Units</w:t>
            </w:r>
          </w:p>
        </w:tc>
      </w:tr>
      <w:tr w:rsidR="00AE0E68" w:rsidRPr="00AE0E68" w:rsidTr="00325C41">
        <w:tc>
          <w:tcPr>
            <w:tcW w:w="761"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E0E68" w:rsidRPr="00AE0E68" w:rsidRDefault="00AE0E68" w:rsidP="00325C41">
            <w:pPr>
              <w:spacing w:after="0"/>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Air Sealing</w:t>
            </w:r>
          </w:p>
        </w:tc>
        <w:tc>
          <w:tcPr>
            <w:tcW w:w="752"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E0E68" w:rsidRPr="00AE0E68" w:rsidRDefault="00AE0E68" w:rsidP="00325C41">
            <w:pPr>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2,116</w:t>
            </w:r>
          </w:p>
        </w:tc>
        <w:tc>
          <w:tcPr>
            <w:tcW w:w="84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E0E68" w:rsidRPr="00AE0E68" w:rsidRDefault="00AE0E68" w:rsidP="00325C41">
            <w:pPr>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2,098</w:t>
            </w:r>
          </w:p>
        </w:tc>
        <w:tc>
          <w:tcPr>
            <w:tcW w:w="94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E0E68" w:rsidRPr="00AE0E68" w:rsidRDefault="00AE0E68" w:rsidP="00325C41">
            <w:pPr>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1,754</w:t>
            </w:r>
          </w:p>
        </w:tc>
        <w:tc>
          <w:tcPr>
            <w:tcW w:w="104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E0E68" w:rsidRPr="00AE0E68" w:rsidRDefault="00AE0E68" w:rsidP="00325C41">
            <w:pPr>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16%</w:t>
            </w:r>
          </w:p>
        </w:tc>
        <w:tc>
          <w:tcPr>
            <w:tcW w:w="65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E0E68" w:rsidRPr="00AE0E68" w:rsidRDefault="00AE0E68" w:rsidP="00325C41">
            <w:pPr>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CFM 50</w:t>
            </w:r>
          </w:p>
        </w:tc>
      </w:tr>
      <w:tr w:rsidR="00AE0E68" w:rsidRPr="00AE0E68" w:rsidTr="00325C41">
        <w:tc>
          <w:tcPr>
            <w:tcW w:w="761"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E0E68" w:rsidRPr="00AE0E68" w:rsidRDefault="00AE0E68" w:rsidP="00325C41">
            <w:pPr>
              <w:spacing w:after="0"/>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Duct Sealing</w:t>
            </w:r>
          </w:p>
        </w:tc>
        <w:tc>
          <w:tcPr>
            <w:tcW w:w="752"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E0E68" w:rsidRPr="00AE0E68" w:rsidRDefault="00AE0E68" w:rsidP="00325C41">
            <w:pPr>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166</w:t>
            </w:r>
          </w:p>
        </w:tc>
        <w:tc>
          <w:tcPr>
            <w:tcW w:w="84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E0E68" w:rsidRPr="00AE0E68" w:rsidRDefault="00AE0E68" w:rsidP="00325C41">
            <w:pPr>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517</w:t>
            </w:r>
          </w:p>
        </w:tc>
        <w:tc>
          <w:tcPr>
            <w:tcW w:w="94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E0E68" w:rsidRPr="00AE0E68" w:rsidRDefault="00AE0E68" w:rsidP="00325C41">
            <w:pPr>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310</w:t>
            </w:r>
          </w:p>
        </w:tc>
        <w:tc>
          <w:tcPr>
            <w:tcW w:w="104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E0E68" w:rsidRPr="00AE0E68" w:rsidRDefault="00AE0E68" w:rsidP="00325C41">
            <w:pPr>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40%</w:t>
            </w:r>
          </w:p>
        </w:tc>
        <w:tc>
          <w:tcPr>
            <w:tcW w:w="65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E0E68" w:rsidRPr="00AE0E68" w:rsidRDefault="00AE0E68" w:rsidP="00325C41">
            <w:pPr>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CFM 25</w:t>
            </w:r>
          </w:p>
        </w:tc>
      </w:tr>
      <w:tr w:rsidR="00AE0E68" w:rsidRPr="00AE0E68" w:rsidTr="00325C41">
        <w:tc>
          <w:tcPr>
            <w:tcW w:w="761"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E0E68" w:rsidRPr="00AE0E68" w:rsidRDefault="00AE0E68" w:rsidP="00325C41">
            <w:pPr>
              <w:spacing w:after="0"/>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Attic Insulation</w:t>
            </w:r>
          </w:p>
        </w:tc>
        <w:tc>
          <w:tcPr>
            <w:tcW w:w="752"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E0E68" w:rsidRPr="00AE0E68" w:rsidRDefault="00AE0E68" w:rsidP="00325C41">
            <w:pPr>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106</w:t>
            </w:r>
          </w:p>
        </w:tc>
        <w:tc>
          <w:tcPr>
            <w:tcW w:w="84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E0E68" w:rsidRPr="00AE0E68" w:rsidRDefault="00AE0E68" w:rsidP="00325C41">
            <w:pPr>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R3</w:t>
            </w:r>
          </w:p>
        </w:tc>
        <w:tc>
          <w:tcPr>
            <w:tcW w:w="94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E0E68" w:rsidRPr="00AE0E68" w:rsidRDefault="00AE0E68" w:rsidP="00325C41">
            <w:pPr>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R37</w:t>
            </w:r>
          </w:p>
        </w:tc>
        <w:tc>
          <w:tcPr>
            <w:tcW w:w="104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E0E68" w:rsidRPr="00AE0E68" w:rsidRDefault="00AE0E68" w:rsidP="00325C41">
            <w:pPr>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n/a</w:t>
            </w:r>
          </w:p>
        </w:tc>
        <w:tc>
          <w:tcPr>
            <w:tcW w:w="65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E0E68" w:rsidRPr="00AE0E68" w:rsidRDefault="00AE0E68" w:rsidP="00325C41">
            <w:pPr>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R-Value</w:t>
            </w:r>
          </w:p>
        </w:tc>
      </w:tr>
      <w:tr w:rsidR="00AE0E68" w:rsidRPr="00AE0E68" w:rsidTr="00325C41">
        <w:tc>
          <w:tcPr>
            <w:tcW w:w="761"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E0E68" w:rsidRPr="00AE0E68" w:rsidRDefault="00AE0E68" w:rsidP="00325C41">
            <w:pPr>
              <w:spacing w:after="0"/>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Wall Insulation</w:t>
            </w:r>
          </w:p>
        </w:tc>
        <w:tc>
          <w:tcPr>
            <w:tcW w:w="752"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E0E68" w:rsidRPr="00AE0E68" w:rsidRDefault="00AE0E68" w:rsidP="00325C41">
            <w:pPr>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259</w:t>
            </w:r>
          </w:p>
        </w:tc>
        <w:tc>
          <w:tcPr>
            <w:tcW w:w="84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E0E68" w:rsidRPr="00AE0E68" w:rsidRDefault="00AE0E68" w:rsidP="00325C41">
            <w:pPr>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R0.5</w:t>
            </w:r>
          </w:p>
        </w:tc>
        <w:tc>
          <w:tcPr>
            <w:tcW w:w="94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E0E68" w:rsidRPr="00AE0E68" w:rsidRDefault="00AE0E68" w:rsidP="00325C41">
            <w:pPr>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R15</w:t>
            </w:r>
          </w:p>
        </w:tc>
        <w:tc>
          <w:tcPr>
            <w:tcW w:w="104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E0E68" w:rsidRPr="00AE0E68" w:rsidRDefault="00AE0E68" w:rsidP="00325C41">
            <w:pPr>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n/a</w:t>
            </w:r>
          </w:p>
        </w:tc>
        <w:tc>
          <w:tcPr>
            <w:tcW w:w="65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AE0E68" w:rsidRPr="00AE0E68" w:rsidRDefault="00AE0E68" w:rsidP="00325C41">
            <w:pPr>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R-Value</w:t>
            </w:r>
          </w:p>
        </w:tc>
      </w:tr>
      <w:tr w:rsidR="00AE0E68" w:rsidRPr="00AE0E68" w:rsidTr="00325C41">
        <w:trPr>
          <w:trHeight w:val="300"/>
        </w:trPr>
        <w:tc>
          <w:tcPr>
            <w:tcW w:w="4345" w:type="pct"/>
            <w:gridSpan w:val="5"/>
            <w:tcBorders>
              <w:top w:val="single" w:sz="4" w:space="0" w:color="BFBFBF"/>
              <w:left w:val="nil"/>
              <w:bottom w:val="nil"/>
              <w:right w:val="nil"/>
            </w:tcBorders>
            <w:shd w:val="clear" w:color="auto" w:fill="auto"/>
            <w:noWrap/>
            <w:vAlign w:val="center"/>
            <w:hideMark/>
          </w:tcPr>
          <w:p w:rsidR="00AE0E68" w:rsidRPr="00AE0E68" w:rsidRDefault="00325C41" w:rsidP="00AE0E68">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AE0E68" w:rsidRPr="00AE0E68">
              <w:rPr>
                <w:rFonts w:ascii="Calibri" w:eastAsia="Times New Roman" w:hAnsi="Calibri" w:cs="Times New Roman"/>
                <w:color w:val="000000"/>
                <w:sz w:val="20"/>
                <w:szCs w:val="20"/>
              </w:rPr>
              <w:t xml:space="preserve">Count of participants reflects the number with </w:t>
            </w:r>
            <w:r w:rsidR="00AE0E68" w:rsidRPr="00AE0E68">
              <w:rPr>
                <w:rFonts w:ascii="Calibri" w:eastAsia="Times New Roman" w:hAnsi="Calibri" w:cs="Times New Roman"/>
                <w:i/>
                <w:iCs/>
                <w:color w:val="000000"/>
                <w:sz w:val="20"/>
                <w:szCs w:val="20"/>
              </w:rPr>
              <w:t>ex ante</w:t>
            </w:r>
            <w:r w:rsidR="00AE0E68" w:rsidRPr="00AE0E68">
              <w:rPr>
                <w:rFonts w:ascii="Calibri" w:eastAsia="Times New Roman" w:hAnsi="Calibri" w:cs="Times New Roman"/>
                <w:color w:val="000000"/>
                <w:sz w:val="20"/>
                <w:szCs w:val="20"/>
              </w:rPr>
              <w:t xml:space="preserve"> savings reported for a given measure.</w:t>
            </w:r>
          </w:p>
        </w:tc>
        <w:tc>
          <w:tcPr>
            <w:tcW w:w="655" w:type="pct"/>
            <w:tcBorders>
              <w:top w:val="single" w:sz="4" w:space="0" w:color="BFBFBF"/>
              <w:left w:val="nil"/>
              <w:bottom w:val="nil"/>
              <w:right w:val="nil"/>
            </w:tcBorders>
            <w:shd w:val="clear" w:color="auto" w:fill="auto"/>
            <w:noWrap/>
            <w:vAlign w:val="bottom"/>
            <w:hideMark/>
          </w:tcPr>
          <w:p w:rsidR="00AE0E68" w:rsidRPr="00AE0E68" w:rsidRDefault="00AE0E68" w:rsidP="00AE0E68">
            <w:pPr>
              <w:spacing w:after="0" w:line="240" w:lineRule="auto"/>
              <w:rPr>
                <w:rFonts w:ascii="Calibri" w:eastAsia="Times New Roman" w:hAnsi="Calibri" w:cs="Times New Roman"/>
                <w:color w:val="000000"/>
              </w:rPr>
            </w:pPr>
          </w:p>
        </w:tc>
      </w:tr>
    </w:tbl>
    <w:p w:rsidR="00AE0E68" w:rsidRPr="00AE0E68" w:rsidRDefault="00AE0E68" w:rsidP="00325C41">
      <w:pPr>
        <w:pStyle w:val="NormalAfterTablesandFigures"/>
      </w:pPr>
    </w:p>
    <w:p w:rsidR="00D67CFB" w:rsidRDefault="00D67CFB" w:rsidP="00DE67A2">
      <w:r>
        <w:t>The Evaluation Team used the energy models to calculate the savings percentage of weather-sensitive load</w:t>
      </w:r>
      <w:r w:rsidR="0053537D">
        <w:t>s</w:t>
      </w:r>
      <w:r>
        <w:t xml:space="preserve"> for each measure, which then </w:t>
      </w:r>
      <w:r w:rsidR="0053537D">
        <w:t xml:space="preserve">could be </w:t>
      </w:r>
      <w:r>
        <w:t>applied to the pre-period</w:t>
      </w:r>
      <w:r w:rsidR="0053537D">
        <w:t>,</w:t>
      </w:r>
      <w:r>
        <w:t xml:space="preserve"> weather</w:t>
      </w:r>
      <w:r w:rsidR="0053537D">
        <w:t>-</w:t>
      </w:r>
      <w:r>
        <w:t xml:space="preserve">sensitive usage for each model to calculate evaluated energy savings. </w:t>
      </w:r>
      <w:r w:rsidR="002506E1">
        <w:fldChar w:fldCharType="begin"/>
      </w:r>
      <w:r w:rsidR="002506E1">
        <w:instrText xml:space="preserve"> REF _Ref388277026 \h  \* MERGEFORMAT </w:instrText>
      </w:r>
      <w:r w:rsidR="002506E1">
        <w:fldChar w:fldCharType="separate"/>
      </w:r>
      <w:r w:rsidR="00CD20CF">
        <w:t xml:space="preserve">Table </w:t>
      </w:r>
      <w:r w:rsidR="00CD20CF">
        <w:rPr>
          <w:noProof/>
        </w:rPr>
        <w:t>51</w:t>
      </w:r>
      <w:r w:rsidR="002506E1">
        <w:fldChar w:fldCharType="end"/>
      </w:r>
      <w:r>
        <w:t xml:space="preserve"> presents weighted</w:t>
      </w:r>
      <w:r w:rsidR="0053537D">
        <w:t>,</w:t>
      </w:r>
      <w:r>
        <w:t xml:space="preserve"> household-level</w:t>
      </w:r>
      <w:r w:rsidR="0053537D">
        <w:t>,</w:t>
      </w:r>
      <w:r>
        <w:t xml:space="preserve"> electric savings for each measure and realization rates compared to average </w:t>
      </w:r>
      <w:r w:rsidRPr="00CA48C9">
        <w:rPr>
          <w:i/>
        </w:rPr>
        <w:t>ex ante</w:t>
      </w:r>
      <w:r>
        <w:t xml:space="preserve"> savings, along with the savings percentages of weather-sensitive load</w:t>
      </w:r>
      <w:r w:rsidR="0053537D">
        <w:t>s</w:t>
      </w:r>
      <w:r>
        <w:t>.</w:t>
      </w:r>
    </w:p>
    <w:p w:rsidR="00D67CFB" w:rsidRDefault="00D67CFB" w:rsidP="00D67F1F">
      <w:pPr>
        <w:pStyle w:val="Caption"/>
      </w:pPr>
      <w:bookmarkStart w:id="102" w:name="_Ref388277026"/>
      <w:r>
        <w:t xml:space="preserve">Table </w:t>
      </w:r>
      <w:r w:rsidR="002506E1">
        <w:fldChar w:fldCharType="begin"/>
      </w:r>
      <w:r w:rsidR="002506E1">
        <w:instrText xml:space="preserve"> SEQ Table \* ARABIC </w:instrText>
      </w:r>
      <w:r w:rsidR="002506E1">
        <w:fldChar w:fldCharType="separate"/>
      </w:r>
      <w:r w:rsidR="00CD20CF">
        <w:rPr>
          <w:noProof/>
        </w:rPr>
        <w:t>51</w:t>
      </w:r>
      <w:r w:rsidR="002506E1">
        <w:rPr>
          <w:noProof/>
        </w:rPr>
        <w:fldChar w:fldCharType="end"/>
      </w:r>
      <w:bookmarkEnd w:id="102"/>
      <w:r w:rsidR="00AE0E68">
        <w:rPr>
          <w:noProof/>
        </w:rPr>
        <w:t>.</w:t>
      </w:r>
      <w:r>
        <w:t xml:space="preserve"> </w:t>
      </w:r>
      <w:r w:rsidR="00AE0E68">
        <w:t>HES-IE Electric—Weighted Household Savings for Shell and Duct Measures</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38"/>
        <w:gridCol w:w="1350"/>
        <w:gridCol w:w="2076"/>
        <w:gridCol w:w="1505"/>
        <w:gridCol w:w="1505"/>
        <w:gridCol w:w="1502"/>
      </w:tblGrid>
      <w:tr w:rsidR="00AE0E68" w:rsidRPr="00AE0E68" w:rsidTr="00325C41">
        <w:tc>
          <w:tcPr>
            <w:tcW w:w="855" w:type="pct"/>
            <w:shd w:val="clear" w:color="000000" w:fill="005DAA"/>
            <w:vAlign w:val="bottom"/>
            <w:hideMark/>
          </w:tcPr>
          <w:p w:rsidR="00AE0E68" w:rsidRPr="00AE0E68" w:rsidRDefault="00AE0E68" w:rsidP="00D67F1F">
            <w:pPr>
              <w:keepNext/>
              <w:keepLines/>
              <w:spacing w:after="0"/>
              <w:jc w:val="center"/>
              <w:rPr>
                <w:rFonts w:ascii="Calibri" w:eastAsia="Times New Roman" w:hAnsi="Calibri" w:cs="Times New Roman"/>
                <w:b/>
                <w:bCs/>
                <w:color w:val="FFFFFF"/>
              </w:rPr>
            </w:pPr>
            <w:r w:rsidRPr="00AE0E68">
              <w:rPr>
                <w:rFonts w:ascii="Calibri" w:eastAsia="Times New Roman" w:hAnsi="Calibri" w:cs="Times New Roman"/>
                <w:b/>
                <w:bCs/>
                <w:color w:val="FFFFFF"/>
              </w:rPr>
              <w:t>Measures</w:t>
            </w:r>
          </w:p>
        </w:tc>
        <w:tc>
          <w:tcPr>
            <w:tcW w:w="705" w:type="pct"/>
            <w:shd w:val="clear" w:color="000000" w:fill="005DAA"/>
            <w:vAlign w:val="bottom"/>
            <w:hideMark/>
          </w:tcPr>
          <w:p w:rsidR="00AE0E68" w:rsidRPr="00AE0E68" w:rsidRDefault="00AE0E68" w:rsidP="00D67F1F">
            <w:pPr>
              <w:keepNext/>
              <w:keepLines/>
              <w:spacing w:after="0"/>
              <w:jc w:val="center"/>
              <w:rPr>
                <w:rFonts w:ascii="Calibri" w:eastAsia="Times New Roman" w:hAnsi="Calibri" w:cs="Times New Roman"/>
                <w:b/>
                <w:bCs/>
                <w:color w:val="FFFFFF"/>
              </w:rPr>
            </w:pPr>
            <w:r w:rsidRPr="00AE0E68">
              <w:rPr>
                <w:rFonts w:ascii="Calibri" w:eastAsia="Times New Roman" w:hAnsi="Calibri" w:cs="Times New Roman"/>
                <w:b/>
                <w:bCs/>
                <w:color w:val="FFFFFF"/>
              </w:rPr>
              <w:t xml:space="preserve">Average </w:t>
            </w:r>
            <w:r w:rsidR="00325C41">
              <w:rPr>
                <w:rFonts w:ascii="Calibri" w:eastAsia="Times New Roman" w:hAnsi="Calibri" w:cs="Times New Roman"/>
                <w:b/>
                <w:bCs/>
                <w:color w:val="FFFFFF"/>
              </w:rPr>
              <w:br/>
            </w:r>
            <w:r w:rsidRPr="00AE0E68">
              <w:rPr>
                <w:rFonts w:ascii="Calibri" w:eastAsia="Times New Roman" w:hAnsi="Calibri" w:cs="Times New Roman"/>
                <w:b/>
                <w:bCs/>
                <w:i/>
                <w:iCs/>
                <w:color w:val="FFFFFF"/>
              </w:rPr>
              <w:t>Ex Ante</w:t>
            </w:r>
            <w:r w:rsidRPr="00AE0E68">
              <w:rPr>
                <w:rFonts w:ascii="Calibri" w:eastAsia="Times New Roman" w:hAnsi="Calibri" w:cs="Times New Roman"/>
                <w:b/>
                <w:bCs/>
                <w:color w:val="FFFFFF"/>
              </w:rPr>
              <w:t xml:space="preserve"> Savings (kWh)</w:t>
            </w:r>
          </w:p>
        </w:tc>
        <w:tc>
          <w:tcPr>
            <w:tcW w:w="1084" w:type="pct"/>
            <w:shd w:val="clear" w:color="000000" w:fill="005DAA"/>
            <w:vAlign w:val="bottom"/>
            <w:hideMark/>
          </w:tcPr>
          <w:p w:rsidR="00AE0E68" w:rsidRPr="00AE0E68" w:rsidRDefault="00AE0E68" w:rsidP="00D67F1F">
            <w:pPr>
              <w:keepNext/>
              <w:keepLines/>
              <w:spacing w:after="0"/>
              <w:jc w:val="center"/>
              <w:rPr>
                <w:rFonts w:ascii="Calibri" w:eastAsia="Times New Roman" w:hAnsi="Calibri" w:cs="Times New Roman"/>
                <w:b/>
                <w:bCs/>
                <w:color w:val="FFFFFF"/>
              </w:rPr>
            </w:pPr>
            <w:r w:rsidRPr="00AE0E68">
              <w:rPr>
                <w:rFonts w:ascii="Calibri" w:eastAsia="Times New Roman" w:hAnsi="Calibri" w:cs="Times New Roman"/>
                <w:b/>
                <w:bCs/>
                <w:color w:val="FFFFFF"/>
              </w:rPr>
              <w:t xml:space="preserve">Average </w:t>
            </w:r>
            <w:r>
              <w:rPr>
                <w:rFonts w:ascii="Calibri" w:eastAsia="Times New Roman" w:hAnsi="Calibri" w:cs="Times New Roman"/>
                <w:b/>
                <w:bCs/>
                <w:color w:val="FFFFFF"/>
              </w:rPr>
              <w:t>Pre-Installation Weather-</w:t>
            </w:r>
            <w:r w:rsidRPr="00AE0E68">
              <w:rPr>
                <w:rFonts w:ascii="Calibri" w:eastAsia="Times New Roman" w:hAnsi="Calibri" w:cs="Times New Roman"/>
                <w:b/>
                <w:bCs/>
                <w:color w:val="FFFFFF"/>
              </w:rPr>
              <w:t>Sensitive Consumption (kWh)</w:t>
            </w:r>
          </w:p>
        </w:tc>
        <w:tc>
          <w:tcPr>
            <w:tcW w:w="786" w:type="pct"/>
            <w:shd w:val="clear" w:color="000000" w:fill="005DAA"/>
            <w:vAlign w:val="bottom"/>
            <w:hideMark/>
          </w:tcPr>
          <w:p w:rsidR="00AE0E68" w:rsidRPr="00AE0E68" w:rsidRDefault="00AE0E68" w:rsidP="00D67F1F">
            <w:pPr>
              <w:keepNext/>
              <w:keepLines/>
              <w:spacing w:after="0"/>
              <w:jc w:val="center"/>
              <w:rPr>
                <w:rFonts w:ascii="Calibri" w:eastAsia="Times New Roman" w:hAnsi="Calibri" w:cs="Times New Roman"/>
                <w:b/>
                <w:bCs/>
                <w:color w:val="FFFFFF"/>
              </w:rPr>
            </w:pPr>
            <w:r w:rsidRPr="00AE0E68">
              <w:rPr>
                <w:rFonts w:ascii="Calibri" w:eastAsia="Times New Roman" w:hAnsi="Calibri" w:cs="Times New Roman"/>
                <w:b/>
                <w:bCs/>
                <w:color w:val="FFFFFF"/>
              </w:rPr>
              <w:t>Savings as % of Weather-Sensitive Load</w:t>
            </w:r>
          </w:p>
        </w:tc>
        <w:tc>
          <w:tcPr>
            <w:tcW w:w="786" w:type="pct"/>
            <w:shd w:val="clear" w:color="000000" w:fill="005DAA"/>
            <w:vAlign w:val="bottom"/>
            <w:hideMark/>
          </w:tcPr>
          <w:p w:rsidR="00AE0E68" w:rsidRPr="00AE0E68" w:rsidRDefault="00AE0E68" w:rsidP="00D67F1F">
            <w:pPr>
              <w:keepNext/>
              <w:keepLines/>
              <w:spacing w:after="0"/>
              <w:jc w:val="center"/>
              <w:rPr>
                <w:rFonts w:ascii="Calibri" w:eastAsia="Times New Roman" w:hAnsi="Calibri" w:cs="Times New Roman"/>
                <w:b/>
                <w:bCs/>
                <w:color w:val="FFFFFF"/>
              </w:rPr>
            </w:pPr>
            <w:r w:rsidRPr="00AE0E68">
              <w:rPr>
                <w:rFonts w:ascii="Calibri" w:eastAsia="Times New Roman" w:hAnsi="Calibri" w:cs="Times New Roman"/>
                <w:b/>
                <w:bCs/>
                <w:color w:val="FFFFFF"/>
              </w:rPr>
              <w:t>Average Evaluated Gross Savings (kWh)</w:t>
            </w:r>
          </w:p>
        </w:tc>
        <w:tc>
          <w:tcPr>
            <w:tcW w:w="784" w:type="pct"/>
            <w:shd w:val="clear" w:color="000000" w:fill="005DAA"/>
            <w:vAlign w:val="bottom"/>
            <w:hideMark/>
          </w:tcPr>
          <w:p w:rsidR="00AE0E68" w:rsidRPr="00AE0E68" w:rsidRDefault="00AE0E68" w:rsidP="00D67F1F">
            <w:pPr>
              <w:keepNext/>
              <w:keepLines/>
              <w:spacing w:after="0"/>
              <w:jc w:val="center"/>
              <w:rPr>
                <w:rFonts w:ascii="Calibri" w:eastAsia="Times New Roman" w:hAnsi="Calibri" w:cs="Times New Roman"/>
                <w:b/>
                <w:bCs/>
                <w:color w:val="FFFFFF"/>
              </w:rPr>
            </w:pPr>
            <w:r w:rsidRPr="00AE0E68">
              <w:rPr>
                <w:rFonts w:ascii="Calibri" w:eastAsia="Times New Roman" w:hAnsi="Calibri" w:cs="Times New Roman"/>
                <w:b/>
                <w:bCs/>
                <w:color w:val="FFFFFF"/>
              </w:rPr>
              <w:t>Realization Rate</w:t>
            </w:r>
          </w:p>
        </w:tc>
      </w:tr>
      <w:tr w:rsidR="00AE0E68" w:rsidRPr="00AE0E68" w:rsidTr="00325C41">
        <w:tc>
          <w:tcPr>
            <w:tcW w:w="855" w:type="pct"/>
            <w:shd w:val="clear" w:color="auto" w:fill="auto"/>
            <w:vAlign w:val="center"/>
            <w:hideMark/>
          </w:tcPr>
          <w:p w:rsidR="00AE0E68" w:rsidRPr="00AE0E68" w:rsidRDefault="00AE0E68" w:rsidP="00D67F1F">
            <w:pPr>
              <w:keepNext/>
              <w:keepLines/>
              <w:spacing w:after="0"/>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Air Sealing</w:t>
            </w:r>
          </w:p>
        </w:tc>
        <w:tc>
          <w:tcPr>
            <w:tcW w:w="705" w:type="pct"/>
            <w:shd w:val="clear" w:color="auto" w:fill="auto"/>
            <w:vAlign w:val="center"/>
            <w:hideMark/>
          </w:tcPr>
          <w:p w:rsidR="00AE0E68" w:rsidRPr="00AE0E68" w:rsidRDefault="00AE0E68" w:rsidP="00D67F1F">
            <w:pPr>
              <w:keepNext/>
              <w:keepLines/>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342</w:t>
            </w:r>
          </w:p>
        </w:tc>
        <w:tc>
          <w:tcPr>
            <w:tcW w:w="1084" w:type="pct"/>
            <w:shd w:val="clear" w:color="auto" w:fill="auto"/>
            <w:vAlign w:val="center"/>
            <w:hideMark/>
          </w:tcPr>
          <w:p w:rsidR="00AE0E68" w:rsidRPr="00AE0E68" w:rsidRDefault="00AE0E68" w:rsidP="00D67F1F">
            <w:pPr>
              <w:keepNext/>
              <w:keepLines/>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4,227</w:t>
            </w:r>
          </w:p>
        </w:tc>
        <w:tc>
          <w:tcPr>
            <w:tcW w:w="786" w:type="pct"/>
            <w:shd w:val="clear" w:color="auto" w:fill="auto"/>
            <w:vAlign w:val="center"/>
            <w:hideMark/>
          </w:tcPr>
          <w:p w:rsidR="00AE0E68" w:rsidRPr="00AE0E68" w:rsidRDefault="00AE0E68" w:rsidP="00D67F1F">
            <w:pPr>
              <w:keepNext/>
              <w:keepLines/>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4.9%</w:t>
            </w:r>
          </w:p>
        </w:tc>
        <w:tc>
          <w:tcPr>
            <w:tcW w:w="786" w:type="pct"/>
            <w:shd w:val="clear" w:color="auto" w:fill="auto"/>
            <w:vAlign w:val="center"/>
            <w:hideMark/>
          </w:tcPr>
          <w:p w:rsidR="00AE0E68" w:rsidRPr="00AE0E68" w:rsidRDefault="00AE0E68" w:rsidP="00D67F1F">
            <w:pPr>
              <w:keepNext/>
              <w:keepLines/>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208</w:t>
            </w:r>
          </w:p>
        </w:tc>
        <w:tc>
          <w:tcPr>
            <w:tcW w:w="784" w:type="pct"/>
            <w:shd w:val="clear" w:color="auto" w:fill="auto"/>
            <w:vAlign w:val="center"/>
            <w:hideMark/>
          </w:tcPr>
          <w:p w:rsidR="00AE0E68" w:rsidRPr="00AE0E68" w:rsidRDefault="00AE0E68" w:rsidP="00D67F1F">
            <w:pPr>
              <w:keepNext/>
              <w:keepLines/>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61%</w:t>
            </w:r>
          </w:p>
        </w:tc>
      </w:tr>
      <w:tr w:rsidR="00AE0E68" w:rsidRPr="00AE0E68" w:rsidTr="00325C41">
        <w:tc>
          <w:tcPr>
            <w:tcW w:w="855" w:type="pct"/>
            <w:shd w:val="clear" w:color="auto" w:fill="auto"/>
            <w:vAlign w:val="center"/>
            <w:hideMark/>
          </w:tcPr>
          <w:p w:rsidR="00AE0E68" w:rsidRPr="00AE0E68" w:rsidRDefault="00AE0E68" w:rsidP="00D67F1F">
            <w:pPr>
              <w:keepNext/>
              <w:keepLines/>
              <w:spacing w:after="0"/>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Duct Sealing</w:t>
            </w:r>
          </w:p>
        </w:tc>
        <w:tc>
          <w:tcPr>
            <w:tcW w:w="705" w:type="pct"/>
            <w:shd w:val="clear" w:color="auto" w:fill="auto"/>
            <w:vAlign w:val="center"/>
            <w:hideMark/>
          </w:tcPr>
          <w:p w:rsidR="00AE0E68" w:rsidRPr="00AE0E68" w:rsidRDefault="00AE0E68" w:rsidP="00D67F1F">
            <w:pPr>
              <w:keepNext/>
              <w:keepLines/>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262</w:t>
            </w:r>
          </w:p>
        </w:tc>
        <w:tc>
          <w:tcPr>
            <w:tcW w:w="1084" w:type="pct"/>
            <w:shd w:val="clear" w:color="auto" w:fill="auto"/>
            <w:vAlign w:val="center"/>
            <w:hideMark/>
          </w:tcPr>
          <w:p w:rsidR="00AE0E68" w:rsidRPr="00AE0E68" w:rsidRDefault="00AE0E68" w:rsidP="00D67F1F">
            <w:pPr>
              <w:keepNext/>
              <w:keepLines/>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2,040</w:t>
            </w:r>
          </w:p>
        </w:tc>
        <w:tc>
          <w:tcPr>
            <w:tcW w:w="786" w:type="pct"/>
            <w:shd w:val="clear" w:color="auto" w:fill="auto"/>
            <w:vAlign w:val="center"/>
            <w:hideMark/>
          </w:tcPr>
          <w:p w:rsidR="00AE0E68" w:rsidRPr="00AE0E68" w:rsidRDefault="00AE0E68" w:rsidP="00D67F1F">
            <w:pPr>
              <w:keepNext/>
              <w:keepLines/>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4.0%</w:t>
            </w:r>
          </w:p>
        </w:tc>
        <w:tc>
          <w:tcPr>
            <w:tcW w:w="786" w:type="pct"/>
            <w:shd w:val="clear" w:color="auto" w:fill="auto"/>
            <w:vAlign w:val="center"/>
            <w:hideMark/>
          </w:tcPr>
          <w:p w:rsidR="00AE0E68" w:rsidRPr="00AE0E68" w:rsidRDefault="00AE0E68" w:rsidP="00D67F1F">
            <w:pPr>
              <w:keepNext/>
              <w:keepLines/>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81</w:t>
            </w:r>
          </w:p>
        </w:tc>
        <w:tc>
          <w:tcPr>
            <w:tcW w:w="784" w:type="pct"/>
            <w:shd w:val="clear" w:color="auto" w:fill="auto"/>
            <w:vAlign w:val="center"/>
            <w:hideMark/>
          </w:tcPr>
          <w:p w:rsidR="00AE0E68" w:rsidRPr="00AE0E68" w:rsidRDefault="00AE0E68" w:rsidP="00D67F1F">
            <w:pPr>
              <w:keepNext/>
              <w:keepLines/>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31%</w:t>
            </w:r>
          </w:p>
        </w:tc>
      </w:tr>
      <w:tr w:rsidR="00AE0E68" w:rsidRPr="00AE0E68" w:rsidTr="00325C41">
        <w:tc>
          <w:tcPr>
            <w:tcW w:w="855" w:type="pct"/>
            <w:shd w:val="clear" w:color="auto" w:fill="auto"/>
            <w:vAlign w:val="center"/>
            <w:hideMark/>
          </w:tcPr>
          <w:p w:rsidR="00AE0E68" w:rsidRPr="00AE0E68" w:rsidRDefault="00AE0E68" w:rsidP="00D67F1F">
            <w:pPr>
              <w:keepNext/>
              <w:keepLines/>
              <w:spacing w:after="0"/>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Attic Insulation</w:t>
            </w:r>
          </w:p>
        </w:tc>
        <w:tc>
          <w:tcPr>
            <w:tcW w:w="705" w:type="pct"/>
            <w:shd w:val="clear" w:color="auto" w:fill="auto"/>
            <w:vAlign w:val="center"/>
            <w:hideMark/>
          </w:tcPr>
          <w:p w:rsidR="00AE0E68" w:rsidRPr="00AE0E68" w:rsidRDefault="00AE0E68" w:rsidP="00D67F1F">
            <w:pPr>
              <w:keepNext/>
              <w:keepLines/>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2,306</w:t>
            </w:r>
          </w:p>
        </w:tc>
        <w:tc>
          <w:tcPr>
            <w:tcW w:w="1084" w:type="pct"/>
            <w:shd w:val="clear" w:color="auto" w:fill="auto"/>
            <w:vAlign w:val="center"/>
            <w:hideMark/>
          </w:tcPr>
          <w:p w:rsidR="00AE0E68" w:rsidRPr="00AE0E68" w:rsidRDefault="00AE0E68" w:rsidP="00D67F1F">
            <w:pPr>
              <w:keepNext/>
              <w:keepLines/>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4,408</w:t>
            </w:r>
          </w:p>
        </w:tc>
        <w:tc>
          <w:tcPr>
            <w:tcW w:w="786" w:type="pct"/>
            <w:shd w:val="clear" w:color="auto" w:fill="auto"/>
            <w:vAlign w:val="center"/>
            <w:hideMark/>
          </w:tcPr>
          <w:p w:rsidR="00AE0E68" w:rsidRPr="00AE0E68" w:rsidRDefault="00AE0E68" w:rsidP="00D67F1F">
            <w:pPr>
              <w:keepNext/>
              <w:keepLines/>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32.4%</w:t>
            </w:r>
          </w:p>
        </w:tc>
        <w:tc>
          <w:tcPr>
            <w:tcW w:w="786" w:type="pct"/>
            <w:shd w:val="clear" w:color="auto" w:fill="auto"/>
            <w:vAlign w:val="center"/>
            <w:hideMark/>
          </w:tcPr>
          <w:p w:rsidR="00AE0E68" w:rsidRPr="00AE0E68" w:rsidRDefault="00AE0E68" w:rsidP="00D67F1F">
            <w:pPr>
              <w:keepNext/>
              <w:keepLines/>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1,429</w:t>
            </w:r>
          </w:p>
        </w:tc>
        <w:tc>
          <w:tcPr>
            <w:tcW w:w="784" w:type="pct"/>
            <w:shd w:val="clear" w:color="auto" w:fill="auto"/>
            <w:vAlign w:val="center"/>
            <w:hideMark/>
          </w:tcPr>
          <w:p w:rsidR="00AE0E68" w:rsidRPr="00AE0E68" w:rsidRDefault="00AE0E68" w:rsidP="00D67F1F">
            <w:pPr>
              <w:keepNext/>
              <w:keepLines/>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62%</w:t>
            </w:r>
          </w:p>
        </w:tc>
      </w:tr>
      <w:tr w:rsidR="00AE0E68" w:rsidRPr="00AE0E68" w:rsidTr="00325C41">
        <w:tc>
          <w:tcPr>
            <w:tcW w:w="855" w:type="pct"/>
            <w:shd w:val="clear" w:color="auto" w:fill="auto"/>
            <w:vAlign w:val="center"/>
            <w:hideMark/>
          </w:tcPr>
          <w:p w:rsidR="00AE0E68" w:rsidRPr="00AE0E68" w:rsidRDefault="00AE0E68" w:rsidP="00D67F1F">
            <w:pPr>
              <w:keepNext/>
              <w:keepLines/>
              <w:spacing w:after="0"/>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Wall Insulation</w:t>
            </w:r>
          </w:p>
        </w:tc>
        <w:tc>
          <w:tcPr>
            <w:tcW w:w="705" w:type="pct"/>
            <w:shd w:val="clear" w:color="auto" w:fill="auto"/>
            <w:vAlign w:val="center"/>
            <w:hideMark/>
          </w:tcPr>
          <w:p w:rsidR="00AE0E68" w:rsidRPr="00AE0E68" w:rsidRDefault="00AE0E68" w:rsidP="00D67F1F">
            <w:pPr>
              <w:keepNext/>
              <w:keepLines/>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2,326</w:t>
            </w:r>
          </w:p>
        </w:tc>
        <w:tc>
          <w:tcPr>
            <w:tcW w:w="1084" w:type="pct"/>
            <w:shd w:val="clear" w:color="auto" w:fill="auto"/>
            <w:vAlign w:val="center"/>
            <w:hideMark/>
          </w:tcPr>
          <w:p w:rsidR="00AE0E68" w:rsidRPr="00AE0E68" w:rsidRDefault="00AE0E68" w:rsidP="00D67F1F">
            <w:pPr>
              <w:keepNext/>
              <w:keepLines/>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3,555</w:t>
            </w:r>
          </w:p>
        </w:tc>
        <w:tc>
          <w:tcPr>
            <w:tcW w:w="786" w:type="pct"/>
            <w:shd w:val="clear" w:color="auto" w:fill="auto"/>
            <w:vAlign w:val="center"/>
            <w:hideMark/>
          </w:tcPr>
          <w:p w:rsidR="00AE0E68" w:rsidRPr="00AE0E68" w:rsidRDefault="00AE0E68" w:rsidP="00D67F1F">
            <w:pPr>
              <w:keepNext/>
              <w:keepLines/>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20.2%</w:t>
            </w:r>
          </w:p>
        </w:tc>
        <w:tc>
          <w:tcPr>
            <w:tcW w:w="786" w:type="pct"/>
            <w:shd w:val="clear" w:color="auto" w:fill="auto"/>
            <w:vAlign w:val="center"/>
            <w:hideMark/>
          </w:tcPr>
          <w:p w:rsidR="00AE0E68" w:rsidRPr="00AE0E68" w:rsidRDefault="00AE0E68" w:rsidP="00D67F1F">
            <w:pPr>
              <w:keepNext/>
              <w:keepLines/>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716</w:t>
            </w:r>
          </w:p>
        </w:tc>
        <w:tc>
          <w:tcPr>
            <w:tcW w:w="784" w:type="pct"/>
            <w:shd w:val="clear" w:color="auto" w:fill="auto"/>
            <w:vAlign w:val="center"/>
            <w:hideMark/>
          </w:tcPr>
          <w:p w:rsidR="00AE0E68" w:rsidRPr="00AE0E68" w:rsidRDefault="00AE0E68" w:rsidP="00D67F1F">
            <w:pPr>
              <w:keepNext/>
              <w:keepLines/>
              <w:spacing w:after="0"/>
              <w:jc w:val="right"/>
              <w:rPr>
                <w:rFonts w:ascii="Calibri" w:eastAsia="Times New Roman" w:hAnsi="Calibri" w:cs="Times New Roman"/>
                <w:color w:val="000000"/>
                <w:sz w:val="20"/>
                <w:szCs w:val="20"/>
              </w:rPr>
            </w:pPr>
            <w:r w:rsidRPr="00AE0E68">
              <w:rPr>
                <w:rFonts w:ascii="Calibri" w:eastAsia="Times New Roman" w:hAnsi="Calibri" w:cs="Times New Roman"/>
                <w:color w:val="000000"/>
                <w:sz w:val="20"/>
                <w:szCs w:val="20"/>
              </w:rPr>
              <w:t>31%</w:t>
            </w:r>
          </w:p>
        </w:tc>
      </w:tr>
    </w:tbl>
    <w:p w:rsidR="00D67CFB" w:rsidRDefault="00D67CFB" w:rsidP="00D67F1F">
      <w:pPr>
        <w:pStyle w:val="NormalAfterTablesandFigures"/>
        <w:keepNext/>
        <w:keepLines/>
      </w:pPr>
    </w:p>
    <w:p w:rsidR="00110A97" w:rsidRPr="0070346A" w:rsidRDefault="00110A97" w:rsidP="00110A97">
      <w:r>
        <w:t xml:space="preserve">Differences between </w:t>
      </w:r>
      <w:r w:rsidRPr="00110A97">
        <w:rPr>
          <w:i/>
        </w:rPr>
        <w:t>ex ante</w:t>
      </w:r>
      <w:r>
        <w:t xml:space="preserve"> and evaluated savings for shell and duct sealing measures estimated using building simulation models are presented above in the </w:t>
      </w:r>
      <w:r w:rsidR="005C2163">
        <w:fldChar w:fldCharType="begin"/>
      </w:r>
      <w:r>
        <w:instrText xml:space="preserve"> REF _Ref389124294 \h </w:instrText>
      </w:r>
      <w:r w:rsidR="005C2163">
        <w:fldChar w:fldCharType="separate"/>
      </w:r>
      <w:r w:rsidR="00CD20CF">
        <w:t>HES Electric Savings</w:t>
      </w:r>
      <w:r w:rsidR="005C2163">
        <w:fldChar w:fldCharType="end"/>
      </w:r>
      <w:r>
        <w:t xml:space="preserve"> section.</w:t>
      </w:r>
    </w:p>
    <w:p w:rsidR="003009EA" w:rsidRDefault="003009EA" w:rsidP="003009EA">
      <w:pPr>
        <w:pStyle w:val="Heading5"/>
      </w:pPr>
      <w:r>
        <w:t>Engineering Algorithm Results</w:t>
      </w:r>
    </w:p>
    <w:p w:rsidR="003009EA" w:rsidRDefault="003009EA" w:rsidP="003009EA">
      <w:r>
        <w:t xml:space="preserve">For window replacements, pre- and post-installation data were </w:t>
      </w:r>
      <w:r w:rsidR="00825111">
        <w:t>un</w:t>
      </w:r>
      <w:r>
        <w:t>available to incorporate into the modeling. Consequently, the Evaluation Team made assumptions regarding window efficiencies and square footage installed.</w:t>
      </w:r>
      <w:r>
        <w:rPr>
          <w:rStyle w:val="FootnoteReference"/>
        </w:rPr>
        <w:footnoteReference w:id="28"/>
      </w:r>
      <w:r>
        <w:t xml:space="preserve"> </w:t>
      </w:r>
      <w:r w:rsidR="005C2163">
        <w:fldChar w:fldCharType="begin"/>
      </w:r>
      <w:r w:rsidR="00261F0B">
        <w:instrText xml:space="preserve"> REF _Ref389060609 \h </w:instrText>
      </w:r>
      <w:r w:rsidR="005C2163">
        <w:fldChar w:fldCharType="separate"/>
      </w:r>
      <w:r w:rsidR="00CD20CF">
        <w:t xml:space="preserve">Table </w:t>
      </w:r>
      <w:r w:rsidR="00CD20CF">
        <w:rPr>
          <w:noProof/>
        </w:rPr>
        <w:t>52</w:t>
      </w:r>
      <w:r w:rsidR="005C2163">
        <w:fldChar w:fldCharType="end"/>
      </w:r>
      <w:r w:rsidR="00261F0B">
        <w:t xml:space="preserve"> </w:t>
      </w:r>
      <w:r>
        <w:t>lists the participation, average installed units, average household savings, and realization rates of window measure installations.</w:t>
      </w:r>
    </w:p>
    <w:p w:rsidR="003009EA" w:rsidRDefault="003009EA" w:rsidP="003009EA">
      <w:pPr>
        <w:pStyle w:val="Caption"/>
      </w:pPr>
      <w:bookmarkStart w:id="103" w:name="_Ref389060609"/>
      <w:r>
        <w:lastRenderedPageBreak/>
        <w:t xml:space="preserve">Table </w:t>
      </w:r>
      <w:r w:rsidR="002506E1">
        <w:fldChar w:fldCharType="begin"/>
      </w:r>
      <w:r w:rsidR="002506E1">
        <w:instrText xml:space="preserve"> SEQ Table \* ARABIC </w:instrText>
      </w:r>
      <w:r w:rsidR="002506E1">
        <w:fldChar w:fldCharType="separate"/>
      </w:r>
      <w:r w:rsidR="00CD20CF">
        <w:rPr>
          <w:noProof/>
        </w:rPr>
        <w:t>52</w:t>
      </w:r>
      <w:r w:rsidR="002506E1">
        <w:rPr>
          <w:noProof/>
        </w:rPr>
        <w:fldChar w:fldCharType="end"/>
      </w:r>
      <w:bookmarkEnd w:id="103"/>
      <w:r>
        <w:t>. HES-IE Electric—Evaluated Window Savings</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86"/>
        <w:gridCol w:w="1398"/>
        <w:gridCol w:w="1034"/>
        <w:gridCol w:w="1530"/>
        <w:gridCol w:w="1530"/>
        <w:gridCol w:w="1668"/>
        <w:gridCol w:w="1230"/>
      </w:tblGrid>
      <w:tr w:rsidR="003009EA" w:rsidRPr="00C408F7" w:rsidTr="00325C41">
        <w:tc>
          <w:tcPr>
            <w:tcW w:w="619" w:type="pct"/>
            <w:shd w:val="clear" w:color="000000" w:fill="005DAA"/>
            <w:vAlign w:val="center"/>
            <w:hideMark/>
          </w:tcPr>
          <w:p w:rsidR="003009EA" w:rsidRPr="00C408F7" w:rsidRDefault="003009EA" w:rsidP="00325C41">
            <w:pPr>
              <w:keepNext/>
              <w:keepLines/>
              <w:spacing w:after="0"/>
              <w:jc w:val="center"/>
              <w:rPr>
                <w:rFonts w:ascii="Calibri" w:eastAsia="Times New Roman" w:hAnsi="Calibri" w:cs="Times New Roman"/>
                <w:b/>
                <w:bCs/>
                <w:color w:val="FFFFFF"/>
              </w:rPr>
            </w:pPr>
            <w:r w:rsidRPr="00C408F7">
              <w:rPr>
                <w:rFonts w:ascii="Calibri" w:eastAsia="Times New Roman" w:hAnsi="Calibri" w:cs="Times New Roman"/>
                <w:b/>
                <w:bCs/>
                <w:color w:val="FFFFFF"/>
              </w:rPr>
              <w:t>Measure</w:t>
            </w:r>
          </w:p>
        </w:tc>
        <w:tc>
          <w:tcPr>
            <w:tcW w:w="730" w:type="pct"/>
            <w:shd w:val="clear" w:color="000000" w:fill="005DAA"/>
            <w:vAlign w:val="center"/>
            <w:hideMark/>
          </w:tcPr>
          <w:p w:rsidR="003009EA" w:rsidRPr="00C408F7" w:rsidRDefault="003009EA" w:rsidP="00325C41">
            <w:pPr>
              <w:keepNext/>
              <w:keepLines/>
              <w:spacing w:after="0"/>
              <w:jc w:val="center"/>
              <w:rPr>
                <w:rFonts w:ascii="Calibri" w:eastAsia="Times New Roman" w:hAnsi="Calibri" w:cs="Times New Roman"/>
                <w:b/>
                <w:bCs/>
                <w:color w:val="FFFFFF"/>
              </w:rPr>
            </w:pPr>
            <w:r w:rsidRPr="00C408F7">
              <w:rPr>
                <w:rFonts w:ascii="Calibri" w:eastAsia="Times New Roman" w:hAnsi="Calibri" w:cs="Times New Roman"/>
                <w:b/>
                <w:bCs/>
                <w:color w:val="FFFFFF"/>
              </w:rPr>
              <w:t>Total Participants</w:t>
            </w:r>
          </w:p>
        </w:tc>
        <w:tc>
          <w:tcPr>
            <w:tcW w:w="540" w:type="pct"/>
            <w:shd w:val="clear" w:color="000000" w:fill="005DAA"/>
            <w:vAlign w:val="center"/>
            <w:hideMark/>
          </w:tcPr>
          <w:p w:rsidR="003009EA" w:rsidRPr="00C408F7" w:rsidRDefault="003009EA" w:rsidP="00325C41">
            <w:pPr>
              <w:keepNext/>
              <w:keepLines/>
              <w:spacing w:after="0"/>
              <w:jc w:val="center"/>
              <w:rPr>
                <w:rFonts w:ascii="Calibri" w:eastAsia="Times New Roman" w:hAnsi="Calibri" w:cs="Times New Roman"/>
                <w:b/>
                <w:bCs/>
                <w:color w:val="FFFFFF"/>
              </w:rPr>
            </w:pPr>
            <w:r w:rsidRPr="00C408F7">
              <w:rPr>
                <w:rFonts w:ascii="Calibri" w:eastAsia="Times New Roman" w:hAnsi="Calibri" w:cs="Times New Roman"/>
                <w:b/>
                <w:bCs/>
                <w:color w:val="FFFFFF"/>
              </w:rPr>
              <w:t>Average Installed Units</w:t>
            </w:r>
          </w:p>
        </w:tc>
        <w:tc>
          <w:tcPr>
            <w:tcW w:w="799" w:type="pct"/>
            <w:shd w:val="clear" w:color="000000" w:fill="005DAA"/>
            <w:vAlign w:val="center"/>
            <w:hideMark/>
          </w:tcPr>
          <w:p w:rsidR="003009EA" w:rsidRPr="00C408F7" w:rsidRDefault="003009EA" w:rsidP="00325C41">
            <w:pPr>
              <w:keepNext/>
              <w:keepLines/>
              <w:spacing w:after="0"/>
              <w:jc w:val="center"/>
              <w:rPr>
                <w:rFonts w:ascii="Calibri" w:eastAsia="Times New Roman" w:hAnsi="Calibri" w:cs="Times New Roman"/>
                <w:b/>
                <w:bCs/>
                <w:color w:val="FFFFFF"/>
              </w:rPr>
            </w:pPr>
            <w:r>
              <w:rPr>
                <w:rFonts w:ascii="Calibri" w:eastAsia="Times New Roman" w:hAnsi="Calibri" w:cs="Times New Roman"/>
                <w:b/>
                <w:bCs/>
                <w:color w:val="FFFFFF"/>
              </w:rPr>
              <w:t>Evaluated Gross</w:t>
            </w:r>
            <w:r w:rsidRPr="00C408F7">
              <w:rPr>
                <w:rFonts w:ascii="Calibri" w:eastAsia="Times New Roman" w:hAnsi="Calibri" w:cs="Times New Roman"/>
                <w:b/>
                <w:bCs/>
                <w:color w:val="FFFFFF"/>
              </w:rPr>
              <w:t xml:space="preserve"> Unit Savings (</w:t>
            </w:r>
            <w:r>
              <w:rPr>
                <w:rFonts w:ascii="Calibri" w:eastAsia="Times New Roman" w:hAnsi="Calibri" w:cs="Times New Roman"/>
                <w:b/>
                <w:bCs/>
                <w:color w:val="FFFFFF"/>
              </w:rPr>
              <w:t>kWh</w:t>
            </w:r>
            <w:r w:rsidRPr="00C408F7">
              <w:rPr>
                <w:rFonts w:ascii="Calibri" w:eastAsia="Times New Roman" w:hAnsi="Calibri" w:cs="Times New Roman"/>
                <w:b/>
                <w:bCs/>
                <w:color w:val="FFFFFF"/>
              </w:rPr>
              <w:t>)</w:t>
            </w:r>
          </w:p>
        </w:tc>
        <w:tc>
          <w:tcPr>
            <w:tcW w:w="799" w:type="pct"/>
            <w:shd w:val="clear" w:color="000000" w:fill="005DAA"/>
            <w:vAlign w:val="center"/>
            <w:hideMark/>
          </w:tcPr>
          <w:p w:rsidR="003009EA" w:rsidRPr="00C408F7" w:rsidRDefault="003009EA" w:rsidP="00325C41">
            <w:pPr>
              <w:keepNext/>
              <w:keepLines/>
              <w:spacing w:after="0"/>
              <w:jc w:val="center"/>
              <w:rPr>
                <w:rFonts w:ascii="Calibri" w:eastAsia="Times New Roman" w:hAnsi="Calibri" w:cs="Times New Roman"/>
                <w:b/>
                <w:bCs/>
                <w:color w:val="FFFFFF"/>
              </w:rPr>
            </w:pPr>
            <w:r w:rsidRPr="00825111">
              <w:rPr>
                <w:rFonts w:ascii="Calibri" w:eastAsia="Times New Roman" w:hAnsi="Calibri" w:cs="Times New Roman"/>
                <w:b/>
                <w:bCs/>
                <w:i/>
                <w:color w:val="FFFFFF"/>
              </w:rPr>
              <w:t>Ex</w:t>
            </w:r>
            <w:r w:rsidR="00825111">
              <w:rPr>
                <w:rFonts w:ascii="Calibri" w:eastAsia="Times New Roman" w:hAnsi="Calibri" w:cs="Times New Roman"/>
                <w:b/>
                <w:bCs/>
                <w:i/>
                <w:color w:val="FFFFFF"/>
              </w:rPr>
              <w:t xml:space="preserve"> </w:t>
            </w:r>
            <w:r w:rsidRPr="00825111">
              <w:rPr>
                <w:rFonts w:ascii="Calibri" w:eastAsia="Times New Roman" w:hAnsi="Calibri" w:cs="Times New Roman"/>
                <w:b/>
                <w:bCs/>
                <w:i/>
                <w:color w:val="FFFFFF"/>
              </w:rPr>
              <w:t>Ante</w:t>
            </w:r>
            <w:r w:rsidRPr="00C408F7">
              <w:rPr>
                <w:rFonts w:ascii="Calibri" w:eastAsia="Times New Roman" w:hAnsi="Calibri" w:cs="Times New Roman"/>
                <w:b/>
                <w:bCs/>
                <w:color w:val="FFFFFF"/>
              </w:rPr>
              <w:t xml:space="preserve"> Household Savings (</w:t>
            </w:r>
            <w:r>
              <w:rPr>
                <w:rFonts w:ascii="Calibri" w:eastAsia="Times New Roman" w:hAnsi="Calibri" w:cs="Times New Roman"/>
                <w:b/>
                <w:bCs/>
                <w:color w:val="FFFFFF"/>
              </w:rPr>
              <w:t>kWh</w:t>
            </w:r>
            <w:r w:rsidRPr="00C408F7">
              <w:rPr>
                <w:rFonts w:ascii="Calibri" w:eastAsia="Times New Roman" w:hAnsi="Calibri" w:cs="Times New Roman"/>
                <w:b/>
                <w:bCs/>
                <w:color w:val="FFFFFF"/>
              </w:rPr>
              <w:t>)</w:t>
            </w:r>
          </w:p>
        </w:tc>
        <w:tc>
          <w:tcPr>
            <w:tcW w:w="871" w:type="pct"/>
            <w:shd w:val="clear" w:color="000000" w:fill="005DAA"/>
            <w:vAlign w:val="center"/>
            <w:hideMark/>
          </w:tcPr>
          <w:p w:rsidR="003009EA" w:rsidRPr="00C408F7" w:rsidRDefault="003009EA" w:rsidP="00325C41">
            <w:pPr>
              <w:keepNext/>
              <w:keepLines/>
              <w:spacing w:after="0"/>
              <w:jc w:val="center"/>
              <w:rPr>
                <w:rFonts w:ascii="Calibri" w:eastAsia="Times New Roman" w:hAnsi="Calibri" w:cs="Times New Roman"/>
                <w:b/>
                <w:bCs/>
                <w:color w:val="FFFFFF"/>
              </w:rPr>
            </w:pPr>
            <w:r w:rsidRPr="00C408F7">
              <w:rPr>
                <w:rFonts w:ascii="Calibri" w:eastAsia="Times New Roman" w:hAnsi="Calibri" w:cs="Times New Roman"/>
                <w:b/>
                <w:bCs/>
                <w:color w:val="FFFFFF"/>
              </w:rPr>
              <w:t>Evaluated Gross Household Savings (</w:t>
            </w:r>
            <w:r>
              <w:rPr>
                <w:rFonts w:ascii="Calibri" w:eastAsia="Times New Roman" w:hAnsi="Calibri" w:cs="Times New Roman"/>
                <w:b/>
                <w:bCs/>
                <w:color w:val="FFFFFF"/>
              </w:rPr>
              <w:t>kWh</w:t>
            </w:r>
            <w:r w:rsidRPr="00C408F7">
              <w:rPr>
                <w:rFonts w:ascii="Calibri" w:eastAsia="Times New Roman" w:hAnsi="Calibri" w:cs="Times New Roman"/>
                <w:b/>
                <w:bCs/>
                <w:color w:val="FFFFFF"/>
              </w:rPr>
              <w:t>)</w:t>
            </w:r>
          </w:p>
        </w:tc>
        <w:tc>
          <w:tcPr>
            <w:tcW w:w="642" w:type="pct"/>
            <w:shd w:val="clear" w:color="000000" w:fill="005DAA"/>
            <w:vAlign w:val="center"/>
            <w:hideMark/>
          </w:tcPr>
          <w:p w:rsidR="003009EA" w:rsidRPr="00C408F7" w:rsidRDefault="003009EA" w:rsidP="00325C41">
            <w:pPr>
              <w:keepNext/>
              <w:keepLines/>
              <w:spacing w:after="0"/>
              <w:jc w:val="center"/>
              <w:rPr>
                <w:rFonts w:ascii="Calibri" w:eastAsia="Times New Roman" w:hAnsi="Calibri" w:cs="Times New Roman"/>
                <w:b/>
                <w:bCs/>
                <w:color w:val="FFFFFF"/>
              </w:rPr>
            </w:pPr>
            <w:r w:rsidRPr="00C408F7">
              <w:rPr>
                <w:rFonts w:ascii="Calibri" w:eastAsia="Times New Roman" w:hAnsi="Calibri" w:cs="Times New Roman"/>
                <w:b/>
                <w:bCs/>
                <w:color w:val="FFFFFF"/>
              </w:rPr>
              <w:t>Realization Rate</w:t>
            </w:r>
          </w:p>
        </w:tc>
      </w:tr>
      <w:tr w:rsidR="003009EA" w:rsidRPr="00C408F7" w:rsidTr="00325C41">
        <w:tc>
          <w:tcPr>
            <w:tcW w:w="619" w:type="pct"/>
            <w:shd w:val="clear" w:color="auto" w:fill="auto"/>
            <w:vAlign w:val="center"/>
            <w:hideMark/>
          </w:tcPr>
          <w:p w:rsidR="003009EA" w:rsidRPr="00C408F7" w:rsidRDefault="003009EA" w:rsidP="00325C41">
            <w:pPr>
              <w:keepNext/>
              <w:keepLines/>
              <w:spacing w:after="0"/>
              <w:rPr>
                <w:rFonts w:ascii="Calibri" w:eastAsia="Times New Roman" w:hAnsi="Calibri" w:cs="Times New Roman"/>
                <w:color w:val="000000"/>
                <w:sz w:val="20"/>
                <w:szCs w:val="20"/>
              </w:rPr>
            </w:pPr>
            <w:r w:rsidRPr="00C408F7">
              <w:rPr>
                <w:rFonts w:ascii="Calibri" w:eastAsia="Times New Roman" w:hAnsi="Calibri" w:cs="Times New Roman"/>
                <w:color w:val="000000"/>
                <w:sz w:val="20"/>
                <w:szCs w:val="20"/>
              </w:rPr>
              <w:t>Windows</w:t>
            </w:r>
          </w:p>
        </w:tc>
        <w:tc>
          <w:tcPr>
            <w:tcW w:w="730" w:type="pct"/>
            <w:shd w:val="clear" w:color="auto" w:fill="auto"/>
            <w:vAlign w:val="center"/>
            <w:hideMark/>
          </w:tcPr>
          <w:p w:rsidR="003009EA" w:rsidRPr="00C408F7" w:rsidRDefault="003009EA" w:rsidP="00325C41">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42</w:t>
            </w:r>
          </w:p>
        </w:tc>
        <w:tc>
          <w:tcPr>
            <w:tcW w:w="540" w:type="pct"/>
            <w:shd w:val="clear" w:color="auto" w:fill="auto"/>
            <w:vAlign w:val="center"/>
            <w:hideMark/>
          </w:tcPr>
          <w:p w:rsidR="003009EA" w:rsidRPr="00C408F7" w:rsidRDefault="003009EA" w:rsidP="00325C41">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11</w:t>
            </w:r>
          </w:p>
        </w:tc>
        <w:tc>
          <w:tcPr>
            <w:tcW w:w="799" w:type="pct"/>
            <w:shd w:val="clear" w:color="auto" w:fill="auto"/>
            <w:vAlign w:val="center"/>
            <w:hideMark/>
          </w:tcPr>
          <w:p w:rsidR="003009EA" w:rsidRPr="00C408F7" w:rsidRDefault="003009EA" w:rsidP="00325C41">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196</w:t>
            </w:r>
          </w:p>
        </w:tc>
        <w:tc>
          <w:tcPr>
            <w:tcW w:w="799" w:type="pct"/>
            <w:shd w:val="clear" w:color="auto" w:fill="auto"/>
            <w:vAlign w:val="center"/>
            <w:hideMark/>
          </w:tcPr>
          <w:p w:rsidR="003009EA" w:rsidRPr="00C408F7" w:rsidRDefault="003009EA" w:rsidP="00325C41">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1,295</w:t>
            </w:r>
          </w:p>
        </w:tc>
        <w:tc>
          <w:tcPr>
            <w:tcW w:w="871" w:type="pct"/>
            <w:shd w:val="clear" w:color="auto" w:fill="auto"/>
            <w:vAlign w:val="center"/>
            <w:hideMark/>
          </w:tcPr>
          <w:p w:rsidR="003009EA" w:rsidRPr="00C408F7" w:rsidRDefault="003009EA" w:rsidP="00325C41">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2,253</w:t>
            </w:r>
          </w:p>
        </w:tc>
        <w:tc>
          <w:tcPr>
            <w:tcW w:w="642" w:type="pct"/>
            <w:shd w:val="clear" w:color="auto" w:fill="auto"/>
            <w:vAlign w:val="center"/>
            <w:hideMark/>
          </w:tcPr>
          <w:p w:rsidR="003009EA" w:rsidRPr="00C408F7" w:rsidRDefault="003009EA" w:rsidP="00325C41">
            <w:pPr>
              <w:keepNext/>
              <w:keepLines/>
              <w:spacing w:after="0"/>
              <w:jc w:val="right"/>
              <w:rPr>
                <w:rFonts w:ascii="Calibri" w:eastAsia="Times New Roman" w:hAnsi="Calibri" w:cs="Times New Roman"/>
                <w:color w:val="000000"/>
                <w:sz w:val="20"/>
                <w:szCs w:val="20"/>
              </w:rPr>
            </w:pPr>
            <w:r w:rsidRPr="00C408F7">
              <w:rPr>
                <w:rFonts w:ascii="Calibri" w:eastAsia="Times New Roman" w:hAnsi="Calibri" w:cs="Times New Roman"/>
                <w:color w:val="000000"/>
                <w:sz w:val="20"/>
                <w:szCs w:val="20"/>
              </w:rPr>
              <w:t>1</w:t>
            </w:r>
            <w:r>
              <w:rPr>
                <w:rFonts w:ascii="Calibri" w:eastAsia="Times New Roman" w:hAnsi="Calibri" w:cs="Times New Roman"/>
                <w:color w:val="000000"/>
                <w:sz w:val="20"/>
                <w:szCs w:val="20"/>
              </w:rPr>
              <w:t>74</w:t>
            </w:r>
            <w:r w:rsidRPr="00C408F7">
              <w:rPr>
                <w:rFonts w:ascii="Calibri" w:eastAsia="Times New Roman" w:hAnsi="Calibri" w:cs="Times New Roman"/>
                <w:color w:val="000000"/>
                <w:sz w:val="20"/>
                <w:szCs w:val="20"/>
              </w:rPr>
              <w:t>%</w:t>
            </w:r>
          </w:p>
        </w:tc>
      </w:tr>
    </w:tbl>
    <w:p w:rsidR="003009EA" w:rsidRDefault="003009EA" w:rsidP="00325C41">
      <w:pPr>
        <w:pStyle w:val="NormalAfterTablesandFigures"/>
      </w:pPr>
    </w:p>
    <w:p w:rsidR="00453172" w:rsidRDefault="00453172" w:rsidP="00DE67A2">
      <w:pPr>
        <w:pStyle w:val="Heading4"/>
      </w:pPr>
      <w:r>
        <w:t>Domestic Hot Water</w:t>
      </w:r>
    </w:p>
    <w:p w:rsidR="00525F1F" w:rsidRDefault="00825111" w:rsidP="00DE67A2">
      <w:r>
        <w:t>Using engineering algorithms, t</w:t>
      </w:r>
      <w:r w:rsidR="00525F1F">
        <w:t xml:space="preserve">he Evaluation Team estimated impacts for a combined DHW measure bundle (including showerheads, faucet aerators, and pipe insulation) </w:t>
      </w:r>
      <w:r w:rsidR="001A37FE">
        <w:t>and water heater temperature setback</w:t>
      </w:r>
      <w:r w:rsidR="00525F1F">
        <w:t xml:space="preserve">. Savings calculations were based on a combination of utility tracking data, the 2013 PSD, and other researched assumptions. For each of these measures, the Evaluation Team performed in-depth benchmarking against a range of other sources (including evaluation studies and TRMs). </w:t>
      </w:r>
      <w:r w:rsidR="002506E1">
        <w:fldChar w:fldCharType="begin"/>
      </w:r>
      <w:r w:rsidR="002506E1">
        <w:instrText xml:space="preserve"> REF _Ref388169250 \h  \* MERGEFORMAT </w:instrText>
      </w:r>
      <w:r w:rsidR="002506E1">
        <w:fldChar w:fldCharType="separate"/>
      </w:r>
      <w:r w:rsidR="00CD20CF">
        <w:t>Appendix B. Engineering Algorithms</w:t>
      </w:r>
      <w:r w:rsidR="002506E1">
        <w:fldChar w:fldCharType="end"/>
      </w:r>
      <w:r w:rsidR="00E64C73">
        <w:t xml:space="preserve"> presents these detailed findings</w:t>
      </w:r>
      <w:r w:rsidR="00525F1F">
        <w:t>.</w:t>
      </w:r>
    </w:p>
    <w:p w:rsidR="00525F1F" w:rsidRDefault="005C2163" w:rsidP="00DE67A2">
      <w:r>
        <w:fldChar w:fldCharType="begin"/>
      </w:r>
      <w:r w:rsidR="00DE67A2">
        <w:instrText xml:space="preserve"> REF _Ref388434596 \h </w:instrText>
      </w:r>
      <w:r>
        <w:fldChar w:fldCharType="separate"/>
      </w:r>
      <w:r w:rsidR="00CD20CF">
        <w:t xml:space="preserve">Table </w:t>
      </w:r>
      <w:r w:rsidR="00CD20CF">
        <w:rPr>
          <w:noProof/>
        </w:rPr>
        <w:t>53</w:t>
      </w:r>
      <w:r>
        <w:fldChar w:fldCharType="end"/>
      </w:r>
      <w:r w:rsidR="00525F1F">
        <w:t xml:space="preserve"> lists the participation, average installed units, average household savings, and realization rates of DHW measure installations. </w:t>
      </w:r>
    </w:p>
    <w:p w:rsidR="00916122" w:rsidRDefault="00525F1F" w:rsidP="00E0049E">
      <w:pPr>
        <w:pStyle w:val="Caption"/>
      </w:pPr>
      <w:bookmarkStart w:id="104" w:name="_Ref388434596"/>
      <w:r>
        <w:t xml:space="preserve">Table </w:t>
      </w:r>
      <w:r w:rsidR="002506E1">
        <w:fldChar w:fldCharType="begin"/>
      </w:r>
      <w:r w:rsidR="002506E1">
        <w:instrText xml:space="preserve"> SEQ Table \* ARABIC </w:instrText>
      </w:r>
      <w:r w:rsidR="002506E1">
        <w:fldChar w:fldCharType="separate"/>
      </w:r>
      <w:r w:rsidR="00CD20CF">
        <w:rPr>
          <w:noProof/>
        </w:rPr>
        <w:t>53</w:t>
      </w:r>
      <w:r w:rsidR="002506E1">
        <w:rPr>
          <w:noProof/>
        </w:rPr>
        <w:fldChar w:fldCharType="end"/>
      </w:r>
      <w:bookmarkEnd w:id="104"/>
      <w:r>
        <w:t xml:space="preserve">. </w:t>
      </w:r>
      <w:r w:rsidR="00916122">
        <w:t xml:space="preserve">HES-IE Electric </w:t>
      </w:r>
      <w:r w:rsidR="007405FC">
        <w:t>DHW</w:t>
      </w:r>
      <w:r w:rsidR="00916122">
        <w:t xml:space="preserve"> Measure Distribution and Evaluated Savings</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38"/>
        <w:gridCol w:w="1306"/>
        <w:gridCol w:w="1394"/>
        <w:gridCol w:w="1350"/>
        <w:gridCol w:w="1459"/>
        <w:gridCol w:w="1199"/>
        <w:gridCol w:w="1230"/>
      </w:tblGrid>
      <w:tr w:rsidR="00525F1F" w:rsidRPr="00696EAB" w:rsidTr="008D38E3">
        <w:tc>
          <w:tcPr>
            <w:tcW w:w="855" w:type="pct"/>
            <w:shd w:val="clear" w:color="000000" w:fill="005DAA"/>
            <w:vAlign w:val="center"/>
            <w:hideMark/>
          </w:tcPr>
          <w:p w:rsidR="00525F1F" w:rsidRPr="00696EAB" w:rsidRDefault="00525F1F" w:rsidP="00E0049E">
            <w:pPr>
              <w:keepNext/>
              <w:keepLines/>
              <w:spacing w:after="0"/>
              <w:jc w:val="center"/>
              <w:rPr>
                <w:rFonts w:ascii="Calibri" w:eastAsia="Times New Roman" w:hAnsi="Calibri" w:cs="Times New Roman"/>
                <w:b/>
                <w:bCs/>
                <w:color w:val="FFFFFF"/>
              </w:rPr>
            </w:pPr>
            <w:r w:rsidRPr="00696EAB">
              <w:rPr>
                <w:rFonts w:ascii="Calibri" w:eastAsia="Times New Roman" w:hAnsi="Calibri" w:cs="Times New Roman"/>
                <w:b/>
                <w:bCs/>
                <w:color w:val="FFFFFF"/>
              </w:rPr>
              <w:t>Measure</w:t>
            </w:r>
          </w:p>
        </w:tc>
        <w:tc>
          <w:tcPr>
            <w:tcW w:w="682" w:type="pct"/>
            <w:shd w:val="clear" w:color="000000" w:fill="005DAA"/>
            <w:vAlign w:val="center"/>
            <w:hideMark/>
          </w:tcPr>
          <w:p w:rsidR="00525F1F" w:rsidRPr="00696EAB" w:rsidRDefault="00525F1F" w:rsidP="00E0049E">
            <w:pPr>
              <w:keepNext/>
              <w:keepLines/>
              <w:spacing w:after="0"/>
              <w:jc w:val="center"/>
              <w:rPr>
                <w:rFonts w:ascii="Calibri" w:eastAsia="Times New Roman" w:hAnsi="Calibri" w:cs="Times New Roman"/>
                <w:b/>
                <w:bCs/>
                <w:color w:val="FFFFFF"/>
              </w:rPr>
            </w:pPr>
            <w:r w:rsidRPr="00696EAB">
              <w:rPr>
                <w:rFonts w:ascii="Calibri" w:eastAsia="Times New Roman" w:hAnsi="Calibri" w:cs="Times New Roman"/>
                <w:b/>
                <w:bCs/>
                <w:color w:val="FFFFFF"/>
              </w:rPr>
              <w:t>Total Participants</w:t>
            </w:r>
          </w:p>
        </w:tc>
        <w:tc>
          <w:tcPr>
            <w:tcW w:w="728" w:type="pct"/>
            <w:shd w:val="clear" w:color="000000" w:fill="005DAA"/>
            <w:vAlign w:val="center"/>
            <w:hideMark/>
          </w:tcPr>
          <w:p w:rsidR="00525F1F" w:rsidRPr="00696EAB" w:rsidRDefault="00525F1F" w:rsidP="00E0049E">
            <w:pPr>
              <w:keepNext/>
              <w:keepLines/>
              <w:spacing w:after="0"/>
              <w:jc w:val="center"/>
              <w:rPr>
                <w:rFonts w:ascii="Calibri" w:eastAsia="Times New Roman" w:hAnsi="Calibri" w:cs="Times New Roman"/>
                <w:b/>
                <w:bCs/>
                <w:color w:val="FFFFFF"/>
              </w:rPr>
            </w:pPr>
            <w:r w:rsidRPr="00696EAB">
              <w:rPr>
                <w:rFonts w:ascii="Calibri" w:eastAsia="Times New Roman" w:hAnsi="Calibri" w:cs="Times New Roman"/>
                <w:b/>
                <w:bCs/>
                <w:color w:val="FFFFFF"/>
              </w:rPr>
              <w:t>Average Installed Units</w:t>
            </w:r>
          </w:p>
        </w:tc>
        <w:tc>
          <w:tcPr>
            <w:tcW w:w="705" w:type="pct"/>
            <w:shd w:val="clear" w:color="000000" w:fill="005DAA"/>
            <w:vAlign w:val="center"/>
            <w:hideMark/>
          </w:tcPr>
          <w:p w:rsidR="00525F1F" w:rsidRPr="00696EAB" w:rsidRDefault="00F806DB" w:rsidP="00E0049E">
            <w:pPr>
              <w:keepNext/>
              <w:keepLines/>
              <w:spacing w:after="0"/>
              <w:jc w:val="center"/>
              <w:rPr>
                <w:rFonts w:ascii="Calibri" w:eastAsia="Times New Roman" w:hAnsi="Calibri" w:cs="Times New Roman"/>
                <w:b/>
                <w:bCs/>
                <w:color w:val="FFFFFF"/>
              </w:rPr>
            </w:pPr>
            <w:r>
              <w:rPr>
                <w:rFonts w:ascii="Calibri" w:eastAsia="Times New Roman" w:hAnsi="Calibri" w:cs="Times New Roman"/>
                <w:b/>
                <w:bCs/>
                <w:color w:val="FFFFFF"/>
              </w:rPr>
              <w:t>Evaluated Gross</w:t>
            </w:r>
            <w:r w:rsidR="00525F1F" w:rsidRPr="00696EAB">
              <w:rPr>
                <w:rFonts w:ascii="Calibri" w:eastAsia="Times New Roman" w:hAnsi="Calibri" w:cs="Times New Roman"/>
                <w:b/>
                <w:bCs/>
                <w:color w:val="FFFFFF"/>
              </w:rPr>
              <w:t xml:space="preserve"> Unit Savings (kWh)</w:t>
            </w:r>
          </w:p>
        </w:tc>
        <w:tc>
          <w:tcPr>
            <w:tcW w:w="762" w:type="pct"/>
            <w:shd w:val="clear" w:color="000000" w:fill="005DAA"/>
            <w:vAlign w:val="center"/>
            <w:hideMark/>
          </w:tcPr>
          <w:p w:rsidR="00525F1F" w:rsidRPr="00F806DB" w:rsidRDefault="00EC4163" w:rsidP="00E0049E">
            <w:pPr>
              <w:keepNext/>
              <w:keepLines/>
              <w:spacing w:after="0"/>
              <w:jc w:val="center"/>
              <w:rPr>
                <w:rFonts w:ascii="Calibri" w:eastAsia="Times New Roman" w:hAnsi="Calibri" w:cs="Times New Roman"/>
                <w:b/>
                <w:bCs/>
                <w:color w:val="FFFFFF"/>
              </w:rPr>
            </w:pPr>
            <w:r w:rsidRPr="00825111">
              <w:rPr>
                <w:rFonts w:ascii="Calibri" w:eastAsia="Times New Roman" w:hAnsi="Calibri" w:cs="Times New Roman"/>
                <w:b/>
                <w:bCs/>
                <w:i/>
                <w:color w:val="FFFFFF"/>
              </w:rPr>
              <w:t>Ex Ante</w:t>
            </w:r>
            <w:r w:rsidR="00525F1F" w:rsidRPr="00F806DB">
              <w:rPr>
                <w:rFonts w:ascii="Calibri" w:eastAsia="Times New Roman" w:hAnsi="Calibri" w:cs="Times New Roman"/>
                <w:b/>
                <w:bCs/>
                <w:color w:val="FFFFFF"/>
              </w:rPr>
              <w:t xml:space="preserve"> Household Savings (kWh)</w:t>
            </w:r>
          </w:p>
        </w:tc>
        <w:tc>
          <w:tcPr>
            <w:tcW w:w="626" w:type="pct"/>
            <w:shd w:val="clear" w:color="000000" w:fill="005DAA"/>
            <w:vAlign w:val="center"/>
            <w:hideMark/>
          </w:tcPr>
          <w:p w:rsidR="00525F1F" w:rsidRPr="00F806DB" w:rsidRDefault="00F806DB" w:rsidP="00E0049E">
            <w:pPr>
              <w:keepNext/>
              <w:keepLines/>
              <w:spacing w:after="0"/>
              <w:jc w:val="center"/>
              <w:rPr>
                <w:rFonts w:ascii="Calibri" w:eastAsia="Times New Roman" w:hAnsi="Calibri" w:cs="Times New Roman"/>
                <w:b/>
                <w:bCs/>
                <w:color w:val="FFFFFF"/>
              </w:rPr>
            </w:pPr>
            <w:r w:rsidRPr="00F806DB">
              <w:rPr>
                <w:rFonts w:ascii="Calibri" w:eastAsia="Times New Roman" w:hAnsi="Calibri" w:cs="Times New Roman"/>
                <w:b/>
                <w:bCs/>
                <w:color w:val="FFFFFF"/>
              </w:rPr>
              <w:t>Evaluated Gross</w:t>
            </w:r>
            <w:r w:rsidR="00525F1F" w:rsidRPr="00F806DB">
              <w:rPr>
                <w:rFonts w:ascii="Calibri" w:eastAsia="Times New Roman" w:hAnsi="Calibri" w:cs="Times New Roman"/>
                <w:b/>
                <w:bCs/>
                <w:color w:val="FFFFFF"/>
              </w:rPr>
              <w:t xml:space="preserve"> Household Savings (kWh)</w:t>
            </w:r>
          </w:p>
        </w:tc>
        <w:tc>
          <w:tcPr>
            <w:tcW w:w="642" w:type="pct"/>
            <w:shd w:val="clear" w:color="000000" w:fill="005DAA"/>
            <w:vAlign w:val="center"/>
            <w:hideMark/>
          </w:tcPr>
          <w:p w:rsidR="00525F1F" w:rsidRPr="00696EAB" w:rsidRDefault="00525F1F" w:rsidP="00E0049E">
            <w:pPr>
              <w:keepNext/>
              <w:keepLines/>
              <w:spacing w:after="0"/>
              <w:jc w:val="center"/>
              <w:rPr>
                <w:rFonts w:ascii="Calibri" w:eastAsia="Times New Roman" w:hAnsi="Calibri" w:cs="Times New Roman"/>
                <w:b/>
                <w:bCs/>
                <w:color w:val="FFFFFF"/>
              </w:rPr>
            </w:pPr>
            <w:r w:rsidRPr="00696EAB">
              <w:rPr>
                <w:rFonts w:ascii="Calibri" w:eastAsia="Times New Roman" w:hAnsi="Calibri" w:cs="Times New Roman"/>
                <w:b/>
                <w:bCs/>
                <w:color w:val="FFFFFF"/>
              </w:rPr>
              <w:t>Realization Rate</w:t>
            </w:r>
          </w:p>
        </w:tc>
      </w:tr>
      <w:tr w:rsidR="00525F1F" w:rsidRPr="00696EAB" w:rsidTr="008D38E3">
        <w:tc>
          <w:tcPr>
            <w:tcW w:w="855" w:type="pct"/>
            <w:shd w:val="clear" w:color="auto" w:fill="auto"/>
            <w:vAlign w:val="center"/>
            <w:hideMark/>
          </w:tcPr>
          <w:p w:rsidR="00525F1F" w:rsidRPr="00696EAB" w:rsidRDefault="00525F1F" w:rsidP="00E0049E">
            <w:pPr>
              <w:keepNext/>
              <w:keepLines/>
              <w:spacing w:after="0"/>
              <w:rPr>
                <w:rFonts w:ascii="Calibri" w:eastAsia="Times New Roman" w:hAnsi="Calibri" w:cs="Times New Roman"/>
                <w:color w:val="000000"/>
                <w:sz w:val="20"/>
                <w:szCs w:val="20"/>
              </w:rPr>
            </w:pPr>
            <w:r w:rsidRPr="00696EAB">
              <w:rPr>
                <w:rFonts w:ascii="Calibri" w:eastAsia="Times New Roman" w:hAnsi="Calibri" w:cs="Times New Roman"/>
                <w:color w:val="000000"/>
                <w:sz w:val="20"/>
                <w:szCs w:val="20"/>
              </w:rPr>
              <w:t>Showerhead</w:t>
            </w:r>
          </w:p>
        </w:tc>
        <w:tc>
          <w:tcPr>
            <w:tcW w:w="682" w:type="pct"/>
            <w:shd w:val="clear" w:color="auto" w:fill="auto"/>
            <w:vAlign w:val="center"/>
            <w:hideMark/>
          </w:tcPr>
          <w:p w:rsidR="00525F1F" w:rsidRPr="00696EAB" w:rsidRDefault="00525F1F" w:rsidP="00E0049E">
            <w:pPr>
              <w:keepNext/>
              <w:keepLines/>
              <w:spacing w:after="0"/>
              <w:jc w:val="right"/>
              <w:rPr>
                <w:rFonts w:ascii="Calibri" w:eastAsia="Times New Roman" w:hAnsi="Calibri" w:cs="Times New Roman"/>
                <w:color w:val="000000"/>
                <w:sz w:val="20"/>
                <w:szCs w:val="20"/>
              </w:rPr>
            </w:pPr>
            <w:r w:rsidRPr="00696EAB">
              <w:rPr>
                <w:rFonts w:ascii="Calibri" w:eastAsia="Times New Roman" w:hAnsi="Calibri" w:cs="Times New Roman"/>
                <w:color w:val="000000"/>
                <w:sz w:val="20"/>
                <w:szCs w:val="20"/>
              </w:rPr>
              <w:t>6,532</w:t>
            </w:r>
          </w:p>
        </w:tc>
        <w:tc>
          <w:tcPr>
            <w:tcW w:w="728" w:type="pct"/>
            <w:shd w:val="clear" w:color="auto" w:fill="auto"/>
            <w:vAlign w:val="center"/>
            <w:hideMark/>
          </w:tcPr>
          <w:p w:rsidR="00525F1F" w:rsidRPr="00696EAB" w:rsidRDefault="00525F1F" w:rsidP="00E0049E">
            <w:pPr>
              <w:keepNext/>
              <w:keepLines/>
              <w:spacing w:after="0"/>
              <w:jc w:val="right"/>
              <w:rPr>
                <w:rFonts w:ascii="Calibri" w:eastAsia="Times New Roman" w:hAnsi="Calibri" w:cs="Times New Roman"/>
                <w:color w:val="000000"/>
                <w:sz w:val="20"/>
                <w:szCs w:val="20"/>
              </w:rPr>
            </w:pPr>
            <w:r w:rsidRPr="00696EAB">
              <w:rPr>
                <w:rFonts w:ascii="Calibri" w:eastAsia="Times New Roman" w:hAnsi="Calibri" w:cs="Times New Roman"/>
                <w:color w:val="000000"/>
                <w:sz w:val="20"/>
                <w:szCs w:val="20"/>
              </w:rPr>
              <w:t>1.1 units</w:t>
            </w:r>
          </w:p>
        </w:tc>
        <w:tc>
          <w:tcPr>
            <w:tcW w:w="705" w:type="pct"/>
            <w:shd w:val="clear" w:color="auto" w:fill="auto"/>
            <w:vAlign w:val="center"/>
            <w:hideMark/>
          </w:tcPr>
          <w:p w:rsidR="00525F1F" w:rsidRPr="00696EAB" w:rsidRDefault="00525F1F" w:rsidP="00E0049E">
            <w:pPr>
              <w:keepNext/>
              <w:keepLines/>
              <w:spacing w:after="0"/>
              <w:jc w:val="right"/>
              <w:rPr>
                <w:rFonts w:ascii="Calibri" w:eastAsia="Times New Roman" w:hAnsi="Calibri" w:cs="Times New Roman"/>
                <w:color w:val="000000"/>
                <w:sz w:val="20"/>
                <w:szCs w:val="20"/>
              </w:rPr>
            </w:pPr>
            <w:r w:rsidRPr="00696EAB">
              <w:rPr>
                <w:rFonts w:ascii="Calibri" w:eastAsia="Times New Roman" w:hAnsi="Calibri" w:cs="Times New Roman"/>
                <w:color w:val="000000"/>
                <w:sz w:val="20"/>
                <w:szCs w:val="20"/>
              </w:rPr>
              <w:t>151</w:t>
            </w:r>
          </w:p>
        </w:tc>
        <w:tc>
          <w:tcPr>
            <w:tcW w:w="762" w:type="pct"/>
            <w:shd w:val="clear" w:color="auto" w:fill="auto"/>
            <w:vAlign w:val="center"/>
            <w:hideMark/>
          </w:tcPr>
          <w:p w:rsidR="00525F1F" w:rsidRPr="00696EAB" w:rsidRDefault="00525F1F" w:rsidP="00E0049E">
            <w:pPr>
              <w:keepNext/>
              <w:keepLines/>
              <w:spacing w:after="0"/>
              <w:jc w:val="right"/>
              <w:rPr>
                <w:rFonts w:ascii="Calibri" w:eastAsia="Times New Roman" w:hAnsi="Calibri" w:cs="Times New Roman"/>
                <w:color w:val="000000"/>
                <w:sz w:val="20"/>
                <w:szCs w:val="20"/>
              </w:rPr>
            </w:pPr>
            <w:r w:rsidRPr="00696EAB">
              <w:rPr>
                <w:rFonts w:ascii="Calibri" w:eastAsia="Times New Roman" w:hAnsi="Calibri" w:cs="Times New Roman"/>
                <w:color w:val="000000"/>
                <w:sz w:val="20"/>
                <w:szCs w:val="20"/>
              </w:rPr>
              <w:t>769</w:t>
            </w:r>
          </w:p>
        </w:tc>
        <w:tc>
          <w:tcPr>
            <w:tcW w:w="626" w:type="pct"/>
            <w:shd w:val="clear" w:color="auto" w:fill="auto"/>
            <w:vAlign w:val="center"/>
            <w:hideMark/>
          </w:tcPr>
          <w:p w:rsidR="00525F1F" w:rsidRPr="00696EAB" w:rsidRDefault="00525F1F" w:rsidP="00E0049E">
            <w:pPr>
              <w:keepNext/>
              <w:keepLines/>
              <w:spacing w:after="0"/>
              <w:jc w:val="right"/>
              <w:rPr>
                <w:rFonts w:ascii="Calibri" w:eastAsia="Times New Roman" w:hAnsi="Calibri" w:cs="Times New Roman"/>
                <w:color w:val="000000"/>
                <w:sz w:val="20"/>
                <w:szCs w:val="20"/>
              </w:rPr>
            </w:pPr>
            <w:r w:rsidRPr="00696EAB">
              <w:rPr>
                <w:rFonts w:ascii="Calibri" w:eastAsia="Times New Roman" w:hAnsi="Calibri" w:cs="Times New Roman"/>
                <w:color w:val="000000"/>
                <w:sz w:val="20"/>
                <w:szCs w:val="20"/>
              </w:rPr>
              <w:t>152</w:t>
            </w:r>
          </w:p>
        </w:tc>
        <w:tc>
          <w:tcPr>
            <w:tcW w:w="642" w:type="pct"/>
            <w:shd w:val="clear" w:color="auto" w:fill="auto"/>
            <w:vAlign w:val="center"/>
            <w:hideMark/>
          </w:tcPr>
          <w:p w:rsidR="00525F1F" w:rsidRPr="00696EAB" w:rsidRDefault="00525F1F" w:rsidP="00E0049E">
            <w:pPr>
              <w:keepNext/>
              <w:keepLines/>
              <w:spacing w:after="0"/>
              <w:jc w:val="right"/>
              <w:rPr>
                <w:rFonts w:ascii="Calibri" w:eastAsia="Times New Roman" w:hAnsi="Calibri" w:cs="Times New Roman"/>
                <w:color w:val="000000"/>
                <w:sz w:val="20"/>
                <w:szCs w:val="20"/>
              </w:rPr>
            </w:pPr>
            <w:r w:rsidRPr="00696EAB">
              <w:rPr>
                <w:rFonts w:ascii="Calibri" w:eastAsia="Times New Roman" w:hAnsi="Calibri" w:cs="Times New Roman"/>
                <w:color w:val="000000"/>
                <w:sz w:val="20"/>
                <w:szCs w:val="20"/>
              </w:rPr>
              <w:t>20%</w:t>
            </w:r>
          </w:p>
        </w:tc>
      </w:tr>
      <w:tr w:rsidR="00525F1F" w:rsidRPr="00696EAB" w:rsidTr="008D38E3">
        <w:tc>
          <w:tcPr>
            <w:tcW w:w="855" w:type="pct"/>
            <w:shd w:val="clear" w:color="auto" w:fill="auto"/>
            <w:vAlign w:val="center"/>
            <w:hideMark/>
          </w:tcPr>
          <w:p w:rsidR="00525F1F" w:rsidRPr="00696EAB" w:rsidRDefault="00525F1F" w:rsidP="00E0049E">
            <w:pPr>
              <w:keepNext/>
              <w:keepLines/>
              <w:spacing w:after="0"/>
              <w:rPr>
                <w:rFonts w:ascii="Calibri" w:eastAsia="Times New Roman" w:hAnsi="Calibri" w:cs="Times New Roman"/>
                <w:color w:val="000000"/>
                <w:sz w:val="20"/>
                <w:szCs w:val="20"/>
              </w:rPr>
            </w:pPr>
            <w:r w:rsidRPr="00696EAB">
              <w:rPr>
                <w:rFonts w:ascii="Calibri" w:eastAsia="Times New Roman" w:hAnsi="Calibri" w:cs="Times New Roman"/>
                <w:color w:val="000000"/>
                <w:sz w:val="20"/>
                <w:szCs w:val="20"/>
              </w:rPr>
              <w:t>Faucet Aerators</w:t>
            </w:r>
          </w:p>
        </w:tc>
        <w:tc>
          <w:tcPr>
            <w:tcW w:w="682" w:type="pct"/>
            <w:shd w:val="clear" w:color="auto" w:fill="auto"/>
            <w:vAlign w:val="center"/>
            <w:hideMark/>
          </w:tcPr>
          <w:p w:rsidR="00525F1F" w:rsidRPr="00696EAB" w:rsidRDefault="00525F1F" w:rsidP="00E0049E">
            <w:pPr>
              <w:keepNext/>
              <w:keepLines/>
              <w:spacing w:after="0"/>
              <w:jc w:val="right"/>
              <w:rPr>
                <w:rFonts w:ascii="Calibri" w:eastAsia="Times New Roman" w:hAnsi="Calibri" w:cs="Times New Roman"/>
                <w:color w:val="000000"/>
                <w:sz w:val="20"/>
                <w:szCs w:val="20"/>
              </w:rPr>
            </w:pPr>
            <w:r w:rsidRPr="00696EAB">
              <w:rPr>
                <w:rFonts w:ascii="Calibri" w:eastAsia="Times New Roman" w:hAnsi="Calibri" w:cs="Times New Roman"/>
                <w:color w:val="000000"/>
                <w:sz w:val="20"/>
                <w:szCs w:val="20"/>
              </w:rPr>
              <w:t>7,616</w:t>
            </w:r>
          </w:p>
        </w:tc>
        <w:tc>
          <w:tcPr>
            <w:tcW w:w="728" w:type="pct"/>
            <w:shd w:val="clear" w:color="auto" w:fill="auto"/>
            <w:vAlign w:val="center"/>
            <w:hideMark/>
          </w:tcPr>
          <w:p w:rsidR="00525F1F" w:rsidRPr="00696EAB" w:rsidRDefault="00525F1F" w:rsidP="00E0049E">
            <w:pPr>
              <w:keepNext/>
              <w:keepLines/>
              <w:spacing w:after="0"/>
              <w:jc w:val="right"/>
              <w:rPr>
                <w:rFonts w:ascii="Calibri" w:eastAsia="Times New Roman" w:hAnsi="Calibri" w:cs="Times New Roman"/>
                <w:color w:val="000000"/>
                <w:sz w:val="20"/>
                <w:szCs w:val="20"/>
              </w:rPr>
            </w:pPr>
            <w:r w:rsidRPr="00696EAB">
              <w:rPr>
                <w:rFonts w:ascii="Calibri" w:eastAsia="Times New Roman" w:hAnsi="Calibri" w:cs="Times New Roman"/>
                <w:color w:val="000000"/>
                <w:sz w:val="20"/>
                <w:szCs w:val="20"/>
              </w:rPr>
              <w:t>1.1 units</w:t>
            </w:r>
          </w:p>
        </w:tc>
        <w:tc>
          <w:tcPr>
            <w:tcW w:w="705" w:type="pct"/>
            <w:shd w:val="clear" w:color="auto" w:fill="auto"/>
            <w:vAlign w:val="center"/>
            <w:hideMark/>
          </w:tcPr>
          <w:p w:rsidR="00525F1F" w:rsidRPr="00696EAB" w:rsidRDefault="00525F1F" w:rsidP="00E0049E">
            <w:pPr>
              <w:keepNext/>
              <w:keepLines/>
              <w:spacing w:after="0"/>
              <w:jc w:val="right"/>
              <w:rPr>
                <w:rFonts w:ascii="Calibri" w:eastAsia="Times New Roman" w:hAnsi="Calibri" w:cs="Times New Roman"/>
                <w:color w:val="000000"/>
                <w:sz w:val="20"/>
                <w:szCs w:val="20"/>
              </w:rPr>
            </w:pPr>
            <w:r w:rsidRPr="00696EAB">
              <w:rPr>
                <w:rFonts w:ascii="Calibri" w:eastAsia="Times New Roman" w:hAnsi="Calibri" w:cs="Times New Roman"/>
                <w:color w:val="000000"/>
                <w:sz w:val="20"/>
                <w:szCs w:val="20"/>
              </w:rPr>
              <w:t>61</w:t>
            </w:r>
          </w:p>
        </w:tc>
        <w:tc>
          <w:tcPr>
            <w:tcW w:w="762" w:type="pct"/>
            <w:shd w:val="clear" w:color="auto" w:fill="auto"/>
            <w:vAlign w:val="center"/>
            <w:hideMark/>
          </w:tcPr>
          <w:p w:rsidR="00525F1F" w:rsidRPr="00696EAB" w:rsidRDefault="00525F1F" w:rsidP="00E0049E">
            <w:pPr>
              <w:keepNext/>
              <w:keepLines/>
              <w:spacing w:after="0"/>
              <w:jc w:val="right"/>
              <w:rPr>
                <w:rFonts w:ascii="Calibri" w:eastAsia="Times New Roman" w:hAnsi="Calibri" w:cs="Times New Roman"/>
                <w:color w:val="000000"/>
                <w:sz w:val="20"/>
                <w:szCs w:val="20"/>
              </w:rPr>
            </w:pPr>
            <w:r w:rsidRPr="00696EAB">
              <w:rPr>
                <w:rFonts w:ascii="Calibri" w:eastAsia="Times New Roman" w:hAnsi="Calibri" w:cs="Times New Roman"/>
                <w:color w:val="000000"/>
                <w:sz w:val="20"/>
                <w:szCs w:val="20"/>
              </w:rPr>
              <w:t>25</w:t>
            </w:r>
          </w:p>
        </w:tc>
        <w:tc>
          <w:tcPr>
            <w:tcW w:w="626" w:type="pct"/>
            <w:shd w:val="clear" w:color="auto" w:fill="auto"/>
            <w:vAlign w:val="center"/>
            <w:hideMark/>
          </w:tcPr>
          <w:p w:rsidR="00525F1F" w:rsidRPr="00696EAB" w:rsidRDefault="00525F1F" w:rsidP="00E0049E">
            <w:pPr>
              <w:keepNext/>
              <w:keepLines/>
              <w:spacing w:after="0"/>
              <w:jc w:val="right"/>
              <w:rPr>
                <w:rFonts w:ascii="Calibri" w:eastAsia="Times New Roman" w:hAnsi="Calibri" w:cs="Times New Roman"/>
                <w:color w:val="000000"/>
                <w:sz w:val="20"/>
                <w:szCs w:val="20"/>
              </w:rPr>
            </w:pPr>
            <w:r w:rsidRPr="00696EAB">
              <w:rPr>
                <w:rFonts w:ascii="Calibri" w:eastAsia="Times New Roman" w:hAnsi="Calibri" w:cs="Times New Roman"/>
                <w:color w:val="000000"/>
                <w:sz w:val="20"/>
                <w:szCs w:val="20"/>
              </w:rPr>
              <w:t>61</w:t>
            </w:r>
          </w:p>
        </w:tc>
        <w:tc>
          <w:tcPr>
            <w:tcW w:w="642" w:type="pct"/>
            <w:shd w:val="clear" w:color="auto" w:fill="auto"/>
            <w:vAlign w:val="center"/>
            <w:hideMark/>
          </w:tcPr>
          <w:p w:rsidR="00525F1F" w:rsidRPr="00696EAB" w:rsidRDefault="00525F1F" w:rsidP="00E0049E">
            <w:pPr>
              <w:keepNext/>
              <w:keepLines/>
              <w:spacing w:after="0"/>
              <w:jc w:val="right"/>
              <w:rPr>
                <w:rFonts w:ascii="Calibri" w:eastAsia="Times New Roman" w:hAnsi="Calibri" w:cs="Times New Roman"/>
                <w:color w:val="000000"/>
                <w:sz w:val="20"/>
                <w:szCs w:val="20"/>
              </w:rPr>
            </w:pPr>
            <w:r w:rsidRPr="00696EAB">
              <w:rPr>
                <w:rFonts w:ascii="Calibri" w:eastAsia="Times New Roman" w:hAnsi="Calibri" w:cs="Times New Roman"/>
                <w:color w:val="000000"/>
                <w:sz w:val="20"/>
                <w:szCs w:val="20"/>
              </w:rPr>
              <w:t>243%</w:t>
            </w:r>
          </w:p>
        </w:tc>
      </w:tr>
      <w:tr w:rsidR="001A37FE" w:rsidRPr="00696EAB" w:rsidTr="006C26D2">
        <w:tc>
          <w:tcPr>
            <w:tcW w:w="855" w:type="pct"/>
            <w:shd w:val="clear" w:color="auto" w:fill="auto"/>
            <w:vAlign w:val="center"/>
            <w:hideMark/>
          </w:tcPr>
          <w:p w:rsidR="001A37FE" w:rsidRPr="00696EAB" w:rsidRDefault="001A37FE" w:rsidP="00E0049E">
            <w:pPr>
              <w:keepNext/>
              <w:keepLines/>
              <w:spacing w:after="0"/>
              <w:rPr>
                <w:rFonts w:ascii="Calibri" w:eastAsia="Times New Roman" w:hAnsi="Calibri" w:cs="Times New Roman"/>
                <w:color w:val="000000"/>
                <w:sz w:val="20"/>
                <w:szCs w:val="20"/>
              </w:rPr>
            </w:pPr>
            <w:r w:rsidRPr="00696EAB">
              <w:rPr>
                <w:rFonts w:ascii="Calibri" w:eastAsia="Times New Roman" w:hAnsi="Calibri" w:cs="Times New Roman"/>
                <w:color w:val="000000"/>
                <w:sz w:val="20"/>
                <w:szCs w:val="20"/>
              </w:rPr>
              <w:t>Pipe Wrap</w:t>
            </w:r>
            <w:r>
              <w:rPr>
                <w:rFonts w:ascii="Calibri" w:eastAsia="Times New Roman" w:hAnsi="Calibri" w:cs="Times New Roman"/>
                <w:color w:val="000000"/>
                <w:sz w:val="20"/>
                <w:szCs w:val="20"/>
              </w:rPr>
              <w:t>*</w:t>
            </w:r>
          </w:p>
        </w:tc>
        <w:tc>
          <w:tcPr>
            <w:tcW w:w="682" w:type="pct"/>
            <w:shd w:val="clear" w:color="auto" w:fill="auto"/>
            <w:vAlign w:val="center"/>
            <w:hideMark/>
          </w:tcPr>
          <w:p w:rsidR="001A37FE" w:rsidRPr="00696EAB" w:rsidRDefault="001A37FE" w:rsidP="00E0049E">
            <w:pPr>
              <w:keepNext/>
              <w:keepLines/>
              <w:spacing w:after="0"/>
              <w:jc w:val="right"/>
              <w:rPr>
                <w:rFonts w:ascii="Calibri" w:eastAsia="Times New Roman" w:hAnsi="Calibri" w:cs="Times New Roman"/>
                <w:color w:val="000000"/>
                <w:sz w:val="20"/>
                <w:szCs w:val="20"/>
              </w:rPr>
            </w:pPr>
            <w:r w:rsidRPr="00696EAB">
              <w:rPr>
                <w:rFonts w:ascii="Calibri" w:eastAsia="Times New Roman" w:hAnsi="Calibri" w:cs="Times New Roman"/>
                <w:color w:val="000000"/>
                <w:sz w:val="20"/>
                <w:szCs w:val="20"/>
              </w:rPr>
              <w:t>598</w:t>
            </w:r>
          </w:p>
        </w:tc>
        <w:tc>
          <w:tcPr>
            <w:tcW w:w="728" w:type="pct"/>
            <w:shd w:val="clear" w:color="auto" w:fill="auto"/>
            <w:vAlign w:val="center"/>
            <w:hideMark/>
          </w:tcPr>
          <w:p w:rsidR="001A37FE" w:rsidRPr="00696EAB" w:rsidRDefault="001A37FE" w:rsidP="00E0049E">
            <w:pPr>
              <w:keepNext/>
              <w:keepLines/>
              <w:spacing w:after="0"/>
              <w:jc w:val="right"/>
              <w:rPr>
                <w:rFonts w:ascii="Calibri" w:eastAsia="Times New Roman" w:hAnsi="Calibri" w:cs="Times New Roman"/>
                <w:color w:val="000000"/>
                <w:sz w:val="20"/>
                <w:szCs w:val="20"/>
              </w:rPr>
            </w:pPr>
            <w:r w:rsidRPr="00696EAB">
              <w:rPr>
                <w:rFonts w:ascii="Calibri" w:eastAsia="Times New Roman" w:hAnsi="Calibri" w:cs="Times New Roman"/>
                <w:color w:val="000000"/>
                <w:sz w:val="20"/>
                <w:szCs w:val="20"/>
              </w:rPr>
              <w:t xml:space="preserve">4.6 </w:t>
            </w:r>
            <w:r w:rsidR="00033AD2" w:rsidRPr="00696EAB">
              <w:rPr>
                <w:rFonts w:ascii="Calibri" w:eastAsia="Times New Roman" w:hAnsi="Calibri" w:cs="Times New Roman"/>
                <w:color w:val="000000"/>
                <w:sz w:val="20"/>
                <w:szCs w:val="20"/>
              </w:rPr>
              <w:t>ft.</w:t>
            </w:r>
          </w:p>
        </w:tc>
        <w:tc>
          <w:tcPr>
            <w:tcW w:w="705" w:type="pct"/>
            <w:shd w:val="clear" w:color="auto" w:fill="auto"/>
            <w:vAlign w:val="center"/>
            <w:hideMark/>
          </w:tcPr>
          <w:p w:rsidR="001A37FE" w:rsidRPr="00696EAB" w:rsidRDefault="001A37FE" w:rsidP="00E0049E">
            <w:pPr>
              <w:keepNext/>
              <w:keepLines/>
              <w:spacing w:after="0"/>
              <w:jc w:val="right"/>
              <w:rPr>
                <w:rFonts w:ascii="Calibri" w:eastAsia="Times New Roman" w:hAnsi="Calibri" w:cs="Times New Roman"/>
                <w:color w:val="000000"/>
                <w:sz w:val="20"/>
                <w:szCs w:val="20"/>
              </w:rPr>
            </w:pPr>
            <w:r w:rsidRPr="00696EAB">
              <w:rPr>
                <w:rFonts w:ascii="Calibri" w:eastAsia="Times New Roman" w:hAnsi="Calibri" w:cs="Times New Roman"/>
                <w:color w:val="000000"/>
                <w:sz w:val="20"/>
                <w:szCs w:val="20"/>
              </w:rPr>
              <w:t>11</w:t>
            </w:r>
          </w:p>
        </w:tc>
        <w:tc>
          <w:tcPr>
            <w:tcW w:w="762" w:type="pct"/>
            <w:shd w:val="clear" w:color="auto" w:fill="auto"/>
            <w:vAlign w:val="center"/>
            <w:hideMark/>
          </w:tcPr>
          <w:p w:rsidR="001A37FE" w:rsidRPr="00696EAB" w:rsidRDefault="001A37FE" w:rsidP="00E0049E">
            <w:pPr>
              <w:keepNext/>
              <w:keepLines/>
              <w:spacing w:after="0"/>
              <w:jc w:val="right"/>
              <w:rPr>
                <w:rFonts w:ascii="Calibri" w:eastAsia="Times New Roman" w:hAnsi="Calibri" w:cs="Times New Roman"/>
                <w:color w:val="000000"/>
                <w:sz w:val="20"/>
                <w:szCs w:val="20"/>
              </w:rPr>
            </w:pPr>
            <w:r w:rsidRPr="00696EAB">
              <w:rPr>
                <w:rFonts w:ascii="Calibri" w:eastAsia="Times New Roman" w:hAnsi="Calibri" w:cs="Times New Roman"/>
                <w:color w:val="000000"/>
                <w:sz w:val="20"/>
                <w:szCs w:val="20"/>
              </w:rPr>
              <w:t>53</w:t>
            </w:r>
          </w:p>
        </w:tc>
        <w:tc>
          <w:tcPr>
            <w:tcW w:w="626" w:type="pct"/>
            <w:shd w:val="clear" w:color="auto" w:fill="auto"/>
            <w:vAlign w:val="center"/>
            <w:hideMark/>
          </w:tcPr>
          <w:p w:rsidR="001A37FE" w:rsidRPr="00696EAB" w:rsidRDefault="001A37FE" w:rsidP="00E0049E">
            <w:pPr>
              <w:keepNext/>
              <w:keepLines/>
              <w:spacing w:after="0"/>
              <w:jc w:val="right"/>
              <w:rPr>
                <w:rFonts w:ascii="Calibri" w:eastAsia="Times New Roman" w:hAnsi="Calibri" w:cs="Times New Roman"/>
                <w:color w:val="000000"/>
                <w:sz w:val="20"/>
                <w:szCs w:val="20"/>
              </w:rPr>
            </w:pPr>
            <w:r w:rsidRPr="00696EAB">
              <w:rPr>
                <w:rFonts w:ascii="Calibri" w:eastAsia="Times New Roman" w:hAnsi="Calibri" w:cs="Times New Roman"/>
                <w:color w:val="000000"/>
                <w:sz w:val="20"/>
                <w:szCs w:val="20"/>
              </w:rPr>
              <w:t>52</w:t>
            </w:r>
          </w:p>
        </w:tc>
        <w:tc>
          <w:tcPr>
            <w:tcW w:w="642" w:type="pct"/>
            <w:shd w:val="clear" w:color="auto" w:fill="auto"/>
            <w:vAlign w:val="center"/>
            <w:hideMark/>
          </w:tcPr>
          <w:p w:rsidR="001A37FE" w:rsidRPr="00696EAB" w:rsidRDefault="001A37FE" w:rsidP="00E0049E">
            <w:pPr>
              <w:keepNext/>
              <w:keepLines/>
              <w:spacing w:after="0"/>
              <w:jc w:val="right"/>
              <w:rPr>
                <w:rFonts w:ascii="Calibri" w:eastAsia="Times New Roman" w:hAnsi="Calibri" w:cs="Times New Roman"/>
                <w:color w:val="000000"/>
                <w:sz w:val="20"/>
                <w:szCs w:val="20"/>
              </w:rPr>
            </w:pPr>
            <w:r w:rsidRPr="00696EAB">
              <w:rPr>
                <w:rFonts w:ascii="Calibri" w:eastAsia="Times New Roman" w:hAnsi="Calibri" w:cs="Times New Roman"/>
                <w:color w:val="000000"/>
                <w:sz w:val="20"/>
                <w:szCs w:val="20"/>
              </w:rPr>
              <w:t>99%</w:t>
            </w:r>
          </w:p>
        </w:tc>
      </w:tr>
      <w:tr w:rsidR="00525F1F" w:rsidRPr="00696EAB" w:rsidTr="001A37FE">
        <w:tc>
          <w:tcPr>
            <w:tcW w:w="855" w:type="pct"/>
            <w:shd w:val="clear" w:color="auto" w:fill="auto"/>
            <w:vAlign w:val="center"/>
            <w:hideMark/>
          </w:tcPr>
          <w:p w:rsidR="00525F1F" w:rsidRPr="00696EAB" w:rsidRDefault="001A37FE" w:rsidP="00E0049E">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Temp Setback</w:t>
            </w:r>
          </w:p>
        </w:tc>
        <w:tc>
          <w:tcPr>
            <w:tcW w:w="682" w:type="pct"/>
            <w:shd w:val="clear" w:color="auto" w:fill="auto"/>
            <w:vAlign w:val="center"/>
          </w:tcPr>
          <w:p w:rsidR="00525F1F" w:rsidRPr="00696EAB" w:rsidRDefault="00C5163F" w:rsidP="00E0049E">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330</w:t>
            </w:r>
          </w:p>
        </w:tc>
        <w:tc>
          <w:tcPr>
            <w:tcW w:w="728" w:type="pct"/>
            <w:shd w:val="clear" w:color="auto" w:fill="auto"/>
            <w:vAlign w:val="center"/>
          </w:tcPr>
          <w:p w:rsidR="00525F1F" w:rsidRPr="00696EAB" w:rsidRDefault="00C5163F" w:rsidP="00E0049E">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 unit</w:t>
            </w:r>
          </w:p>
        </w:tc>
        <w:tc>
          <w:tcPr>
            <w:tcW w:w="705" w:type="pct"/>
            <w:shd w:val="clear" w:color="auto" w:fill="auto"/>
            <w:vAlign w:val="center"/>
          </w:tcPr>
          <w:p w:rsidR="00525F1F" w:rsidRPr="00696EAB" w:rsidRDefault="00C5163F" w:rsidP="00E0049E">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78</w:t>
            </w:r>
          </w:p>
        </w:tc>
        <w:tc>
          <w:tcPr>
            <w:tcW w:w="762" w:type="pct"/>
            <w:shd w:val="clear" w:color="auto" w:fill="auto"/>
            <w:vAlign w:val="center"/>
          </w:tcPr>
          <w:p w:rsidR="00525F1F" w:rsidRPr="00696EAB" w:rsidRDefault="00C5163F" w:rsidP="00E0049E">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87</w:t>
            </w:r>
          </w:p>
        </w:tc>
        <w:tc>
          <w:tcPr>
            <w:tcW w:w="626" w:type="pct"/>
            <w:shd w:val="clear" w:color="auto" w:fill="auto"/>
            <w:vAlign w:val="center"/>
          </w:tcPr>
          <w:p w:rsidR="00525F1F" w:rsidRPr="00696EAB" w:rsidRDefault="00C5163F" w:rsidP="00E0049E">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78</w:t>
            </w:r>
          </w:p>
        </w:tc>
        <w:tc>
          <w:tcPr>
            <w:tcW w:w="642" w:type="pct"/>
            <w:shd w:val="clear" w:color="auto" w:fill="auto"/>
            <w:vAlign w:val="center"/>
          </w:tcPr>
          <w:p w:rsidR="00525F1F" w:rsidRPr="00696EAB" w:rsidRDefault="00C5163F" w:rsidP="00E0049E">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90%</w:t>
            </w:r>
          </w:p>
        </w:tc>
      </w:tr>
    </w:tbl>
    <w:p w:rsidR="00C5163F" w:rsidRPr="000C12E7" w:rsidRDefault="00C5163F" w:rsidP="00E0049E">
      <w:pPr>
        <w:keepNext/>
        <w:keepLines/>
        <w:spacing w:after="0" w:line="240" w:lineRule="auto"/>
        <w:rPr>
          <w:sz w:val="20"/>
          <w:szCs w:val="20"/>
        </w:rPr>
      </w:pPr>
      <w:r w:rsidRPr="008C5363">
        <w:rPr>
          <w:sz w:val="20"/>
          <w:szCs w:val="20"/>
        </w:rPr>
        <w:t>*</w:t>
      </w:r>
      <w:r>
        <w:rPr>
          <w:sz w:val="20"/>
          <w:szCs w:val="20"/>
        </w:rPr>
        <w:t xml:space="preserve">The evaluation only addressed </w:t>
      </w:r>
      <w:r w:rsidRPr="008C5363">
        <w:rPr>
          <w:sz w:val="20"/>
          <w:szCs w:val="20"/>
        </w:rPr>
        <w:t>the water-heating application of this measure (not space heating impacts)</w:t>
      </w:r>
      <w:r>
        <w:rPr>
          <w:sz w:val="20"/>
          <w:szCs w:val="20"/>
        </w:rPr>
        <w:t>.</w:t>
      </w:r>
      <w:r w:rsidRPr="008C5363">
        <w:rPr>
          <w:sz w:val="20"/>
          <w:szCs w:val="20"/>
        </w:rPr>
        <w:t xml:space="preserve"> </w:t>
      </w:r>
    </w:p>
    <w:p w:rsidR="00DE67A2" w:rsidRDefault="00DE67A2" w:rsidP="00DE67A2">
      <w:pPr>
        <w:pStyle w:val="NormalAfterTablesandFigures"/>
      </w:pPr>
    </w:p>
    <w:p w:rsidR="00CA3766" w:rsidRDefault="00CA3766" w:rsidP="00CA3766">
      <w:r>
        <w:t xml:space="preserve">As discussed under the </w:t>
      </w:r>
      <w:r w:rsidR="005C2163">
        <w:fldChar w:fldCharType="begin"/>
      </w:r>
      <w:r>
        <w:instrText xml:space="preserve"> REF _Ref389127928 \h </w:instrText>
      </w:r>
      <w:r w:rsidR="005C2163">
        <w:fldChar w:fldCharType="separate"/>
      </w:r>
      <w:r w:rsidR="00CD20CF">
        <w:t>HES Natural Gas Savings</w:t>
      </w:r>
      <w:r w:rsidR="005C2163">
        <w:fldChar w:fldCharType="end"/>
      </w:r>
      <w:r>
        <w:t xml:space="preserve"> section, the primary factor driving realization rates for showerheads and aerators was the change in input assumptions used in the savings calculations from the 2011 PSD to the 2013 PSD.</w:t>
      </w:r>
      <w:r>
        <w:rPr>
          <w:rStyle w:val="FootnoteReference"/>
        </w:rPr>
        <w:footnoteReference w:id="29"/>
      </w:r>
      <w:r>
        <w:t xml:space="preserve"> Additionally, the Evaluation Team applied a drain factor (79.5%) to the </w:t>
      </w:r>
      <w:r>
        <w:lastRenderedPageBreak/>
        <w:t>evaluated savings calculation for aerators, and evaluated pipe insulation savings</w:t>
      </w:r>
      <w:r w:rsidR="0028603F">
        <w:t>,</w:t>
      </w:r>
      <w:r>
        <w:t xml:space="preserve"> based on only the first six feet of insulation installed. </w:t>
      </w:r>
      <w:r w:rsidR="0028603F">
        <w:t>For more detail, s</w:t>
      </w:r>
      <w:r>
        <w:t xml:space="preserve">ee the </w:t>
      </w:r>
      <w:r w:rsidR="005C2163">
        <w:fldChar w:fldCharType="begin"/>
      </w:r>
      <w:r>
        <w:instrText xml:space="preserve"> REF _Ref389128477 \h </w:instrText>
      </w:r>
      <w:r w:rsidR="005C2163">
        <w:fldChar w:fldCharType="separate"/>
      </w:r>
      <w:r w:rsidR="00CD20CF">
        <w:t>Domestic Hot Water</w:t>
      </w:r>
      <w:r w:rsidR="005C2163">
        <w:fldChar w:fldCharType="end"/>
      </w:r>
      <w:r>
        <w:t xml:space="preserve"> discussi</w:t>
      </w:r>
      <w:r w:rsidR="0028603F">
        <w:t>on</w:t>
      </w:r>
      <w:r>
        <w:t xml:space="preserve"> for HES.</w:t>
      </w:r>
    </w:p>
    <w:p w:rsidR="00453172" w:rsidRDefault="00453172" w:rsidP="00E04376">
      <w:pPr>
        <w:pStyle w:val="Heading4"/>
      </w:pPr>
      <w:r>
        <w:t>HVAC</w:t>
      </w:r>
    </w:p>
    <w:p w:rsidR="00DD03E3" w:rsidRDefault="00DD03E3" w:rsidP="00DD03E3">
      <w:r>
        <w:t xml:space="preserve">The Evaluation Team estimated impacts for several HES-IE HVAC measures using a combination of billing analysis and engineering algorithms. </w:t>
      </w:r>
      <w:r w:rsidR="005C2163">
        <w:fldChar w:fldCharType="begin"/>
      </w:r>
      <w:r w:rsidR="00E04376">
        <w:instrText xml:space="preserve"> REF _Ref388435727 \h </w:instrText>
      </w:r>
      <w:r w:rsidR="005C2163">
        <w:fldChar w:fldCharType="separate"/>
      </w:r>
      <w:r w:rsidR="00CD20CF">
        <w:t xml:space="preserve">Table </w:t>
      </w:r>
      <w:r w:rsidR="00CD20CF">
        <w:rPr>
          <w:noProof/>
        </w:rPr>
        <w:t>54</w:t>
      </w:r>
      <w:r w:rsidR="005C2163">
        <w:fldChar w:fldCharType="end"/>
      </w:r>
      <w:r>
        <w:t xml:space="preserve"> provides details for each of these measures, including </w:t>
      </w:r>
      <w:r w:rsidR="00CF09AD">
        <w:t xml:space="preserve">the </w:t>
      </w:r>
      <w:r>
        <w:t xml:space="preserve">total number of participants, </w:t>
      </w:r>
      <w:r w:rsidR="00CF09AD">
        <w:t xml:space="preserve">the </w:t>
      </w:r>
      <w:r>
        <w:t xml:space="preserve">capacity and efficiency of installed units, and </w:t>
      </w:r>
      <w:r w:rsidR="00CF09AD">
        <w:t xml:space="preserve">the analysis </w:t>
      </w:r>
      <w:r>
        <w:t>method</w:t>
      </w:r>
      <w:r w:rsidR="00CF09AD">
        <w:t>s</w:t>
      </w:r>
      <w:r>
        <w:t xml:space="preserve"> used.</w:t>
      </w:r>
    </w:p>
    <w:p w:rsidR="00DD03E3" w:rsidRDefault="00DD03E3" w:rsidP="003E3DA0">
      <w:pPr>
        <w:pStyle w:val="Caption"/>
      </w:pPr>
      <w:bookmarkStart w:id="105" w:name="_Ref388435727"/>
      <w:r>
        <w:t xml:space="preserve">Table </w:t>
      </w:r>
      <w:r w:rsidR="002506E1">
        <w:fldChar w:fldCharType="begin"/>
      </w:r>
      <w:r w:rsidR="002506E1">
        <w:instrText xml:space="preserve"> SEQ Table \* ARABIC </w:instrText>
      </w:r>
      <w:r w:rsidR="002506E1">
        <w:fldChar w:fldCharType="separate"/>
      </w:r>
      <w:r w:rsidR="00CD20CF">
        <w:rPr>
          <w:noProof/>
        </w:rPr>
        <w:t>54</w:t>
      </w:r>
      <w:r w:rsidR="002506E1">
        <w:rPr>
          <w:noProof/>
        </w:rPr>
        <w:fldChar w:fldCharType="end"/>
      </w:r>
      <w:bookmarkEnd w:id="105"/>
      <w:r>
        <w:t xml:space="preserve">. </w:t>
      </w:r>
      <w:r w:rsidR="003E3DA0">
        <w:t xml:space="preserve">HES-IE Electric HVAC Measure Distribution and Evaluated Savings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08"/>
        <w:gridCol w:w="1440"/>
        <w:gridCol w:w="1980"/>
        <w:gridCol w:w="1896"/>
        <w:gridCol w:w="2352"/>
      </w:tblGrid>
      <w:tr w:rsidR="00DD4CA8" w:rsidRPr="0082790A" w:rsidTr="00E04376">
        <w:tc>
          <w:tcPr>
            <w:tcW w:w="996" w:type="pct"/>
            <w:shd w:val="clear" w:color="000000" w:fill="005DAA"/>
            <w:vAlign w:val="center"/>
            <w:hideMark/>
          </w:tcPr>
          <w:p w:rsidR="00DD4CA8" w:rsidRPr="0082790A" w:rsidRDefault="00DD4CA8" w:rsidP="00E04376">
            <w:pPr>
              <w:spacing w:after="0"/>
              <w:jc w:val="center"/>
              <w:rPr>
                <w:rFonts w:ascii="Calibri" w:eastAsia="Times New Roman" w:hAnsi="Calibri" w:cs="Times New Roman"/>
                <w:b/>
                <w:bCs/>
                <w:color w:val="FFFFFF"/>
              </w:rPr>
            </w:pPr>
            <w:r w:rsidRPr="0082790A">
              <w:rPr>
                <w:rFonts w:ascii="Calibri" w:eastAsia="Times New Roman" w:hAnsi="Calibri" w:cs="Times New Roman"/>
                <w:b/>
                <w:bCs/>
                <w:color w:val="FFFFFF"/>
              </w:rPr>
              <w:t>Measure</w:t>
            </w:r>
          </w:p>
        </w:tc>
        <w:tc>
          <w:tcPr>
            <w:tcW w:w="752" w:type="pct"/>
            <w:shd w:val="clear" w:color="000000" w:fill="005DAA"/>
            <w:vAlign w:val="center"/>
            <w:hideMark/>
          </w:tcPr>
          <w:p w:rsidR="00DD4CA8" w:rsidRPr="0082790A" w:rsidRDefault="00DD4CA8" w:rsidP="00E04376">
            <w:pPr>
              <w:spacing w:after="0"/>
              <w:jc w:val="center"/>
              <w:rPr>
                <w:rFonts w:ascii="Calibri" w:eastAsia="Times New Roman" w:hAnsi="Calibri" w:cs="Times New Roman"/>
                <w:b/>
                <w:bCs/>
                <w:color w:val="FFFFFF"/>
              </w:rPr>
            </w:pPr>
            <w:r w:rsidRPr="0082790A">
              <w:rPr>
                <w:rFonts w:ascii="Calibri" w:eastAsia="Times New Roman" w:hAnsi="Calibri" w:cs="Times New Roman"/>
                <w:b/>
                <w:bCs/>
                <w:color w:val="FFFFFF"/>
              </w:rPr>
              <w:t>Total Participants</w:t>
            </w:r>
          </w:p>
        </w:tc>
        <w:tc>
          <w:tcPr>
            <w:tcW w:w="1034" w:type="pct"/>
            <w:shd w:val="clear" w:color="000000" w:fill="005DAA"/>
            <w:vAlign w:val="center"/>
            <w:hideMark/>
          </w:tcPr>
          <w:p w:rsidR="00DD4CA8" w:rsidRPr="0082790A" w:rsidRDefault="00DD4CA8" w:rsidP="00E04376">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Average Capacity of Installed Unit</w:t>
            </w:r>
          </w:p>
        </w:tc>
        <w:tc>
          <w:tcPr>
            <w:tcW w:w="990" w:type="pct"/>
            <w:shd w:val="clear" w:color="000000" w:fill="005DAA"/>
            <w:vAlign w:val="center"/>
            <w:hideMark/>
          </w:tcPr>
          <w:p w:rsidR="00DD4CA8" w:rsidRPr="0082790A" w:rsidRDefault="00DD4CA8" w:rsidP="00E04376">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Average Efficiency of Installed Unit</w:t>
            </w:r>
          </w:p>
        </w:tc>
        <w:tc>
          <w:tcPr>
            <w:tcW w:w="1228" w:type="pct"/>
            <w:shd w:val="clear" w:color="000000" w:fill="005DAA"/>
            <w:vAlign w:val="center"/>
          </w:tcPr>
          <w:p w:rsidR="00DD4CA8" w:rsidRPr="0082790A" w:rsidRDefault="00DD4CA8" w:rsidP="00E04376">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Method</w:t>
            </w:r>
          </w:p>
        </w:tc>
      </w:tr>
      <w:tr w:rsidR="004C2D20" w:rsidRPr="0082790A" w:rsidTr="00E04376">
        <w:tc>
          <w:tcPr>
            <w:tcW w:w="996" w:type="pct"/>
            <w:shd w:val="clear" w:color="auto" w:fill="auto"/>
            <w:vAlign w:val="center"/>
            <w:hideMark/>
          </w:tcPr>
          <w:p w:rsidR="004C2D20" w:rsidRPr="0082790A" w:rsidRDefault="004C2D20" w:rsidP="00E04376">
            <w:pPr>
              <w:spacing w:after="0"/>
              <w:rPr>
                <w:rFonts w:ascii="Calibri" w:eastAsia="Times New Roman" w:hAnsi="Calibri" w:cs="Times New Roman"/>
                <w:color w:val="000000"/>
                <w:sz w:val="20"/>
                <w:szCs w:val="20"/>
              </w:rPr>
            </w:pPr>
            <w:r w:rsidRPr="0082790A">
              <w:rPr>
                <w:rFonts w:ascii="Calibri" w:eastAsia="Times New Roman" w:hAnsi="Calibri" w:cs="Times New Roman"/>
                <w:color w:val="000000"/>
                <w:sz w:val="20"/>
                <w:szCs w:val="20"/>
              </w:rPr>
              <w:t>Ductless Heat Pump</w:t>
            </w:r>
          </w:p>
        </w:tc>
        <w:tc>
          <w:tcPr>
            <w:tcW w:w="752" w:type="pct"/>
            <w:shd w:val="clear" w:color="auto" w:fill="auto"/>
            <w:vAlign w:val="center"/>
          </w:tcPr>
          <w:p w:rsidR="004C2D20" w:rsidRPr="0082790A" w:rsidRDefault="004C2D20" w:rsidP="00E04376">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1,919</w:t>
            </w:r>
          </w:p>
        </w:tc>
        <w:tc>
          <w:tcPr>
            <w:tcW w:w="1034" w:type="pct"/>
            <w:shd w:val="clear" w:color="auto" w:fill="auto"/>
            <w:vAlign w:val="center"/>
          </w:tcPr>
          <w:p w:rsidR="004C2D20" w:rsidRPr="0082790A" w:rsidRDefault="004C2D20" w:rsidP="00E04376">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1.46</w:t>
            </w:r>
          </w:p>
        </w:tc>
        <w:tc>
          <w:tcPr>
            <w:tcW w:w="990" w:type="pct"/>
            <w:shd w:val="clear" w:color="auto" w:fill="auto"/>
            <w:vAlign w:val="center"/>
          </w:tcPr>
          <w:p w:rsidR="004C2D20" w:rsidRPr="0082790A" w:rsidRDefault="004C2D20" w:rsidP="00E04376">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9.8 HSPF, 17.3 SEER</w:t>
            </w:r>
          </w:p>
        </w:tc>
        <w:tc>
          <w:tcPr>
            <w:tcW w:w="1228" w:type="pct"/>
            <w:vAlign w:val="center"/>
          </w:tcPr>
          <w:p w:rsidR="004C2D20" w:rsidRPr="00501F38" w:rsidRDefault="004C2D20" w:rsidP="00E04376">
            <w:pPr>
              <w:spacing w:after="0"/>
              <w:rPr>
                <w:rFonts w:ascii="Calibri" w:eastAsia="Times New Roman" w:hAnsi="Calibri" w:cs="Times New Roman"/>
                <w:color w:val="000000"/>
                <w:sz w:val="20"/>
                <w:szCs w:val="20"/>
              </w:rPr>
            </w:pPr>
            <w:r w:rsidRPr="00501F38">
              <w:rPr>
                <w:rFonts w:ascii="Calibri" w:eastAsia="Times New Roman" w:hAnsi="Calibri" w:cs="Times New Roman"/>
                <w:color w:val="000000"/>
                <w:sz w:val="20"/>
                <w:szCs w:val="20"/>
              </w:rPr>
              <w:t>Billing Analysis</w:t>
            </w:r>
          </w:p>
        </w:tc>
      </w:tr>
      <w:tr w:rsidR="004C2D20" w:rsidRPr="0082790A" w:rsidTr="00E04376">
        <w:tc>
          <w:tcPr>
            <w:tcW w:w="996" w:type="pct"/>
            <w:shd w:val="clear" w:color="auto" w:fill="auto"/>
            <w:vAlign w:val="center"/>
            <w:hideMark/>
          </w:tcPr>
          <w:p w:rsidR="004C2D20" w:rsidRPr="0082790A" w:rsidRDefault="004C2D20" w:rsidP="00E04376">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Window AC</w:t>
            </w:r>
          </w:p>
        </w:tc>
        <w:tc>
          <w:tcPr>
            <w:tcW w:w="752" w:type="pct"/>
            <w:shd w:val="clear" w:color="auto" w:fill="auto"/>
            <w:vAlign w:val="center"/>
          </w:tcPr>
          <w:p w:rsidR="004C2D20" w:rsidRPr="0082790A" w:rsidRDefault="004C2D20" w:rsidP="00E04376">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246</w:t>
            </w:r>
          </w:p>
        </w:tc>
        <w:tc>
          <w:tcPr>
            <w:tcW w:w="1034" w:type="pct"/>
            <w:shd w:val="clear" w:color="auto" w:fill="auto"/>
            <w:vAlign w:val="center"/>
          </w:tcPr>
          <w:p w:rsidR="004C2D20" w:rsidRPr="0082790A" w:rsidRDefault="004C2D20" w:rsidP="00E04376">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0.68</w:t>
            </w:r>
          </w:p>
        </w:tc>
        <w:tc>
          <w:tcPr>
            <w:tcW w:w="990" w:type="pct"/>
            <w:shd w:val="clear" w:color="auto" w:fill="auto"/>
            <w:vAlign w:val="center"/>
          </w:tcPr>
          <w:p w:rsidR="004C2D20" w:rsidRPr="0082790A" w:rsidRDefault="004C2D20" w:rsidP="00E04376">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10.4</w:t>
            </w:r>
          </w:p>
        </w:tc>
        <w:tc>
          <w:tcPr>
            <w:tcW w:w="1228" w:type="pct"/>
            <w:vAlign w:val="center"/>
          </w:tcPr>
          <w:p w:rsidR="004C2D20" w:rsidRPr="00501F38" w:rsidRDefault="004C2D20" w:rsidP="00E04376">
            <w:pPr>
              <w:spacing w:after="0"/>
              <w:rPr>
                <w:rFonts w:ascii="Calibri" w:eastAsia="Times New Roman" w:hAnsi="Calibri" w:cs="Times New Roman"/>
                <w:color w:val="000000"/>
                <w:sz w:val="20"/>
                <w:szCs w:val="20"/>
              </w:rPr>
            </w:pPr>
            <w:r w:rsidRPr="00501F38">
              <w:rPr>
                <w:rFonts w:ascii="Calibri" w:eastAsia="Times New Roman" w:hAnsi="Calibri" w:cs="Times New Roman"/>
                <w:color w:val="000000"/>
                <w:sz w:val="20"/>
                <w:szCs w:val="20"/>
              </w:rPr>
              <w:t>Engineering Algorithm</w:t>
            </w:r>
          </w:p>
        </w:tc>
      </w:tr>
      <w:tr w:rsidR="004C2D20" w:rsidRPr="0082790A" w:rsidTr="00E04376">
        <w:tc>
          <w:tcPr>
            <w:tcW w:w="996" w:type="pct"/>
            <w:shd w:val="clear" w:color="auto" w:fill="auto"/>
            <w:vAlign w:val="center"/>
            <w:hideMark/>
          </w:tcPr>
          <w:p w:rsidR="004C2D20" w:rsidRPr="0082790A" w:rsidRDefault="004C2D20" w:rsidP="00E04376">
            <w:pPr>
              <w:spacing w:after="0"/>
              <w:rPr>
                <w:rFonts w:ascii="Calibri" w:eastAsia="Times New Roman" w:hAnsi="Calibri" w:cs="Times New Roman"/>
                <w:color w:val="000000"/>
                <w:sz w:val="20"/>
                <w:szCs w:val="20"/>
              </w:rPr>
            </w:pPr>
            <w:r w:rsidRPr="0082790A">
              <w:rPr>
                <w:rFonts w:ascii="Calibri" w:eastAsia="Times New Roman" w:hAnsi="Calibri" w:cs="Times New Roman"/>
                <w:color w:val="000000"/>
                <w:sz w:val="20"/>
                <w:szCs w:val="20"/>
              </w:rPr>
              <w:t>Central AC</w:t>
            </w:r>
          </w:p>
        </w:tc>
        <w:tc>
          <w:tcPr>
            <w:tcW w:w="752" w:type="pct"/>
            <w:shd w:val="clear" w:color="auto" w:fill="auto"/>
            <w:vAlign w:val="center"/>
          </w:tcPr>
          <w:p w:rsidR="004C2D20" w:rsidRPr="0082790A" w:rsidRDefault="004C2D20" w:rsidP="00E04376">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w:t>
            </w:r>
          </w:p>
        </w:tc>
        <w:tc>
          <w:tcPr>
            <w:tcW w:w="1034" w:type="pct"/>
            <w:shd w:val="clear" w:color="auto" w:fill="auto"/>
            <w:vAlign w:val="center"/>
          </w:tcPr>
          <w:p w:rsidR="004C2D20" w:rsidRPr="0082790A" w:rsidRDefault="004C2D20" w:rsidP="00E04376">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2.0</w:t>
            </w:r>
          </w:p>
        </w:tc>
        <w:tc>
          <w:tcPr>
            <w:tcW w:w="990" w:type="pct"/>
            <w:shd w:val="clear" w:color="auto" w:fill="auto"/>
            <w:vAlign w:val="center"/>
          </w:tcPr>
          <w:p w:rsidR="004C2D20" w:rsidRPr="0082790A" w:rsidRDefault="004C2D20" w:rsidP="00E04376">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12.5 EER</w:t>
            </w:r>
          </w:p>
        </w:tc>
        <w:tc>
          <w:tcPr>
            <w:tcW w:w="1228" w:type="pct"/>
            <w:vAlign w:val="center"/>
          </w:tcPr>
          <w:p w:rsidR="004C2D20" w:rsidRPr="00501F38" w:rsidRDefault="004C2D20" w:rsidP="00E04376">
            <w:pPr>
              <w:spacing w:after="0"/>
              <w:rPr>
                <w:rFonts w:ascii="Calibri" w:eastAsia="Times New Roman" w:hAnsi="Calibri" w:cs="Times New Roman"/>
                <w:color w:val="000000"/>
                <w:sz w:val="20"/>
                <w:szCs w:val="20"/>
              </w:rPr>
            </w:pPr>
            <w:r w:rsidRPr="00501F38">
              <w:rPr>
                <w:rFonts w:ascii="Calibri" w:eastAsia="Times New Roman" w:hAnsi="Calibri" w:cs="Times New Roman"/>
                <w:color w:val="000000"/>
                <w:sz w:val="20"/>
                <w:szCs w:val="20"/>
              </w:rPr>
              <w:t>Engineering Algorithm</w:t>
            </w:r>
          </w:p>
        </w:tc>
      </w:tr>
    </w:tbl>
    <w:p w:rsidR="00DD03E3" w:rsidRDefault="00DD03E3" w:rsidP="00E04376">
      <w:pPr>
        <w:pStyle w:val="NormalAfterTablesandFigures"/>
      </w:pPr>
    </w:p>
    <w:p w:rsidR="00DD03E3" w:rsidRDefault="00DD03E3" w:rsidP="00DD03E3">
      <w:r>
        <w:t xml:space="preserve">The Evaluation Team estimated impacts for ductless heat pumps </w:t>
      </w:r>
      <w:r w:rsidR="00CF09AD">
        <w:t xml:space="preserve">using </w:t>
      </w:r>
      <w:r>
        <w:t>billing analysis</w:t>
      </w:r>
      <w:r w:rsidR="00CF09AD">
        <w:t xml:space="preserve"> as </w:t>
      </w:r>
      <w:r w:rsidR="00B0299C">
        <w:t>this measure</w:t>
      </w:r>
      <w:r>
        <w:t xml:space="preserve"> achieved a precision </w:t>
      </w:r>
      <w:r w:rsidR="003E3609">
        <w:t>estimate</w:t>
      </w:r>
      <w:r>
        <w:t xml:space="preserve"> of less than the </w:t>
      </w:r>
      <w:r w:rsidR="003E3609">
        <w:t>study threshold</w:t>
      </w:r>
      <w:r>
        <w:t xml:space="preserve">. </w:t>
      </w:r>
      <w:r w:rsidR="005C2163">
        <w:fldChar w:fldCharType="begin"/>
      </w:r>
      <w:r w:rsidR="00E04376">
        <w:instrText xml:space="preserve"> REF _Ref388435836 \h </w:instrText>
      </w:r>
      <w:r w:rsidR="005C2163">
        <w:fldChar w:fldCharType="separate"/>
      </w:r>
      <w:r w:rsidR="00CD20CF">
        <w:t xml:space="preserve">Table </w:t>
      </w:r>
      <w:r w:rsidR="00CD20CF">
        <w:rPr>
          <w:noProof/>
        </w:rPr>
        <w:t>55</w:t>
      </w:r>
      <w:r w:rsidR="005C2163">
        <w:fldChar w:fldCharType="end"/>
      </w:r>
      <w:r>
        <w:t xml:space="preserve"> presents the corresponding billing analysis model results. </w:t>
      </w:r>
    </w:p>
    <w:p w:rsidR="00DD03E3" w:rsidRDefault="00DD03E3" w:rsidP="00DD03E3">
      <w:pPr>
        <w:pStyle w:val="Caption"/>
      </w:pPr>
      <w:bookmarkStart w:id="106" w:name="_Ref388435836"/>
      <w:r>
        <w:t xml:space="preserve">Table </w:t>
      </w:r>
      <w:r w:rsidR="002506E1">
        <w:fldChar w:fldCharType="begin"/>
      </w:r>
      <w:r w:rsidR="002506E1">
        <w:instrText xml:space="preserve"> SEQ Table \* ARABIC </w:instrText>
      </w:r>
      <w:r w:rsidR="002506E1">
        <w:fldChar w:fldCharType="separate"/>
      </w:r>
      <w:r w:rsidR="00CD20CF">
        <w:rPr>
          <w:noProof/>
        </w:rPr>
        <w:t>55</w:t>
      </w:r>
      <w:r w:rsidR="002506E1">
        <w:rPr>
          <w:noProof/>
        </w:rPr>
        <w:fldChar w:fldCharType="end"/>
      </w:r>
      <w:bookmarkEnd w:id="106"/>
      <w:r>
        <w:t>. HES-IE</w:t>
      </w:r>
      <w:r w:rsidR="00CF09AD">
        <w:t>—</w:t>
      </w:r>
      <w:r>
        <w:t xml:space="preserve">Billing Analysis </w:t>
      </w:r>
      <w:r w:rsidR="00DD2C97">
        <w:t>Electric</w:t>
      </w:r>
      <w:r>
        <w:t xml:space="preserve"> Savings Results for Heat Pumps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08"/>
        <w:gridCol w:w="630"/>
        <w:gridCol w:w="1080"/>
        <w:gridCol w:w="1710"/>
        <w:gridCol w:w="2160"/>
        <w:gridCol w:w="2088"/>
      </w:tblGrid>
      <w:tr w:rsidR="00CC6625" w:rsidRPr="00CC6625" w:rsidTr="007462DA">
        <w:tc>
          <w:tcPr>
            <w:tcW w:w="996" w:type="pct"/>
            <w:shd w:val="clear" w:color="000000" w:fill="005DAA"/>
            <w:vAlign w:val="center"/>
            <w:hideMark/>
          </w:tcPr>
          <w:p w:rsidR="00CC6625" w:rsidRPr="00CC6625" w:rsidRDefault="00CC6625" w:rsidP="00E04376">
            <w:pPr>
              <w:spacing w:after="0"/>
              <w:jc w:val="center"/>
              <w:rPr>
                <w:rFonts w:ascii="Calibri" w:eastAsia="Times New Roman" w:hAnsi="Calibri" w:cs="Times New Roman"/>
                <w:b/>
                <w:bCs/>
                <w:color w:val="FFFFFF"/>
              </w:rPr>
            </w:pPr>
            <w:r w:rsidRPr="00CC6625">
              <w:rPr>
                <w:rFonts w:ascii="Calibri" w:eastAsia="Times New Roman" w:hAnsi="Calibri" w:cs="Times New Roman"/>
                <w:b/>
                <w:bCs/>
                <w:color w:val="FFFFFF"/>
              </w:rPr>
              <w:t>Measure</w:t>
            </w:r>
          </w:p>
        </w:tc>
        <w:tc>
          <w:tcPr>
            <w:tcW w:w="329" w:type="pct"/>
            <w:shd w:val="clear" w:color="000000" w:fill="005DAA"/>
            <w:vAlign w:val="center"/>
            <w:hideMark/>
          </w:tcPr>
          <w:p w:rsidR="00CC6625" w:rsidRPr="00CC6625" w:rsidRDefault="00CC6625" w:rsidP="00E04376">
            <w:pPr>
              <w:spacing w:after="0"/>
              <w:jc w:val="center"/>
              <w:rPr>
                <w:rFonts w:ascii="Calibri" w:eastAsia="Times New Roman" w:hAnsi="Calibri" w:cs="Times New Roman"/>
                <w:b/>
                <w:bCs/>
                <w:color w:val="FFFFFF"/>
              </w:rPr>
            </w:pPr>
            <w:r w:rsidRPr="00CC6625">
              <w:rPr>
                <w:rFonts w:ascii="Calibri" w:eastAsia="Times New Roman" w:hAnsi="Calibri" w:cs="Times New Roman"/>
                <w:b/>
                <w:bCs/>
                <w:color w:val="FFFFFF"/>
              </w:rPr>
              <w:t>n</w:t>
            </w:r>
          </w:p>
        </w:tc>
        <w:tc>
          <w:tcPr>
            <w:tcW w:w="564" w:type="pct"/>
            <w:shd w:val="clear" w:color="000000" w:fill="005DAA"/>
            <w:vAlign w:val="center"/>
            <w:hideMark/>
          </w:tcPr>
          <w:p w:rsidR="00CC6625" w:rsidRPr="00CC6625" w:rsidRDefault="00CC6625" w:rsidP="00E04376">
            <w:pPr>
              <w:spacing w:after="0"/>
              <w:jc w:val="center"/>
              <w:rPr>
                <w:rFonts w:ascii="Calibri" w:eastAsia="Times New Roman" w:hAnsi="Calibri" w:cs="Times New Roman"/>
                <w:b/>
                <w:bCs/>
                <w:color w:val="FFFFFF"/>
              </w:rPr>
            </w:pPr>
            <w:r w:rsidRPr="00CC6625">
              <w:rPr>
                <w:rFonts w:ascii="Calibri" w:eastAsia="Times New Roman" w:hAnsi="Calibri" w:cs="Times New Roman"/>
                <w:b/>
                <w:bCs/>
                <w:color w:val="FFFFFF"/>
              </w:rPr>
              <w:t>PRENAC</w:t>
            </w:r>
          </w:p>
        </w:tc>
        <w:tc>
          <w:tcPr>
            <w:tcW w:w="893" w:type="pct"/>
            <w:shd w:val="clear" w:color="000000" w:fill="005DAA"/>
            <w:vAlign w:val="center"/>
            <w:hideMark/>
          </w:tcPr>
          <w:p w:rsidR="00CC6625" w:rsidRPr="00CC6625" w:rsidRDefault="00CC6625" w:rsidP="00E04376">
            <w:pPr>
              <w:spacing w:after="0"/>
              <w:jc w:val="center"/>
              <w:rPr>
                <w:rFonts w:ascii="Calibri" w:eastAsia="Times New Roman" w:hAnsi="Calibri" w:cs="Times New Roman"/>
                <w:b/>
                <w:bCs/>
                <w:color w:val="FFFFFF"/>
              </w:rPr>
            </w:pPr>
            <w:r w:rsidRPr="00CC6625">
              <w:rPr>
                <w:rFonts w:ascii="Calibri" w:eastAsia="Times New Roman" w:hAnsi="Calibri" w:cs="Times New Roman"/>
                <w:b/>
                <w:bCs/>
                <w:color w:val="FFFFFF"/>
              </w:rPr>
              <w:t>Model Savings (kWh)</w:t>
            </w:r>
          </w:p>
        </w:tc>
        <w:tc>
          <w:tcPr>
            <w:tcW w:w="1128" w:type="pct"/>
            <w:shd w:val="clear" w:color="000000" w:fill="005DAA"/>
            <w:vAlign w:val="center"/>
            <w:hideMark/>
          </w:tcPr>
          <w:p w:rsidR="00CC6625" w:rsidRPr="00CC6625" w:rsidRDefault="00CC6625" w:rsidP="00E04376">
            <w:pPr>
              <w:spacing w:after="0"/>
              <w:jc w:val="center"/>
              <w:rPr>
                <w:rFonts w:ascii="Calibri" w:eastAsia="Times New Roman" w:hAnsi="Calibri" w:cs="Times New Roman"/>
                <w:b/>
                <w:bCs/>
                <w:color w:val="FFFFFF"/>
              </w:rPr>
            </w:pPr>
            <w:r w:rsidRPr="00CC6625">
              <w:rPr>
                <w:rFonts w:ascii="Calibri" w:eastAsia="Times New Roman" w:hAnsi="Calibri" w:cs="Times New Roman"/>
                <w:b/>
                <w:bCs/>
                <w:color w:val="FFFFFF"/>
              </w:rPr>
              <w:t>Savings as Percent of Pre-Usage</w:t>
            </w:r>
          </w:p>
        </w:tc>
        <w:tc>
          <w:tcPr>
            <w:tcW w:w="1090" w:type="pct"/>
            <w:shd w:val="clear" w:color="000000" w:fill="005DAA"/>
            <w:vAlign w:val="center"/>
            <w:hideMark/>
          </w:tcPr>
          <w:p w:rsidR="00CC6625" w:rsidRPr="00CC6625" w:rsidRDefault="0021453A" w:rsidP="00E04376">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 xml:space="preserve">Relative </w:t>
            </w:r>
            <w:r w:rsidR="00CC6625" w:rsidRPr="00CC6625">
              <w:rPr>
                <w:rFonts w:ascii="Calibri" w:eastAsia="Times New Roman" w:hAnsi="Calibri" w:cs="Times New Roman"/>
                <w:b/>
                <w:bCs/>
                <w:color w:val="FFFFFF"/>
              </w:rPr>
              <w:t xml:space="preserve">Precision </w:t>
            </w:r>
            <w:r>
              <w:rPr>
                <w:rFonts w:ascii="Calibri" w:eastAsia="Times New Roman" w:hAnsi="Calibri" w:cs="Times New Roman"/>
                <w:b/>
                <w:bCs/>
                <w:color w:val="FFFFFF"/>
              </w:rPr>
              <w:t xml:space="preserve">at </w:t>
            </w:r>
            <w:r w:rsidR="00CC6625" w:rsidRPr="00CC6625">
              <w:rPr>
                <w:rFonts w:ascii="Calibri" w:eastAsia="Times New Roman" w:hAnsi="Calibri" w:cs="Times New Roman"/>
                <w:b/>
                <w:bCs/>
                <w:color w:val="FFFFFF"/>
              </w:rPr>
              <w:t>90%</w:t>
            </w:r>
          </w:p>
        </w:tc>
      </w:tr>
      <w:tr w:rsidR="00CC6625" w:rsidRPr="00CC6625" w:rsidTr="007462DA">
        <w:tc>
          <w:tcPr>
            <w:tcW w:w="996" w:type="pct"/>
            <w:shd w:val="clear" w:color="auto" w:fill="auto"/>
            <w:vAlign w:val="center"/>
            <w:hideMark/>
          </w:tcPr>
          <w:p w:rsidR="00CC6625" w:rsidRPr="00CC6625" w:rsidRDefault="00CC6625" w:rsidP="00E04376">
            <w:pPr>
              <w:spacing w:after="0"/>
              <w:rPr>
                <w:rFonts w:ascii="Calibri" w:eastAsia="Times New Roman" w:hAnsi="Calibri" w:cs="Times New Roman"/>
                <w:color w:val="000000"/>
                <w:sz w:val="20"/>
                <w:szCs w:val="20"/>
              </w:rPr>
            </w:pPr>
            <w:r w:rsidRPr="00CC6625">
              <w:rPr>
                <w:rFonts w:ascii="Calibri" w:eastAsia="Times New Roman" w:hAnsi="Calibri" w:cs="Times New Roman"/>
                <w:color w:val="000000"/>
                <w:sz w:val="20"/>
                <w:szCs w:val="20"/>
              </w:rPr>
              <w:t>Ductless Heat Pump</w:t>
            </w:r>
          </w:p>
        </w:tc>
        <w:tc>
          <w:tcPr>
            <w:tcW w:w="329" w:type="pct"/>
            <w:shd w:val="clear" w:color="auto" w:fill="auto"/>
            <w:vAlign w:val="center"/>
            <w:hideMark/>
          </w:tcPr>
          <w:p w:rsidR="00CC6625" w:rsidRPr="00CC6625" w:rsidRDefault="00B0299C" w:rsidP="00E04376">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815</w:t>
            </w:r>
          </w:p>
        </w:tc>
        <w:tc>
          <w:tcPr>
            <w:tcW w:w="564" w:type="pct"/>
            <w:shd w:val="clear" w:color="auto" w:fill="auto"/>
            <w:vAlign w:val="center"/>
            <w:hideMark/>
          </w:tcPr>
          <w:p w:rsidR="00CC6625" w:rsidRPr="00CC6625" w:rsidRDefault="00CC6625" w:rsidP="00B0299C">
            <w:pPr>
              <w:spacing w:after="0"/>
              <w:jc w:val="right"/>
              <w:rPr>
                <w:rFonts w:ascii="Calibri" w:eastAsia="Times New Roman" w:hAnsi="Calibri" w:cs="Times New Roman"/>
                <w:color w:val="000000"/>
                <w:sz w:val="20"/>
                <w:szCs w:val="20"/>
              </w:rPr>
            </w:pPr>
            <w:r w:rsidRPr="00CC6625">
              <w:rPr>
                <w:rFonts w:ascii="Calibri" w:eastAsia="Times New Roman" w:hAnsi="Calibri" w:cs="Times New Roman"/>
                <w:color w:val="000000"/>
                <w:sz w:val="20"/>
                <w:szCs w:val="20"/>
              </w:rPr>
              <w:t>7,</w:t>
            </w:r>
            <w:r w:rsidR="00B0299C">
              <w:rPr>
                <w:rFonts w:ascii="Calibri" w:eastAsia="Times New Roman" w:hAnsi="Calibri" w:cs="Times New Roman"/>
                <w:color w:val="000000"/>
                <w:sz w:val="20"/>
                <w:szCs w:val="20"/>
              </w:rPr>
              <w:t>488</w:t>
            </w:r>
          </w:p>
        </w:tc>
        <w:tc>
          <w:tcPr>
            <w:tcW w:w="893" w:type="pct"/>
            <w:shd w:val="clear" w:color="auto" w:fill="auto"/>
            <w:vAlign w:val="center"/>
            <w:hideMark/>
          </w:tcPr>
          <w:p w:rsidR="00CC6625" w:rsidRPr="00CC6625" w:rsidRDefault="00B0299C" w:rsidP="00E04376">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803</w:t>
            </w:r>
          </w:p>
        </w:tc>
        <w:tc>
          <w:tcPr>
            <w:tcW w:w="1128" w:type="pct"/>
            <w:shd w:val="clear" w:color="auto" w:fill="auto"/>
            <w:vAlign w:val="center"/>
            <w:hideMark/>
          </w:tcPr>
          <w:p w:rsidR="00CC6625" w:rsidRPr="00CC6625" w:rsidRDefault="00B0299C" w:rsidP="00E04376">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11</w:t>
            </w:r>
            <w:r w:rsidR="00CC6625" w:rsidRPr="00CC6625">
              <w:rPr>
                <w:rFonts w:ascii="Calibri" w:eastAsia="Times New Roman" w:hAnsi="Calibri" w:cs="Times New Roman"/>
                <w:color w:val="000000"/>
                <w:sz w:val="20"/>
                <w:szCs w:val="20"/>
              </w:rPr>
              <w:t>%</w:t>
            </w:r>
          </w:p>
        </w:tc>
        <w:tc>
          <w:tcPr>
            <w:tcW w:w="1090" w:type="pct"/>
            <w:shd w:val="clear" w:color="auto" w:fill="auto"/>
            <w:vAlign w:val="center"/>
            <w:hideMark/>
          </w:tcPr>
          <w:p w:rsidR="00CC6625" w:rsidRPr="00CC6625" w:rsidRDefault="0021453A" w:rsidP="00D35611">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CC6625" w:rsidRPr="00CC6625">
              <w:rPr>
                <w:rFonts w:ascii="Calibri" w:eastAsia="Times New Roman" w:hAnsi="Calibri" w:cs="Times New Roman"/>
                <w:color w:val="000000"/>
                <w:sz w:val="20"/>
                <w:szCs w:val="20"/>
              </w:rPr>
              <w:t>3</w:t>
            </w:r>
            <w:r w:rsidR="00D35611">
              <w:rPr>
                <w:rFonts w:ascii="Calibri" w:eastAsia="Times New Roman" w:hAnsi="Calibri" w:cs="Times New Roman"/>
                <w:color w:val="000000"/>
                <w:sz w:val="20"/>
                <w:szCs w:val="20"/>
              </w:rPr>
              <w:t>2</w:t>
            </w:r>
            <w:r w:rsidR="00CC6625" w:rsidRPr="00CC6625">
              <w:rPr>
                <w:rFonts w:ascii="Calibri" w:eastAsia="Times New Roman" w:hAnsi="Calibri" w:cs="Times New Roman"/>
                <w:color w:val="000000"/>
                <w:sz w:val="20"/>
                <w:szCs w:val="20"/>
              </w:rPr>
              <w:t>%</w:t>
            </w:r>
          </w:p>
        </w:tc>
      </w:tr>
    </w:tbl>
    <w:p w:rsidR="00DD03E3" w:rsidRDefault="00DD03E3" w:rsidP="00E04376">
      <w:pPr>
        <w:pStyle w:val="NormalAfterTablesandFigures"/>
      </w:pPr>
    </w:p>
    <w:p w:rsidR="00DD03E3" w:rsidRPr="000E6110" w:rsidRDefault="005C2163" w:rsidP="00DD03E3">
      <w:r>
        <w:fldChar w:fldCharType="begin"/>
      </w:r>
      <w:r w:rsidR="00E04376">
        <w:instrText xml:space="preserve"> REF _Ref388435934 \h </w:instrText>
      </w:r>
      <w:r>
        <w:fldChar w:fldCharType="separate"/>
      </w:r>
      <w:r w:rsidR="00CD20CF">
        <w:t xml:space="preserve">Table </w:t>
      </w:r>
      <w:r w:rsidR="00CD20CF">
        <w:rPr>
          <w:noProof/>
        </w:rPr>
        <w:t>56</w:t>
      </w:r>
      <w:r>
        <w:fldChar w:fldCharType="end"/>
      </w:r>
      <w:r w:rsidR="00DD03E3">
        <w:t xml:space="preserve"> provides realization rates based on comparing the evaluated savings to the average </w:t>
      </w:r>
      <w:r w:rsidR="00DD03E3" w:rsidRPr="004E7EA6">
        <w:rPr>
          <w:i/>
        </w:rPr>
        <w:t>ex ante</w:t>
      </w:r>
      <w:r w:rsidR="00DD03E3">
        <w:t xml:space="preserve"> savings per household.</w:t>
      </w:r>
    </w:p>
    <w:p w:rsidR="00DD03E3" w:rsidRDefault="00DD03E3" w:rsidP="001D5EAA">
      <w:pPr>
        <w:pStyle w:val="Caption"/>
      </w:pPr>
      <w:bookmarkStart w:id="107" w:name="_Ref388435934"/>
      <w:r>
        <w:t xml:space="preserve">Table </w:t>
      </w:r>
      <w:r w:rsidR="002506E1">
        <w:fldChar w:fldCharType="begin"/>
      </w:r>
      <w:r w:rsidR="002506E1">
        <w:instrText xml:space="preserve"> SEQ Table \* ARABIC </w:instrText>
      </w:r>
      <w:r w:rsidR="002506E1">
        <w:fldChar w:fldCharType="separate"/>
      </w:r>
      <w:r w:rsidR="00CD20CF">
        <w:rPr>
          <w:noProof/>
        </w:rPr>
        <w:t>56</w:t>
      </w:r>
      <w:r w:rsidR="002506E1">
        <w:rPr>
          <w:noProof/>
        </w:rPr>
        <w:fldChar w:fldCharType="end"/>
      </w:r>
      <w:bookmarkEnd w:id="107"/>
      <w:r>
        <w:t>. HES-IE</w:t>
      </w:r>
      <w:r w:rsidR="00CF09AD">
        <w:t>—</w:t>
      </w:r>
      <w:r>
        <w:t>Realization Rate Summary for HVAC Measures</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88"/>
        <w:gridCol w:w="2520"/>
        <w:gridCol w:w="2790"/>
        <w:gridCol w:w="2178"/>
      </w:tblGrid>
      <w:tr w:rsidR="00DD03E3" w:rsidRPr="0082790A" w:rsidTr="007462DA">
        <w:tc>
          <w:tcPr>
            <w:tcW w:w="1090" w:type="pct"/>
            <w:shd w:val="clear" w:color="000000" w:fill="005DAA"/>
            <w:vAlign w:val="center"/>
            <w:hideMark/>
          </w:tcPr>
          <w:p w:rsidR="00DD03E3" w:rsidRPr="0082790A" w:rsidRDefault="00DD03E3" w:rsidP="00E04376">
            <w:pPr>
              <w:spacing w:after="0"/>
              <w:jc w:val="center"/>
              <w:rPr>
                <w:rFonts w:ascii="Calibri" w:eastAsia="Times New Roman" w:hAnsi="Calibri" w:cs="Times New Roman"/>
                <w:b/>
                <w:bCs/>
                <w:color w:val="FFFFFF"/>
              </w:rPr>
            </w:pPr>
            <w:r w:rsidRPr="0082790A">
              <w:rPr>
                <w:rFonts w:ascii="Calibri" w:eastAsia="Times New Roman" w:hAnsi="Calibri" w:cs="Times New Roman"/>
                <w:b/>
                <w:bCs/>
                <w:color w:val="FFFFFF"/>
              </w:rPr>
              <w:t>Measure</w:t>
            </w:r>
          </w:p>
        </w:tc>
        <w:tc>
          <w:tcPr>
            <w:tcW w:w="1316" w:type="pct"/>
            <w:shd w:val="clear" w:color="000000" w:fill="005DAA"/>
            <w:vAlign w:val="center"/>
            <w:hideMark/>
          </w:tcPr>
          <w:p w:rsidR="00DD03E3" w:rsidRPr="0082790A" w:rsidRDefault="00EC4163" w:rsidP="00E04376">
            <w:pPr>
              <w:spacing w:after="0"/>
              <w:jc w:val="center"/>
              <w:rPr>
                <w:rFonts w:ascii="Calibri" w:eastAsia="Times New Roman" w:hAnsi="Calibri" w:cs="Times New Roman"/>
                <w:b/>
                <w:bCs/>
                <w:color w:val="FFFFFF"/>
              </w:rPr>
            </w:pPr>
            <w:r w:rsidRPr="00CF09AD">
              <w:rPr>
                <w:rFonts w:ascii="Calibri" w:eastAsia="Times New Roman" w:hAnsi="Calibri" w:cs="Times New Roman"/>
                <w:b/>
                <w:bCs/>
                <w:i/>
                <w:color w:val="FFFFFF"/>
              </w:rPr>
              <w:t>Ex Ante</w:t>
            </w:r>
            <w:r w:rsidR="00DD03E3" w:rsidRPr="0082790A">
              <w:rPr>
                <w:rFonts w:ascii="Calibri" w:eastAsia="Times New Roman" w:hAnsi="Calibri" w:cs="Times New Roman"/>
                <w:b/>
                <w:bCs/>
                <w:color w:val="FFFFFF"/>
              </w:rPr>
              <w:t xml:space="preserve"> Household Savings (kWh)</w:t>
            </w:r>
          </w:p>
        </w:tc>
        <w:tc>
          <w:tcPr>
            <w:tcW w:w="1457" w:type="pct"/>
            <w:shd w:val="clear" w:color="000000" w:fill="005DAA"/>
            <w:vAlign w:val="center"/>
            <w:hideMark/>
          </w:tcPr>
          <w:p w:rsidR="00DD03E3" w:rsidRPr="0082790A" w:rsidRDefault="00AE7AC1" w:rsidP="00E04376">
            <w:pPr>
              <w:spacing w:after="0"/>
              <w:jc w:val="center"/>
              <w:rPr>
                <w:rFonts w:ascii="Calibri" w:eastAsia="Times New Roman" w:hAnsi="Calibri" w:cs="Times New Roman"/>
                <w:b/>
                <w:bCs/>
                <w:color w:val="FFFFFF"/>
              </w:rPr>
            </w:pPr>
            <w:r w:rsidRPr="00AE7AC1">
              <w:rPr>
                <w:rFonts w:ascii="Calibri" w:eastAsia="Times New Roman" w:hAnsi="Calibri" w:cs="Times New Roman"/>
                <w:b/>
                <w:bCs/>
                <w:color w:val="FFFFFF"/>
              </w:rPr>
              <w:t>Evaluated Gross</w:t>
            </w:r>
            <w:r>
              <w:rPr>
                <w:rFonts w:ascii="Calibri" w:eastAsia="Times New Roman" w:hAnsi="Calibri" w:cs="Times New Roman"/>
                <w:b/>
                <w:bCs/>
                <w:i/>
                <w:color w:val="FFFFFF"/>
              </w:rPr>
              <w:t xml:space="preserve"> </w:t>
            </w:r>
            <w:r w:rsidR="00DD03E3" w:rsidRPr="0082790A">
              <w:rPr>
                <w:rFonts w:ascii="Calibri" w:eastAsia="Times New Roman" w:hAnsi="Calibri" w:cs="Times New Roman"/>
                <w:b/>
                <w:bCs/>
                <w:color w:val="FFFFFF"/>
              </w:rPr>
              <w:t>Household Savings (kWh)</w:t>
            </w:r>
          </w:p>
        </w:tc>
        <w:tc>
          <w:tcPr>
            <w:tcW w:w="1137" w:type="pct"/>
            <w:shd w:val="clear" w:color="000000" w:fill="005DAA"/>
            <w:vAlign w:val="center"/>
            <w:hideMark/>
          </w:tcPr>
          <w:p w:rsidR="00DD03E3" w:rsidRPr="0082790A" w:rsidRDefault="00DD03E3" w:rsidP="00E04376">
            <w:pPr>
              <w:spacing w:after="0"/>
              <w:jc w:val="center"/>
              <w:rPr>
                <w:rFonts w:ascii="Calibri" w:eastAsia="Times New Roman" w:hAnsi="Calibri" w:cs="Times New Roman"/>
                <w:b/>
                <w:bCs/>
                <w:color w:val="FFFFFF"/>
              </w:rPr>
            </w:pPr>
            <w:r w:rsidRPr="0082790A">
              <w:rPr>
                <w:rFonts w:ascii="Calibri" w:eastAsia="Times New Roman" w:hAnsi="Calibri" w:cs="Times New Roman"/>
                <w:b/>
                <w:bCs/>
                <w:color w:val="FFFFFF"/>
              </w:rPr>
              <w:t>Realization Rate</w:t>
            </w:r>
          </w:p>
        </w:tc>
      </w:tr>
      <w:tr w:rsidR="00CC6625" w:rsidRPr="0082790A" w:rsidTr="007462DA">
        <w:tc>
          <w:tcPr>
            <w:tcW w:w="1090" w:type="pct"/>
            <w:shd w:val="clear" w:color="auto" w:fill="auto"/>
            <w:vAlign w:val="center"/>
          </w:tcPr>
          <w:p w:rsidR="00CC6625" w:rsidRDefault="00CC6625" w:rsidP="00E04376">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Ductless Heat Pump*</w:t>
            </w:r>
          </w:p>
        </w:tc>
        <w:tc>
          <w:tcPr>
            <w:tcW w:w="1316" w:type="pct"/>
            <w:shd w:val="clear" w:color="auto" w:fill="auto"/>
            <w:vAlign w:val="center"/>
          </w:tcPr>
          <w:p w:rsidR="00CC6625" w:rsidRPr="0082790A" w:rsidRDefault="00CC6625" w:rsidP="00B0299C">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1,7</w:t>
            </w:r>
            <w:r w:rsidR="00B0299C">
              <w:rPr>
                <w:rFonts w:ascii="Calibri" w:eastAsia="Times New Roman" w:hAnsi="Calibri" w:cs="Times New Roman"/>
                <w:color w:val="000000"/>
                <w:sz w:val="20"/>
                <w:szCs w:val="20"/>
              </w:rPr>
              <w:t>31</w:t>
            </w:r>
          </w:p>
        </w:tc>
        <w:tc>
          <w:tcPr>
            <w:tcW w:w="1457" w:type="pct"/>
            <w:shd w:val="clear" w:color="auto" w:fill="auto"/>
            <w:vAlign w:val="center"/>
          </w:tcPr>
          <w:p w:rsidR="00CC6625" w:rsidRPr="0082790A" w:rsidRDefault="00B0299C" w:rsidP="00E04376">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803</w:t>
            </w:r>
          </w:p>
        </w:tc>
        <w:tc>
          <w:tcPr>
            <w:tcW w:w="1137" w:type="pct"/>
            <w:shd w:val="clear" w:color="auto" w:fill="auto"/>
            <w:vAlign w:val="center"/>
          </w:tcPr>
          <w:p w:rsidR="00CC6625" w:rsidRPr="0082790A" w:rsidRDefault="00B0299C" w:rsidP="00E04376">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46</w:t>
            </w:r>
            <w:r w:rsidR="00CC6625">
              <w:rPr>
                <w:rFonts w:ascii="Calibri" w:eastAsia="Times New Roman" w:hAnsi="Calibri" w:cs="Times New Roman"/>
                <w:color w:val="000000"/>
                <w:sz w:val="20"/>
                <w:szCs w:val="20"/>
              </w:rPr>
              <w:t>%</w:t>
            </w:r>
          </w:p>
        </w:tc>
      </w:tr>
      <w:tr w:rsidR="004C2D20" w:rsidRPr="0082790A" w:rsidTr="007462DA">
        <w:tc>
          <w:tcPr>
            <w:tcW w:w="1090" w:type="pct"/>
            <w:shd w:val="clear" w:color="auto" w:fill="auto"/>
            <w:vAlign w:val="center"/>
            <w:hideMark/>
          </w:tcPr>
          <w:p w:rsidR="004C2D20" w:rsidRPr="0082790A" w:rsidRDefault="004C2D20" w:rsidP="00E04376">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Window AC</w:t>
            </w:r>
          </w:p>
        </w:tc>
        <w:tc>
          <w:tcPr>
            <w:tcW w:w="1316" w:type="pct"/>
            <w:shd w:val="clear" w:color="auto" w:fill="auto"/>
            <w:vAlign w:val="center"/>
          </w:tcPr>
          <w:p w:rsidR="004C2D20" w:rsidRPr="0082790A" w:rsidRDefault="004C2D20" w:rsidP="00E04376">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93.9</w:t>
            </w:r>
          </w:p>
        </w:tc>
        <w:tc>
          <w:tcPr>
            <w:tcW w:w="1457" w:type="pct"/>
            <w:shd w:val="clear" w:color="auto" w:fill="auto"/>
            <w:vAlign w:val="center"/>
          </w:tcPr>
          <w:p w:rsidR="004C2D20" w:rsidRPr="0082790A" w:rsidRDefault="004C2D20" w:rsidP="00E04376">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46.4</w:t>
            </w:r>
          </w:p>
        </w:tc>
        <w:tc>
          <w:tcPr>
            <w:tcW w:w="1137" w:type="pct"/>
            <w:shd w:val="clear" w:color="auto" w:fill="auto"/>
            <w:vAlign w:val="center"/>
          </w:tcPr>
          <w:p w:rsidR="004C2D20" w:rsidRPr="0082790A" w:rsidRDefault="004C2D20" w:rsidP="00E04376">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49%</w:t>
            </w:r>
          </w:p>
        </w:tc>
      </w:tr>
      <w:tr w:rsidR="004C2D20" w:rsidRPr="0082790A" w:rsidTr="007462DA">
        <w:tc>
          <w:tcPr>
            <w:tcW w:w="1090" w:type="pct"/>
            <w:shd w:val="clear" w:color="auto" w:fill="auto"/>
            <w:vAlign w:val="center"/>
            <w:hideMark/>
          </w:tcPr>
          <w:p w:rsidR="004C2D20" w:rsidRPr="0082790A" w:rsidRDefault="004C2D20" w:rsidP="00E04376">
            <w:pPr>
              <w:spacing w:after="0"/>
              <w:rPr>
                <w:rFonts w:ascii="Calibri" w:eastAsia="Times New Roman" w:hAnsi="Calibri" w:cs="Times New Roman"/>
                <w:color w:val="000000"/>
                <w:sz w:val="20"/>
                <w:szCs w:val="20"/>
              </w:rPr>
            </w:pPr>
            <w:r w:rsidRPr="0082790A">
              <w:rPr>
                <w:rFonts w:ascii="Calibri" w:eastAsia="Times New Roman" w:hAnsi="Calibri" w:cs="Times New Roman"/>
                <w:color w:val="000000"/>
                <w:sz w:val="20"/>
                <w:szCs w:val="20"/>
              </w:rPr>
              <w:t>Central AC</w:t>
            </w:r>
          </w:p>
        </w:tc>
        <w:tc>
          <w:tcPr>
            <w:tcW w:w="1316" w:type="pct"/>
            <w:shd w:val="clear" w:color="auto" w:fill="auto"/>
            <w:vAlign w:val="center"/>
          </w:tcPr>
          <w:p w:rsidR="004C2D20" w:rsidRPr="0082790A" w:rsidRDefault="004C2D20" w:rsidP="00E04376">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98.0</w:t>
            </w:r>
          </w:p>
        </w:tc>
        <w:tc>
          <w:tcPr>
            <w:tcW w:w="1457" w:type="pct"/>
            <w:shd w:val="clear" w:color="auto" w:fill="auto"/>
            <w:vAlign w:val="center"/>
          </w:tcPr>
          <w:p w:rsidR="004C2D20" w:rsidRPr="0082790A" w:rsidRDefault="004C2D20" w:rsidP="00E04376">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97.5</w:t>
            </w:r>
          </w:p>
        </w:tc>
        <w:tc>
          <w:tcPr>
            <w:tcW w:w="1137" w:type="pct"/>
            <w:shd w:val="clear" w:color="auto" w:fill="auto"/>
            <w:vAlign w:val="center"/>
          </w:tcPr>
          <w:p w:rsidR="004C2D20" w:rsidRPr="0082790A" w:rsidRDefault="004C2D20" w:rsidP="00E04376">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p>
        </w:tc>
      </w:tr>
    </w:tbl>
    <w:p w:rsidR="00DD03E3" w:rsidRPr="00E04376" w:rsidRDefault="00DD03E3" w:rsidP="007462DA">
      <w:pPr>
        <w:spacing w:after="0" w:line="240" w:lineRule="auto"/>
        <w:ind w:left="90" w:hanging="90"/>
        <w:rPr>
          <w:sz w:val="20"/>
          <w:szCs w:val="20"/>
        </w:rPr>
      </w:pPr>
      <w:r w:rsidRPr="00E04376">
        <w:rPr>
          <w:sz w:val="20"/>
          <w:szCs w:val="20"/>
        </w:rPr>
        <w:t>*</w:t>
      </w:r>
      <w:r w:rsidR="00CF09AD">
        <w:rPr>
          <w:sz w:val="20"/>
          <w:szCs w:val="20"/>
        </w:rPr>
        <w:t>S</w:t>
      </w:r>
      <w:r w:rsidRPr="00E04376">
        <w:rPr>
          <w:sz w:val="20"/>
          <w:szCs w:val="20"/>
        </w:rPr>
        <w:t xml:space="preserve">avings estimates </w:t>
      </w:r>
      <w:r w:rsidR="00825111">
        <w:rPr>
          <w:sz w:val="20"/>
          <w:szCs w:val="20"/>
        </w:rPr>
        <w:t xml:space="preserve">were </w:t>
      </w:r>
      <w:r w:rsidRPr="00E04376">
        <w:rPr>
          <w:sz w:val="20"/>
          <w:szCs w:val="20"/>
        </w:rPr>
        <w:t>determined through billing analysis and based on the analysis sample</w:t>
      </w:r>
      <w:r w:rsidR="00CF09AD">
        <w:rPr>
          <w:sz w:val="20"/>
          <w:szCs w:val="20"/>
        </w:rPr>
        <w:t>;</w:t>
      </w:r>
      <w:r w:rsidR="00AE7AC1">
        <w:rPr>
          <w:sz w:val="20"/>
          <w:szCs w:val="20"/>
        </w:rPr>
        <w:t xml:space="preserve"> </w:t>
      </w:r>
      <w:r w:rsidR="00CF09AD">
        <w:rPr>
          <w:sz w:val="20"/>
          <w:szCs w:val="20"/>
        </w:rPr>
        <w:t>a</w:t>
      </w:r>
      <w:r w:rsidRPr="00E04376">
        <w:rPr>
          <w:sz w:val="20"/>
          <w:szCs w:val="20"/>
        </w:rPr>
        <w:t xml:space="preserve">ll other savings values were determined through engineering algorithms and </w:t>
      </w:r>
      <w:r w:rsidR="00CF09AD">
        <w:rPr>
          <w:sz w:val="20"/>
          <w:szCs w:val="20"/>
        </w:rPr>
        <w:t xml:space="preserve">were </w:t>
      </w:r>
      <w:r w:rsidRPr="00E04376">
        <w:rPr>
          <w:sz w:val="20"/>
          <w:szCs w:val="20"/>
        </w:rPr>
        <w:t>based on the program population.</w:t>
      </w:r>
    </w:p>
    <w:p w:rsidR="00E04376" w:rsidRDefault="00E04376" w:rsidP="00E04376">
      <w:pPr>
        <w:pStyle w:val="NormalAfterTablesandFigures"/>
      </w:pPr>
    </w:p>
    <w:p w:rsidR="00816010" w:rsidRDefault="00DD03E3" w:rsidP="00E04376">
      <w:r>
        <w:t xml:space="preserve">For ductless measures, the Evaluation Team performed an engineering review and </w:t>
      </w:r>
      <w:r w:rsidR="00825111">
        <w:t xml:space="preserve">a </w:t>
      </w:r>
      <w:r>
        <w:t xml:space="preserve">comparison against a range of other sources (including evaluation studies and TRMs). </w:t>
      </w:r>
      <w:r w:rsidR="002506E1">
        <w:fldChar w:fldCharType="begin"/>
      </w:r>
      <w:r w:rsidR="002506E1">
        <w:instrText xml:space="preserve"> REF _Ref388169250 \h  \* MERGEFORMAT </w:instrText>
      </w:r>
      <w:r w:rsidR="002506E1">
        <w:fldChar w:fldCharType="separate"/>
      </w:r>
      <w:r w:rsidR="00CD20CF">
        <w:t>Appendix B. Engineering Algorithms</w:t>
      </w:r>
      <w:r w:rsidR="002506E1">
        <w:fldChar w:fldCharType="end"/>
      </w:r>
      <w:r w:rsidR="00CF09AD" w:rsidRPr="00CF09AD">
        <w:t xml:space="preserve"> </w:t>
      </w:r>
      <w:r w:rsidR="00CF09AD">
        <w:t>presents these detailed findings</w:t>
      </w:r>
      <w:r>
        <w:t>.</w:t>
      </w:r>
      <w:r w:rsidR="00CA3766">
        <w:t xml:space="preserve"> </w:t>
      </w:r>
      <w:r w:rsidR="00816010">
        <w:t xml:space="preserve">While </w:t>
      </w:r>
      <w:r w:rsidR="00816010" w:rsidRPr="00816010">
        <w:rPr>
          <w:i/>
        </w:rPr>
        <w:t>ex ante</w:t>
      </w:r>
      <w:r w:rsidR="00816010">
        <w:t xml:space="preserve"> savings estimates </w:t>
      </w:r>
      <w:r w:rsidR="0028603F">
        <w:t>were</w:t>
      </w:r>
      <w:r w:rsidR="00816010">
        <w:t xml:space="preserve"> consistent with several other studies, evaluated savings more </w:t>
      </w:r>
      <w:r w:rsidR="0028603F">
        <w:t xml:space="preserve">closely resembled </w:t>
      </w:r>
      <w:r w:rsidR="00816010">
        <w:t xml:space="preserve">a ductless heat pump study and billing analysis </w:t>
      </w:r>
      <w:r w:rsidR="00816010">
        <w:lastRenderedPageBreak/>
        <w:t xml:space="preserve">performed by Ecotope for </w:t>
      </w:r>
      <w:r w:rsidR="0028603F">
        <w:t xml:space="preserve">the </w:t>
      </w:r>
      <w:r w:rsidR="00816010">
        <w:t>Bonneville Power Administration</w:t>
      </w:r>
      <w:r w:rsidR="0028603F">
        <w:t xml:space="preserve"> </w:t>
      </w:r>
      <w:r w:rsidR="00816010">
        <w:t>(BPA).</w:t>
      </w:r>
      <w:r w:rsidR="00816010">
        <w:rPr>
          <w:rStyle w:val="FootnoteReference"/>
        </w:rPr>
        <w:footnoteReference w:id="30"/>
      </w:r>
      <w:r w:rsidR="00816010">
        <w:t xml:space="preserve"> This study focused on ductless heat pump installations in multifamily buildings and identified increased take-back </w:t>
      </w:r>
      <w:r w:rsidR="00710A32">
        <w:t>effects, which</w:t>
      </w:r>
      <w:r w:rsidR="00816010">
        <w:t xml:space="preserve"> </w:t>
      </w:r>
      <w:r w:rsidR="00710A32">
        <w:t>likely resulted in lower evaluated savings compared to planning estimates</w:t>
      </w:r>
      <w:r w:rsidR="00816010">
        <w:t xml:space="preserve">. These findings </w:t>
      </w:r>
      <w:r w:rsidR="0028603F">
        <w:t>were</w:t>
      </w:r>
      <w:r w:rsidR="00816010">
        <w:t xml:space="preserve"> similar to those estimated through the current billing analysis and reflect</w:t>
      </w:r>
      <w:r w:rsidR="00890D41">
        <w:t>ed</w:t>
      </w:r>
      <w:r w:rsidR="00816010">
        <w:t xml:space="preserve"> the Evaluation Team’s whole-house billing analysis results, </w:t>
      </w:r>
      <w:r w:rsidR="00890D41">
        <w:t xml:space="preserve">suggesting </w:t>
      </w:r>
      <w:r w:rsidR="00816010">
        <w:t xml:space="preserve">lower realization rates for ductless heat pumps in multifamily buildings </w:t>
      </w:r>
      <w:r w:rsidR="0028603F">
        <w:t xml:space="preserve">likely played a key role </w:t>
      </w:r>
      <w:r w:rsidR="00816010">
        <w:t>in the overall program realization rate for HES-IE electric savings.</w:t>
      </w:r>
    </w:p>
    <w:p w:rsidR="000B1333" w:rsidRDefault="000B1333" w:rsidP="00E04376">
      <w:r>
        <w:t>T</w:t>
      </w:r>
      <w:r w:rsidR="004C2D20" w:rsidRPr="004C2D20">
        <w:t xml:space="preserve">he primary driver of realizations </w:t>
      </w:r>
      <w:r w:rsidR="00261F0B">
        <w:t xml:space="preserve">rates </w:t>
      </w:r>
      <w:r>
        <w:t xml:space="preserve">for window AC installations </w:t>
      </w:r>
      <w:r w:rsidR="00261F0B">
        <w:t>reflect</w:t>
      </w:r>
      <w:r w:rsidR="00825111">
        <w:t>ed</w:t>
      </w:r>
      <w:r w:rsidR="00211E27">
        <w:t xml:space="preserve"> the significantly lower </w:t>
      </w:r>
      <w:r w:rsidR="004C2D20" w:rsidRPr="004C2D20">
        <w:t xml:space="preserve">efficiency of </w:t>
      </w:r>
      <w:r w:rsidR="004C2D20">
        <w:t>installed units than the assumed efficiency of new unit installations outlined in the 2011 PSD.</w:t>
      </w:r>
      <w:r w:rsidR="00DE1457">
        <w:t xml:space="preserve"> </w:t>
      </w:r>
      <w:r w:rsidR="004C2D20">
        <w:t>The PSD assume</w:t>
      </w:r>
      <w:r w:rsidR="00825111">
        <w:t>d</w:t>
      </w:r>
      <w:r w:rsidR="004C2D20">
        <w:t xml:space="preserve"> newly installed units </w:t>
      </w:r>
      <w:r w:rsidR="00825111">
        <w:t xml:space="preserve">would </w:t>
      </w:r>
      <w:r w:rsidR="004C2D20">
        <w:t>be CEE Tier 1 or Tier 2 efficienc</w:t>
      </w:r>
      <w:r w:rsidR="00211E27">
        <w:t>ies</w:t>
      </w:r>
      <w:r w:rsidR="004C2D20">
        <w:t>.</w:t>
      </w:r>
      <w:r w:rsidR="00DE1457">
        <w:t xml:space="preserve"> </w:t>
      </w:r>
    </w:p>
    <w:p w:rsidR="00DD03E3" w:rsidRDefault="004C2D20" w:rsidP="00E04376">
      <w:r>
        <w:t xml:space="preserve">The </w:t>
      </w:r>
      <w:r w:rsidR="004F54B9">
        <w:t xml:space="preserve">Evaluation Team </w:t>
      </w:r>
      <w:r>
        <w:t xml:space="preserve">found </w:t>
      </w:r>
      <w:r w:rsidR="00583456">
        <w:t xml:space="preserve">many cases where </w:t>
      </w:r>
      <w:r>
        <w:t xml:space="preserve">installed units </w:t>
      </w:r>
      <w:r w:rsidR="00583456">
        <w:t xml:space="preserve">were </w:t>
      </w:r>
      <w:r>
        <w:t>actually less efficient than th</w:t>
      </w:r>
      <w:r w:rsidR="00583456">
        <w:t>e</w:t>
      </w:r>
      <w:r>
        <w:t xml:space="preserve"> </w:t>
      </w:r>
      <w:r w:rsidR="00583456">
        <w:t xml:space="preserve">PSD </w:t>
      </w:r>
      <w:r>
        <w:t>assumption.</w:t>
      </w:r>
      <w:r w:rsidR="00DE1457">
        <w:t xml:space="preserve"> </w:t>
      </w:r>
      <w:r w:rsidR="00211E27">
        <w:t xml:space="preserve">Program tracked data indicated an </w:t>
      </w:r>
      <w:r>
        <w:t>average</w:t>
      </w:r>
      <w:r w:rsidR="00211E27">
        <w:t>, evaluated</w:t>
      </w:r>
      <w:r>
        <w:t xml:space="preserve"> EER value </w:t>
      </w:r>
      <w:r w:rsidR="00211E27">
        <w:t xml:space="preserve">of </w:t>
      </w:r>
      <w:r>
        <w:t>10.4, fall</w:t>
      </w:r>
      <w:r w:rsidR="00211E27">
        <w:t>ing</w:t>
      </w:r>
      <w:r>
        <w:t xml:space="preserve"> roughly halfway between the Federal Standard baseline</w:t>
      </w:r>
      <w:r w:rsidR="00211E27">
        <w:t xml:space="preserve"> </w:t>
      </w:r>
      <w:r>
        <w:t>and the efficient condition of CEE Tier 1.</w:t>
      </w:r>
      <w:r w:rsidR="00DE1457">
        <w:t xml:space="preserve"> </w:t>
      </w:r>
      <w:r w:rsidR="00211E27">
        <w:t xml:space="preserve">The </w:t>
      </w:r>
      <w:r>
        <w:t xml:space="preserve">algorithm </w:t>
      </w:r>
      <w:r w:rsidR="00211E27">
        <w:t xml:space="preserve">did not change </w:t>
      </w:r>
      <w:r>
        <w:t xml:space="preserve">from the 2011 PSD to the 2013 PSD, and baseline units </w:t>
      </w:r>
      <w:r w:rsidR="00211E27">
        <w:t>were</w:t>
      </w:r>
      <w:r>
        <w:t xml:space="preserve"> evaluated at the same level, mean</w:t>
      </w:r>
      <w:r w:rsidR="00211E27">
        <w:t xml:space="preserve">ing </w:t>
      </w:r>
      <w:r>
        <w:t xml:space="preserve">only </w:t>
      </w:r>
      <w:r w:rsidR="00211E27">
        <w:t xml:space="preserve">the efficiency of the newly installed unit presented a </w:t>
      </w:r>
      <w:r>
        <w:t xml:space="preserve">difference between </w:t>
      </w:r>
      <w:r w:rsidR="009B2C42" w:rsidRPr="00211E27">
        <w:rPr>
          <w:i/>
        </w:rPr>
        <w:t>ex ante</w:t>
      </w:r>
      <w:r>
        <w:t xml:space="preserve"> and </w:t>
      </w:r>
      <w:r w:rsidR="00AE7AC1" w:rsidRPr="00AE7AC1">
        <w:t>evaluated gross</w:t>
      </w:r>
      <w:r w:rsidR="00AE7AC1">
        <w:rPr>
          <w:i/>
        </w:rPr>
        <w:t xml:space="preserve"> </w:t>
      </w:r>
      <w:r>
        <w:t>savings.</w:t>
      </w:r>
      <w:r w:rsidR="00DE1457">
        <w:t xml:space="preserve"> </w:t>
      </w:r>
    </w:p>
    <w:p w:rsidR="00453172" w:rsidRDefault="00453172" w:rsidP="00E04376">
      <w:pPr>
        <w:pStyle w:val="Heading4"/>
      </w:pPr>
      <w:r>
        <w:t>Appliances</w:t>
      </w:r>
    </w:p>
    <w:p w:rsidR="004C2D20" w:rsidRPr="004C2D20" w:rsidRDefault="004C2D20" w:rsidP="004C2D20">
      <w:r>
        <w:t xml:space="preserve">The Evaluation Team </w:t>
      </w:r>
      <w:r w:rsidR="00211E27">
        <w:t xml:space="preserve">used the billing analysis to </w:t>
      </w:r>
      <w:r>
        <w:t xml:space="preserve">estimate impacts for refrigerator and freezer replacements. </w:t>
      </w:r>
      <w:r w:rsidR="005C2163">
        <w:fldChar w:fldCharType="begin"/>
      </w:r>
      <w:r w:rsidR="00E04376">
        <w:instrText xml:space="preserve"> REF _Ref388436026 \h </w:instrText>
      </w:r>
      <w:r w:rsidR="005C2163">
        <w:fldChar w:fldCharType="separate"/>
      </w:r>
      <w:r w:rsidR="00CD20CF">
        <w:t xml:space="preserve">Table </w:t>
      </w:r>
      <w:r w:rsidR="00CD20CF">
        <w:rPr>
          <w:noProof/>
        </w:rPr>
        <w:t>57</w:t>
      </w:r>
      <w:r w:rsidR="005C2163">
        <w:fldChar w:fldCharType="end"/>
      </w:r>
      <w:r>
        <w:t xml:space="preserve"> presents the billing analysis model results for </w:t>
      </w:r>
      <w:r w:rsidR="007D012B">
        <w:t>these appliances</w:t>
      </w:r>
      <w:r>
        <w:t xml:space="preserve">, which achieved a precision </w:t>
      </w:r>
      <w:r w:rsidR="003E3609">
        <w:t>estimate</w:t>
      </w:r>
      <w:r>
        <w:t xml:space="preserve"> </w:t>
      </w:r>
      <w:r w:rsidR="00150AD4">
        <w:t>within</w:t>
      </w:r>
      <w:r>
        <w:t xml:space="preserve"> </w:t>
      </w:r>
      <w:r w:rsidR="003E3609">
        <w:t>the study threshold</w:t>
      </w:r>
      <w:r>
        <w:t xml:space="preserve">. </w:t>
      </w:r>
    </w:p>
    <w:p w:rsidR="004F5AC4" w:rsidRDefault="004F5AC4" w:rsidP="001D5EAA">
      <w:pPr>
        <w:pStyle w:val="Caption"/>
      </w:pPr>
      <w:bookmarkStart w:id="108" w:name="_Ref388436026"/>
      <w:r>
        <w:t xml:space="preserve">Table </w:t>
      </w:r>
      <w:r w:rsidR="002506E1">
        <w:fldChar w:fldCharType="begin"/>
      </w:r>
      <w:r w:rsidR="002506E1">
        <w:instrText xml:space="preserve"> SEQ Table \* ARABIC </w:instrText>
      </w:r>
      <w:r w:rsidR="002506E1">
        <w:fldChar w:fldCharType="separate"/>
      </w:r>
      <w:r w:rsidR="00CD20CF">
        <w:rPr>
          <w:noProof/>
        </w:rPr>
        <w:t>57</w:t>
      </w:r>
      <w:r w:rsidR="002506E1">
        <w:rPr>
          <w:noProof/>
        </w:rPr>
        <w:fldChar w:fldCharType="end"/>
      </w:r>
      <w:bookmarkEnd w:id="108"/>
      <w:r>
        <w:t xml:space="preserve">. </w:t>
      </w:r>
      <w:r w:rsidR="00916122">
        <w:t xml:space="preserve">HES-IE </w:t>
      </w:r>
      <w:r>
        <w:t xml:space="preserve">Billing Analysis </w:t>
      </w:r>
      <w:r w:rsidR="00DD2C97">
        <w:t>Electric</w:t>
      </w:r>
      <w:r>
        <w:t xml:space="preserve"> Savings Results for Appliances</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48"/>
        <w:gridCol w:w="720"/>
        <w:gridCol w:w="1260"/>
        <w:gridCol w:w="1710"/>
        <w:gridCol w:w="2250"/>
        <w:gridCol w:w="2088"/>
      </w:tblGrid>
      <w:tr w:rsidR="00211E27" w:rsidRPr="004F5AC4" w:rsidTr="007462DA">
        <w:tc>
          <w:tcPr>
            <w:tcW w:w="808" w:type="pct"/>
            <w:shd w:val="clear" w:color="000000" w:fill="005DAA"/>
            <w:vAlign w:val="center"/>
            <w:hideMark/>
          </w:tcPr>
          <w:p w:rsidR="004F5AC4" w:rsidRPr="004F5AC4" w:rsidRDefault="004F5AC4" w:rsidP="00E04376">
            <w:pPr>
              <w:spacing w:after="0"/>
              <w:jc w:val="center"/>
              <w:rPr>
                <w:rFonts w:ascii="Calibri" w:eastAsia="Times New Roman" w:hAnsi="Calibri" w:cs="Times New Roman"/>
                <w:b/>
                <w:bCs/>
                <w:color w:val="FFFFFF"/>
              </w:rPr>
            </w:pPr>
            <w:r w:rsidRPr="004F5AC4">
              <w:rPr>
                <w:rFonts w:ascii="Calibri" w:eastAsia="Times New Roman" w:hAnsi="Calibri" w:cs="Times New Roman"/>
                <w:b/>
                <w:bCs/>
                <w:color w:val="FFFFFF"/>
              </w:rPr>
              <w:t>Measure</w:t>
            </w:r>
          </w:p>
        </w:tc>
        <w:tc>
          <w:tcPr>
            <w:tcW w:w="376" w:type="pct"/>
            <w:shd w:val="clear" w:color="000000" w:fill="005DAA"/>
            <w:vAlign w:val="center"/>
            <w:hideMark/>
          </w:tcPr>
          <w:p w:rsidR="004F5AC4" w:rsidRPr="004F5AC4" w:rsidRDefault="004F5AC4" w:rsidP="00E04376">
            <w:pPr>
              <w:spacing w:after="0"/>
              <w:jc w:val="center"/>
              <w:rPr>
                <w:rFonts w:ascii="Calibri" w:eastAsia="Times New Roman" w:hAnsi="Calibri" w:cs="Times New Roman"/>
                <w:b/>
                <w:bCs/>
                <w:color w:val="FFFFFF"/>
              </w:rPr>
            </w:pPr>
            <w:r w:rsidRPr="004F5AC4">
              <w:rPr>
                <w:rFonts w:ascii="Calibri" w:eastAsia="Times New Roman" w:hAnsi="Calibri" w:cs="Times New Roman"/>
                <w:b/>
                <w:bCs/>
                <w:color w:val="FFFFFF"/>
              </w:rPr>
              <w:t>n</w:t>
            </w:r>
          </w:p>
        </w:tc>
        <w:tc>
          <w:tcPr>
            <w:tcW w:w="658" w:type="pct"/>
            <w:shd w:val="clear" w:color="000000" w:fill="005DAA"/>
            <w:vAlign w:val="center"/>
            <w:hideMark/>
          </w:tcPr>
          <w:p w:rsidR="004F5AC4" w:rsidRPr="004F5AC4" w:rsidRDefault="004F5AC4" w:rsidP="00E04376">
            <w:pPr>
              <w:spacing w:after="0"/>
              <w:jc w:val="center"/>
              <w:rPr>
                <w:rFonts w:ascii="Calibri" w:eastAsia="Times New Roman" w:hAnsi="Calibri" w:cs="Times New Roman"/>
                <w:b/>
                <w:bCs/>
                <w:color w:val="FFFFFF"/>
              </w:rPr>
            </w:pPr>
            <w:r w:rsidRPr="004F5AC4">
              <w:rPr>
                <w:rFonts w:ascii="Calibri" w:eastAsia="Times New Roman" w:hAnsi="Calibri" w:cs="Times New Roman"/>
                <w:b/>
                <w:bCs/>
                <w:color w:val="FFFFFF"/>
              </w:rPr>
              <w:t>PRENAC</w:t>
            </w:r>
          </w:p>
        </w:tc>
        <w:tc>
          <w:tcPr>
            <w:tcW w:w="893" w:type="pct"/>
            <w:shd w:val="clear" w:color="000000" w:fill="005DAA"/>
            <w:vAlign w:val="center"/>
            <w:hideMark/>
          </w:tcPr>
          <w:p w:rsidR="004F5AC4" w:rsidRPr="004F5AC4" w:rsidRDefault="004F5AC4" w:rsidP="00E04376">
            <w:pPr>
              <w:spacing w:after="0"/>
              <w:jc w:val="center"/>
              <w:rPr>
                <w:rFonts w:ascii="Calibri" w:eastAsia="Times New Roman" w:hAnsi="Calibri" w:cs="Times New Roman"/>
                <w:b/>
                <w:bCs/>
                <w:color w:val="FFFFFF"/>
              </w:rPr>
            </w:pPr>
            <w:r w:rsidRPr="004F5AC4">
              <w:rPr>
                <w:rFonts w:ascii="Calibri" w:eastAsia="Times New Roman" w:hAnsi="Calibri" w:cs="Times New Roman"/>
                <w:b/>
                <w:bCs/>
                <w:color w:val="FFFFFF"/>
              </w:rPr>
              <w:t>Model Savings (kWh)</w:t>
            </w:r>
          </w:p>
        </w:tc>
        <w:tc>
          <w:tcPr>
            <w:tcW w:w="1175" w:type="pct"/>
            <w:shd w:val="clear" w:color="000000" w:fill="005DAA"/>
            <w:vAlign w:val="center"/>
            <w:hideMark/>
          </w:tcPr>
          <w:p w:rsidR="004F5AC4" w:rsidRPr="004F5AC4" w:rsidRDefault="004F5AC4" w:rsidP="00E04376">
            <w:pPr>
              <w:spacing w:after="0"/>
              <w:jc w:val="center"/>
              <w:rPr>
                <w:rFonts w:ascii="Calibri" w:eastAsia="Times New Roman" w:hAnsi="Calibri" w:cs="Times New Roman"/>
                <w:b/>
                <w:bCs/>
                <w:color w:val="FFFFFF"/>
              </w:rPr>
            </w:pPr>
            <w:r w:rsidRPr="004F5AC4">
              <w:rPr>
                <w:rFonts w:ascii="Calibri" w:eastAsia="Times New Roman" w:hAnsi="Calibri" w:cs="Times New Roman"/>
                <w:b/>
                <w:bCs/>
                <w:color w:val="FFFFFF"/>
              </w:rPr>
              <w:t>Savings as Percent of Pre-Usage</w:t>
            </w:r>
          </w:p>
        </w:tc>
        <w:tc>
          <w:tcPr>
            <w:tcW w:w="1090" w:type="pct"/>
            <w:shd w:val="clear" w:color="000000" w:fill="005DAA"/>
            <w:vAlign w:val="center"/>
            <w:hideMark/>
          </w:tcPr>
          <w:p w:rsidR="004F5AC4" w:rsidRPr="004F5AC4" w:rsidRDefault="0021453A" w:rsidP="00E04376">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 xml:space="preserve">Relative </w:t>
            </w:r>
            <w:r w:rsidR="004F5AC4" w:rsidRPr="004F5AC4">
              <w:rPr>
                <w:rFonts w:ascii="Calibri" w:eastAsia="Times New Roman" w:hAnsi="Calibri" w:cs="Times New Roman"/>
                <w:b/>
                <w:bCs/>
                <w:color w:val="FFFFFF"/>
              </w:rPr>
              <w:t xml:space="preserve">Precision </w:t>
            </w:r>
            <w:r>
              <w:rPr>
                <w:rFonts w:ascii="Calibri" w:eastAsia="Times New Roman" w:hAnsi="Calibri" w:cs="Times New Roman"/>
                <w:b/>
                <w:bCs/>
                <w:color w:val="FFFFFF"/>
              </w:rPr>
              <w:t xml:space="preserve">at </w:t>
            </w:r>
            <w:r w:rsidR="004F5AC4" w:rsidRPr="004F5AC4">
              <w:rPr>
                <w:rFonts w:ascii="Calibri" w:eastAsia="Times New Roman" w:hAnsi="Calibri" w:cs="Times New Roman"/>
                <w:b/>
                <w:bCs/>
                <w:color w:val="FFFFFF"/>
              </w:rPr>
              <w:t>90%</w:t>
            </w:r>
          </w:p>
        </w:tc>
      </w:tr>
      <w:tr w:rsidR="00211E27" w:rsidRPr="004F5AC4" w:rsidTr="007462DA">
        <w:tc>
          <w:tcPr>
            <w:tcW w:w="808" w:type="pct"/>
            <w:shd w:val="clear" w:color="auto" w:fill="auto"/>
            <w:vAlign w:val="center"/>
            <w:hideMark/>
          </w:tcPr>
          <w:p w:rsidR="004F5AC4" w:rsidRPr="004F5AC4" w:rsidRDefault="004F5AC4" w:rsidP="00E04376">
            <w:pPr>
              <w:spacing w:after="0"/>
              <w:rPr>
                <w:rFonts w:ascii="Calibri" w:eastAsia="Times New Roman" w:hAnsi="Calibri" w:cs="Times New Roman"/>
                <w:color w:val="000000"/>
                <w:sz w:val="20"/>
                <w:szCs w:val="20"/>
              </w:rPr>
            </w:pPr>
            <w:r w:rsidRPr="004F5AC4">
              <w:rPr>
                <w:rFonts w:ascii="Calibri" w:eastAsia="Times New Roman" w:hAnsi="Calibri" w:cs="Times New Roman"/>
                <w:color w:val="000000"/>
                <w:sz w:val="20"/>
                <w:szCs w:val="20"/>
              </w:rPr>
              <w:t>Refrigerator</w:t>
            </w:r>
          </w:p>
        </w:tc>
        <w:tc>
          <w:tcPr>
            <w:tcW w:w="376" w:type="pct"/>
            <w:shd w:val="clear" w:color="auto" w:fill="auto"/>
            <w:vAlign w:val="center"/>
            <w:hideMark/>
          </w:tcPr>
          <w:p w:rsidR="004F5AC4" w:rsidRPr="004F5AC4" w:rsidRDefault="004F5AC4" w:rsidP="00E04376">
            <w:pPr>
              <w:spacing w:after="0"/>
              <w:jc w:val="right"/>
              <w:rPr>
                <w:rFonts w:ascii="Calibri" w:eastAsia="Times New Roman" w:hAnsi="Calibri" w:cs="Times New Roman"/>
                <w:color w:val="000000"/>
                <w:sz w:val="20"/>
                <w:szCs w:val="20"/>
              </w:rPr>
            </w:pPr>
            <w:r w:rsidRPr="004F5AC4">
              <w:rPr>
                <w:rFonts w:ascii="Calibri" w:eastAsia="Times New Roman" w:hAnsi="Calibri" w:cs="Times New Roman"/>
                <w:color w:val="000000"/>
                <w:sz w:val="20"/>
                <w:szCs w:val="20"/>
              </w:rPr>
              <w:t>845</w:t>
            </w:r>
          </w:p>
        </w:tc>
        <w:tc>
          <w:tcPr>
            <w:tcW w:w="658" w:type="pct"/>
            <w:shd w:val="clear" w:color="auto" w:fill="auto"/>
            <w:vAlign w:val="center"/>
            <w:hideMark/>
          </w:tcPr>
          <w:p w:rsidR="004F5AC4" w:rsidRPr="004F5AC4" w:rsidRDefault="004F5AC4" w:rsidP="00E04376">
            <w:pPr>
              <w:spacing w:after="0"/>
              <w:jc w:val="right"/>
              <w:rPr>
                <w:rFonts w:ascii="Calibri" w:eastAsia="Times New Roman" w:hAnsi="Calibri" w:cs="Times New Roman"/>
                <w:color w:val="000000"/>
                <w:sz w:val="20"/>
                <w:szCs w:val="20"/>
              </w:rPr>
            </w:pPr>
            <w:r w:rsidRPr="004F5AC4">
              <w:rPr>
                <w:rFonts w:ascii="Calibri" w:eastAsia="Times New Roman" w:hAnsi="Calibri" w:cs="Times New Roman"/>
                <w:color w:val="000000"/>
                <w:sz w:val="20"/>
                <w:szCs w:val="20"/>
              </w:rPr>
              <w:t>7,117</w:t>
            </w:r>
          </w:p>
        </w:tc>
        <w:tc>
          <w:tcPr>
            <w:tcW w:w="893" w:type="pct"/>
            <w:shd w:val="clear" w:color="auto" w:fill="auto"/>
            <w:vAlign w:val="center"/>
            <w:hideMark/>
          </w:tcPr>
          <w:p w:rsidR="004F5AC4" w:rsidRPr="004F5AC4" w:rsidRDefault="004F5AC4" w:rsidP="0076753A">
            <w:pPr>
              <w:spacing w:after="0"/>
              <w:jc w:val="right"/>
              <w:rPr>
                <w:rFonts w:ascii="Calibri" w:eastAsia="Times New Roman" w:hAnsi="Calibri" w:cs="Times New Roman"/>
                <w:color w:val="000000"/>
                <w:sz w:val="20"/>
                <w:szCs w:val="20"/>
              </w:rPr>
            </w:pPr>
            <w:r w:rsidRPr="004F5AC4">
              <w:rPr>
                <w:rFonts w:ascii="Calibri" w:eastAsia="Times New Roman" w:hAnsi="Calibri" w:cs="Times New Roman"/>
                <w:color w:val="000000"/>
                <w:sz w:val="20"/>
                <w:szCs w:val="20"/>
              </w:rPr>
              <w:t>31</w:t>
            </w:r>
            <w:r w:rsidR="0076753A">
              <w:rPr>
                <w:rFonts w:ascii="Calibri" w:eastAsia="Times New Roman" w:hAnsi="Calibri" w:cs="Times New Roman"/>
                <w:color w:val="000000"/>
                <w:sz w:val="20"/>
                <w:szCs w:val="20"/>
              </w:rPr>
              <w:t>8</w:t>
            </w:r>
          </w:p>
        </w:tc>
        <w:tc>
          <w:tcPr>
            <w:tcW w:w="1175" w:type="pct"/>
            <w:shd w:val="clear" w:color="auto" w:fill="auto"/>
            <w:vAlign w:val="center"/>
            <w:hideMark/>
          </w:tcPr>
          <w:p w:rsidR="004F5AC4" w:rsidRPr="004F5AC4" w:rsidRDefault="004F5AC4" w:rsidP="00E04376">
            <w:pPr>
              <w:spacing w:after="0"/>
              <w:jc w:val="right"/>
              <w:rPr>
                <w:rFonts w:ascii="Calibri" w:eastAsia="Times New Roman" w:hAnsi="Calibri" w:cs="Times New Roman"/>
                <w:color w:val="000000"/>
                <w:sz w:val="20"/>
                <w:szCs w:val="20"/>
              </w:rPr>
            </w:pPr>
            <w:r w:rsidRPr="004F5AC4">
              <w:rPr>
                <w:rFonts w:ascii="Calibri" w:eastAsia="Times New Roman" w:hAnsi="Calibri" w:cs="Times New Roman"/>
                <w:color w:val="000000"/>
                <w:sz w:val="20"/>
                <w:szCs w:val="20"/>
              </w:rPr>
              <w:t>4%</w:t>
            </w:r>
          </w:p>
        </w:tc>
        <w:tc>
          <w:tcPr>
            <w:tcW w:w="1090" w:type="pct"/>
            <w:shd w:val="clear" w:color="auto" w:fill="auto"/>
            <w:vAlign w:val="center"/>
            <w:hideMark/>
          </w:tcPr>
          <w:p w:rsidR="004F5AC4" w:rsidRPr="004F5AC4" w:rsidRDefault="0021453A" w:rsidP="00E04376">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4F5AC4" w:rsidRPr="004F5AC4">
              <w:rPr>
                <w:rFonts w:ascii="Calibri" w:eastAsia="Times New Roman" w:hAnsi="Calibri" w:cs="Times New Roman"/>
                <w:color w:val="000000"/>
                <w:sz w:val="20"/>
                <w:szCs w:val="20"/>
              </w:rPr>
              <w:t>28%</w:t>
            </w:r>
          </w:p>
        </w:tc>
      </w:tr>
      <w:tr w:rsidR="00211E27" w:rsidRPr="004F5AC4" w:rsidTr="007462DA">
        <w:tc>
          <w:tcPr>
            <w:tcW w:w="808" w:type="pct"/>
            <w:shd w:val="clear" w:color="auto" w:fill="auto"/>
            <w:vAlign w:val="center"/>
            <w:hideMark/>
          </w:tcPr>
          <w:p w:rsidR="004F5AC4" w:rsidRPr="004F5AC4" w:rsidRDefault="004F5AC4" w:rsidP="00E04376">
            <w:pPr>
              <w:spacing w:after="0"/>
              <w:rPr>
                <w:rFonts w:ascii="Calibri" w:eastAsia="Times New Roman" w:hAnsi="Calibri" w:cs="Times New Roman"/>
                <w:color w:val="000000"/>
                <w:sz w:val="20"/>
                <w:szCs w:val="20"/>
              </w:rPr>
            </w:pPr>
            <w:r w:rsidRPr="004F5AC4">
              <w:rPr>
                <w:rFonts w:ascii="Calibri" w:eastAsia="Times New Roman" w:hAnsi="Calibri" w:cs="Times New Roman"/>
                <w:color w:val="000000"/>
                <w:sz w:val="20"/>
                <w:szCs w:val="20"/>
              </w:rPr>
              <w:t>Freezer</w:t>
            </w:r>
          </w:p>
        </w:tc>
        <w:tc>
          <w:tcPr>
            <w:tcW w:w="376" w:type="pct"/>
            <w:shd w:val="clear" w:color="auto" w:fill="auto"/>
            <w:vAlign w:val="center"/>
            <w:hideMark/>
          </w:tcPr>
          <w:p w:rsidR="004F5AC4" w:rsidRPr="004F5AC4" w:rsidRDefault="004F5AC4" w:rsidP="00E04376">
            <w:pPr>
              <w:spacing w:after="0"/>
              <w:jc w:val="right"/>
              <w:rPr>
                <w:rFonts w:ascii="Calibri" w:eastAsia="Times New Roman" w:hAnsi="Calibri" w:cs="Times New Roman"/>
                <w:color w:val="000000"/>
                <w:sz w:val="20"/>
                <w:szCs w:val="20"/>
              </w:rPr>
            </w:pPr>
            <w:r w:rsidRPr="004F5AC4">
              <w:rPr>
                <w:rFonts w:ascii="Calibri" w:eastAsia="Times New Roman" w:hAnsi="Calibri" w:cs="Times New Roman"/>
                <w:color w:val="000000"/>
                <w:sz w:val="20"/>
                <w:szCs w:val="20"/>
              </w:rPr>
              <w:t>84</w:t>
            </w:r>
          </w:p>
        </w:tc>
        <w:tc>
          <w:tcPr>
            <w:tcW w:w="658" w:type="pct"/>
            <w:shd w:val="clear" w:color="auto" w:fill="auto"/>
            <w:vAlign w:val="center"/>
            <w:hideMark/>
          </w:tcPr>
          <w:p w:rsidR="004F5AC4" w:rsidRPr="004F5AC4" w:rsidRDefault="004F5AC4" w:rsidP="00E04376">
            <w:pPr>
              <w:spacing w:after="0"/>
              <w:jc w:val="right"/>
              <w:rPr>
                <w:rFonts w:ascii="Calibri" w:eastAsia="Times New Roman" w:hAnsi="Calibri" w:cs="Times New Roman"/>
                <w:color w:val="000000"/>
                <w:sz w:val="20"/>
                <w:szCs w:val="20"/>
              </w:rPr>
            </w:pPr>
            <w:r w:rsidRPr="004F5AC4">
              <w:rPr>
                <w:rFonts w:ascii="Calibri" w:eastAsia="Times New Roman" w:hAnsi="Calibri" w:cs="Times New Roman"/>
                <w:color w:val="000000"/>
                <w:sz w:val="20"/>
                <w:szCs w:val="20"/>
              </w:rPr>
              <w:t>8,970</w:t>
            </w:r>
          </w:p>
        </w:tc>
        <w:tc>
          <w:tcPr>
            <w:tcW w:w="893" w:type="pct"/>
            <w:shd w:val="clear" w:color="auto" w:fill="auto"/>
            <w:vAlign w:val="center"/>
            <w:hideMark/>
          </w:tcPr>
          <w:p w:rsidR="004F5AC4" w:rsidRPr="004F5AC4" w:rsidRDefault="004F5AC4" w:rsidP="0076753A">
            <w:pPr>
              <w:spacing w:after="0"/>
              <w:jc w:val="right"/>
              <w:rPr>
                <w:rFonts w:ascii="Calibri" w:eastAsia="Times New Roman" w:hAnsi="Calibri" w:cs="Times New Roman"/>
                <w:color w:val="000000"/>
                <w:sz w:val="20"/>
                <w:szCs w:val="20"/>
              </w:rPr>
            </w:pPr>
            <w:r w:rsidRPr="004F5AC4">
              <w:rPr>
                <w:rFonts w:ascii="Calibri" w:eastAsia="Times New Roman" w:hAnsi="Calibri" w:cs="Times New Roman"/>
                <w:color w:val="000000"/>
                <w:sz w:val="20"/>
                <w:szCs w:val="20"/>
              </w:rPr>
              <w:t>72</w:t>
            </w:r>
            <w:r w:rsidR="0076753A">
              <w:rPr>
                <w:rFonts w:ascii="Calibri" w:eastAsia="Times New Roman" w:hAnsi="Calibri" w:cs="Times New Roman"/>
                <w:color w:val="000000"/>
                <w:sz w:val="20"/>
                <w:szCs w:val="20"/>
              </w:rPr>
              <w:t>8</w:t>
            </w:r>
          </w:p>
        </w:tc>
        <w:tc>
          <w:tcPr>
            <w:tcW w:w="1175" w:type="pct"/>
            <w:shd w:val="clear" w:color="auto" w:fill="auto"/>
            <w:vAlign w:val="center"/>
            <w:hideMark/>
          </w:tcPr>
          <w:p w:rsidR="004F5AC4" w:rsidRPr="004F5AC4" w:rsidRDefault="004F5AC4" w:rsidP="00E04376">
            <w:pPr>
              <w:spacing w:after="0"/>
              <w:jc w:val="right"/>
              <w:rPr>
                <w:rFonts w:ascii="Calibri" w:eastAsia="Times New Roman" w:hAnsi="Calibri" w:cs="Times New Roman"/>
                <w:color w:val="000000"/>
                <w:sz w:val="20"/>
                <w:szCs w:val="20"/>
              </w:rPr>
            </w:pPr>
            <w:r w:rsidRPr="004F5AC4">
              <w:rPr>
                <w:rFonts w:ascii="Calibri" w:eastAsia="Times New Roman" w:hAnsi="Calibri" w:cs="Times New Roman"/>
                <w:color w:val="000000"/>
                <w:sz w:val="20"/>
                <w:szCs w:val="20"/>
              </w:rPr>
              <w:t>8%</w:t>
            </w:r>
          </w:p>
        </w:tc>
        <w:tc>
          <w:tcPr>
            <w:tcW w:w="1090" w:type="pct"/>
            <w:shd w:val="clear" w:color="auto" w:fill="auto"/>
            <w:vAlign w:val="center"/>
            <w:hideMark/>
          </w:tcPr>
          <w:p w:rsidR="004F5AC4" w:rsidRPr="004F5AC4" w:rsidRDefault="0021453A" w:rsidP="00E04376">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4F5AC4" w:rsidRPr="004F5AC4">
              <w:rPr>
                <w:rFonts w:ascii="Calibri" w:eastAsia="Times New Roman" w:hAnsi="Calibri" w:cs="Times New Roman"/>
                <w:color w:val="000000"/>
                <w:sz w:val="20"/>
                <w:szCs w:val="20"/>
              </w:rPr>
              <w:t>32%</w:t>
            </w:r>
          </w:p>
        </w:tc>
      </w:tr>
      <w:tr w:rsidR="00211E27" w:rsidRPr="004F5AC4" w:rsidTr="007462DA">
        <w:tc>
          <w:tcPr>
            <w:tcW w:w="808" w:type="pct"/>
            <w:shd w:val="clear" w:color="auto" w:fill="auto"/>
            <w:vAlign w:val="center"/>
            <w:hideMark/>
          </w:tcPr>
          <w:p w:rsidR="004F5AC4" w:rsidRPr="004F5AC4" w:rsidRDefault="004F5AC4" w:rsidP="00E04376">
            <w:pPr>
              <w:spacing w:after="0"/>
              <w:rPr>
                <w:rFonts w:ascii="Calibri" w:eastAsia="Times New Roman" w:hAnsi="Calibri" w:cs="Times New Roman"/>
                <w:color w:val="000000"/>
                <w:sz w:val="20"/>
                <w:szCs w:val="20"/>
              </w:rPr>
            </w:pPr>
            <w:r w:rsidRPr="004F5AC4">
              <w:rPr>
                <w:rFonts w:ascii="Calibri" w:eastAsia="Times New Roman" w:hAnsi="Calibri" w:cs="Times New Roman"/>
                <w:color w:val="000000"/>
                <w:sz w:val="20"/>
                <w:szCs w:val="20"/>
              </w:rPr>
              <w:t>Appliance Other</w:t>
            </w:r>
          </w:p>
        </w:tc>
        <w:tc>
          <w:tcPr>
            <w:tcW w:w="376" w:type="pct"/>
            <w:shd w:val="clear" w:color="auto" w:fill="auto"/>
            <w:vAlign w:val="center"/>
            <w:hideMark/>
          </w:tcPr>
          <w:p w:rsidR="004F5AC4" w:rsidRPr="004F5AC4" w:rsidRDefault="004F5AC4" w:rsidP="00E04376">
            <w:pPr>
              <w:spacing w:after="0"/>
              <w:jc w:val="right"/>
              <w:rPr>
                <w:rFonts w:ascii="Calibri" w:eastAsia="Times New Roman" w:hAnsi="Calibri" w:cs="Times New Roman"/>
                <w:color w:val="000000"/>
                <w:sz w:val="20"/>
                <w:szCs w:val="20"/>
              </w:rPr>
            </w:pPr>
            <w:r w:rsidRPr="004F5AC4">
              <w:rPr>
                <w:rFonts w:ascii="Calibri" w:eastAsia="Times New Roman" w:hAnsi="Calibri" w:cs="Times New Roman"/>
                <w:color w:val="000000"/>
                <w:sz w:val="20"/>
                <w:szCs w:val="20"/>
              </w:rPr>
              <w:t>299</w:t>
            </w:r>
          </w:p>
        </w:tc>
        <w:tc>
          <w:tcPr>
            <w:tcW w:w="658" w:type="pct"/>
            <w:shd w:val="clear" w:color="auto" w:fill="auto"/>
            <w:vAlign w:val="center"/>
            <w:hideMark/>
          </w:tcPr>
          <w:p w:rsidR="004F5AC4" w:rsidRPr="004F5AC4" w:rsidRDefault="004F5AC4" w:rsidP="00E04376">
            <w:pPr>
              <w:spacing w:after="0"/>
              <w:jc w:val="right"/>
              <w:rPr>
                <w:rFonts w:ascii="Calibri" w:eastAsia="Times New Roman" w:hAnsi="Calibri" w:cs="Times New Roman"/>
                <w:color w:val="000000"/>
                <w:sz w:val="20"/>
                <w:szCs w:val="20"/>
              </w:rPr>
            </w:pPr>
            <w:r w:rsidRPr="004F5AC4">
              <w:rPr>
                <w:rFonts w:ascii="Calibri" w:eastAsia="Times New Roman" w:hAnsi="Calibri" w:cs="Times New Roman"/>
                <w:color w:val="000000"/>
                <w:sz w:val="20"/>
                <w:szCs w:val="20"/>
              </w:rPr>
              <w:t>7,479</w:t>
            </w:r>
          </w:p>
        </w:tc>
        <w:tc>
          <w:tcPr>
            <w:tcW w:w="893" w:type="pct"/>
            <w:shd w:val="clear" w:color="auto" w:fill="auto"/>
            <w:vAlign w:val="center"/>
            <w:hideMark/>
          </w:tcPr>
          <w:p w:rsidR="004F5AC4" w:rsidRPr="004F5AC4" w:rsidRDefault="004F5AC4" w:rsidP="0076753A">
            <w:pPr>
              <w:spacing w:after="0"/>
              <w:jc w:val="right"/>
              <w:rPr>
                <w:rFonts w:ascii="Calibri" w:eastAsia="Times New Roman" w:hAnsi="Calibri" w:cs="Times New Roman"/>
                <w:color w:val="000000"/>
                <w:sz w:val="20"/>
                <w:szCs w:val="20"/>
              </w:rPr>
            </w:pPr>
            <w:r w:rsidRPr="004F5AC4">
              <w:rPr>
                <w:rFonts w:ascii="Calibri" w:eastAsia="Times New Roman" w:hAnsi="Calibri" w:cs="Times New Roman"/>
                <w:color w:val="000000"/>
                <w:sz w:val="20"/>
                <w:szCs w:val="20"/>
              </w:rPr>
              <w:t>49</w:t>
            </w:r>
            <w:r w:rsidR="0076753A">
              <w:rPr>
                <w:rFonts w:ascii="Calibri" w:eastAsia="Times New Roman" w:hAnsi="Calibri" w:cs="Times New Roman"/>
                <w:color w:val="000000"/>
                <w:sz w:val="20"/>
                <w:szCs w:val="20"/>
              </w:rPr>
              <w:t>8</w:t>
            </w:r>
          </w:p>
        </w:tc>
        <w:tc>
          <w:tcPr>
            <w:tcW w:w="1175" w:type="pct"/>
            <w:shd w:val="clear" w:color="auto" w:fill="auto"/>
            <w:vAlign w:val="center"/>
            <w:hideMark/>
          </w:tcPr>
          <w:p w:rsidR="004F5AC4" w:rsidRPr="004F5AC4" w:rsidRDefault="004F5AC4" w:rsidP="00E04376">
            <w:pPr>
              <w:spacing w:after="0"/>
              <w:jc w:val="right"/>
              <w:rPr>
                <w:rFonts w:ascii="Calibri" w:eastAsia="Times New Roman" w:hAnsi="Calibri" w:cs="Times New Roman"/>
                <w:color w:val="000000"/>
                <w:sz w:val="20"/>
                <w:szCs w:val="20"/>
              </w:rPr>
            </w:pPr>
            <w:r w:rsidRPr="004F5AC4">
              <w:rPr>
                <w:rFonts w:ascii="Calibri" w:eastAsia="Times New Roman" w:hAnsi="Calibri" w:cs="Times New Roman"/>
                <w:color w:val="000000"/>
                <w:sz w:val="20"/>
                <w:szCs w:val="20"/>
              </w:rPr>
              <w:t>7%</w:t>
            </w:r>
          </w:p>
        </w:tc>
        <w:tc>
          <w:tcPr>
            <w:tcW w:w="1090" w:type="pct"/>
            <w:shd w:val="clear" w:color="auto" w:fill="auto"/>
            <w:vAlign w:val="center"/>
            <w:hideMark/>
          </w:tcPr>
          <w:p w:rsidR="004F5AC4" w:rsidRPr="004F5AC4" w:rsidRDefault="0021453A" w:rsidP="00E04376">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4F5AC4" w:rsidRPr="004F5AC4">
              <w:rPr>
                <w:rFonts w:ascii="Calibri" w:eastAsia="Times New Roman" w:hAnsi="Calibri" w:cs="Times New Roman"/>
                <w:color w:val="000000"/>
                <w:sz w:val="20"/>
                <w:szCs w:val="20"/>
              </w:rPr>
              <w:t>24%</w:t>
            </w:r>
          </w:p>
        </w:tc>
      </w:tr>
    </w:tbl>
    <w:p w:rsidR="004F5AC4" w:rsidRPr="00E0049E" w:rsidRDefault="00D35611" w:rsidP="00E04376">
      <w:pPr>
        <w:pStyle w:val="NormalAfterTablesandFigures"/>
        <w:rPr>
          <w:rFonts w:asciiTheme="minorHAnsi" w:hAnsiTheme="minorHAnsi"/>
          <w:sz w:val="20"/>
          <w:szCs w:val="20"/>
        </w:rPr>
      </w:pPr>
      <w:r w:rsidRPr="00E0049E">
        <w:rPr>
          <w:rFonts w:asciiTheme="minorHAnsi" w:hAnsiTheme="minorHAnsi"/>
          <w:sz w:val="20"/>
          <w:szCs w:val="20"/>
        </w:rPr>
        <w:t>*Represents a mix of appliance replacements (e.g., refrigerator, freezer) bundled in the program tracking data.</w:t>
      </w:r>
    </w:p>
    <w:p w:rsidR="00D35611" w:rsidRDefault="00D35611" w:rsidP="00E04376">
      <w:pPr>
        <w:pStyle w:val="NormalAfterTablesandFigures"/>
      </w:pPr>
    </w:p>
    <w:p w:rsidR="004F5AC4" w:rsidRPr="000E6110" w:rsidRDefault="005C2163" w:rsidP="00E04376">
      <w:r>
        <w:fldChar w:fldCharType="begin"/>
      </w:r>
      <w:r w:rsidR="00825111">
        <w:instrText xml:space="preserve"> REF _Ref389217673 \h </w:instrText>
      </w:r>
      <w:r>
        <w:fldChar w:fldCharType="separate"/>
      </w:r>
      <w:r w:rsidR="00CD20CF">
        <w:t xml:space="preserve">Table </w:t>
      </w:r>
      <w:r w:rsidR="00CD20CF">
        <w:rPr>
          <w:noProof/>
        </w:rPr>
        <w:t>58</w:t>
      </w:r>
      <w:r>
        <w:fldChar w:fldCharType="end"/>
      </w:r>
      <w:r w:rsidR="004F5AC4">
        <w:t xml:space="preserve"> provides realization rates based on comparing the gross savings estimate </w:t>
      </w:r>
      <w:r w:rsidR="00467ADA">
        <w:t>(</w:t>
      </w:r>
      <w:r w:rsidR="004F5AC4">
        <w:t>from the billing analysis</w:t>
      </w:r>
      <w:r w:rsidR="00467ADA">
        <w:t>)</w:t>
      </w:r>
      <w:r w:rsidR="004F5AC4">
        <w:t xml:space="preserve"> to the average </w:t>
      </w:r>
      <w:r w:rsidR="004F5AC4" w:rsidRPr="004E7EA6">
        <w:rPr>
          <w:i/>
        </w:rPr>
        <w:t>ex ante</w:t>
      </w:r>
      <w:r w:rsidR="004F5AC4">
        <w:t xml:space="preserve"> savings per household.</w:t>
      </w:r>
    </w:p>
    <w:p w:rsidR="004F5AC4" w:rsidRDefault="004F5AC4" w:rsidP="005101AE">
      <w:pPr>
        <w:pStyle w:val="Caption"/>
      </w:pPr>
      <w:bookmarkStart w:id="109" w:name="_Ref389217673"/>
      <w:r>
        <w:lastRenderedPageBreak/>
        <w:t xml:space="preserve">Table </w:t>
      </w:r>
      <w:r w:rsidR="002506E1">
        <w:fldChar w:fldCharType="begin"/>
      </w:r>
      <w:r w:rsidR="002506E1">
        <w:instrText xml:space="preserve"> SEQ Table \* ARABIC </w:instrText>
      </w:r>
      <w:r w:rsidR="002506E1">
        <w:fldChar w:fldCharType="separate"/>
      </w:r>
      <w:r w:rsidR="00CD20CF">
        <w:rPr>
          <w:noProof/>
        </w:rPr>
        <w:t>58</w:t>
      </w:r>
      <w:r w:rsidR="002506E1">
        <w:rPr>
          <w:noProof/>
        </w:rPr>
        <w:fldChar w:fldCharType="end"/>
      </w:r>
      <w:bookmarkEnd w:id="109"/>
      <w:r>
        <w:t xml:space="preserve">. </w:t>
      </w:r>
      <w:r w:rsidR="00916122">
        <w:t xml:space="preserve">HES-IE </w:t>
      </w:r>
      <w:r>
        <w:t>Billing Analysis Realization Rate Summary for Appliances</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48"/>
        <w:gridCol w:w="1440"/>
        <w:gridCol w:w="1530"/>
        <w:gridCol w:w="1260"/>
        <w:gridCol w:w="1890"/>
        <w:gridCol w:w="1908"/>
      </w:tblGrid>
      <w:tr w:rsidR="00467ADA" w:rsidRPr="00CC6625" w:rsidTr="00467ADA">
        <w:tc>
          <w:tcPr>
            <w:tcW w:w="808" w:type="pct"/>
            <w:shd w:val="clear" w:color="000000" w:fill="005DAA"/>
            <w:vAlign w:val="center"/>
            <w:hideMark/>
          </w:tcPr>
          <w:p w:rsidR="00CC6625" w:rsidRPr="00CC6625" w:rsidRDefault="00CC6625" w:rsidP="005101AE">
            <w:pPr>
              <w:keepNext/>
              <w:keepLines/>
              <w:spacing w:after="0"/>
              <w:jc w:val="center"/>
              <w:rPr>
                <w:rFonts w:ascii="Calibri" w:eastAsia="Times New Roman" w:hAnsi="Calibri" w:cs="Times New Roman"/>
                <w:b/>
                <w:bCs/>
                <w:color w:val="FFFFFF"/>
              </w:rPr>
            </w:pPr>
            <w:r w:rsidRPr="00CC6625">
              <w:rPr>
                <w:rFonts w:ascii="Calibri" w:eastAsia="Times New Roman" w:hAnsi="Calibri" w:cs="Times New Roman"/>
                <w:b/>
                <w:bCs/>
                <w:color w:val="FFFFFF"/>
              </w:rPr>
              <w:t>Measure</w:t>
            </w:r>
          </w:p>
        </w:tc>
        <w:tc>
          <w:tcPr>
            <w:tcW w:w="752" w:type="pct"/>
            <w:shd w:val="clear" w:color="000000" w:fill="005DAA"/>
            <w:vAlign w:val="center"/>
            <w:hideMark/>
          </w:tcPr>
          <w:p w:rsidR="00CC6625" w:rsidRPr="00CC6625" w:rsidRDefault="00CC6625" w:rsidP="005101AE">
            <w:pPr>
              <w:keepNext/>
              <w:keepLines/>
              <w:spacing w:after="0"/>
              <w:jc w:val="center"/>
              <w:rPr>
                <w:rFonts w:ascii="Calibri" w:eastAsia="Times New Roman" w:hAnsi="Calibri" w:cs="Times New Roman"/>
                <w:b/>
                <w:bCs/>
                <w:color w:val="FFFFFF"/>
              </w:rPr>
            </w:pPr>
            <w:r w:rsidRPr="00CC6625">
              <w:rPr>
                <w:rFonts w:ascii="Calibri" w:eastAsia="Times New Roman" w:hAnsi="Calibri" w:cs="Times New Roman"/>
                <w:b/>
                <w:bCs/>
                <w:color w:val="FFFFFF"/>
              </w:rPr>
              <w:t>Gross Model Savings (kWh)</w:t>
            </w:r>
          </w:p>
        </w:tc>
        <w:tc>
          <w:tcPr>
            <w:tcW w:w="799" w:type="pct"/>
            <w:shd w:val="clear" w:color="000000" w:fill="005DAA"/>
            <w:vAlign w:val="center"/>
            <w:hideMark/>
          </w:tcPr>
          <w:p w:rsidR="00CC6625" w:rsidRPr="00CC6625" w:rsidRDefault="00CC6625" w:rsidP="005101AE">
            <w:pPr>
              <w:keepNext/>
              <w:keepLines/>
              <w:spacing w:after="0"/>
              <w:jc w:val="center"/>
              <w:rPr>
                <w:rFonts w:ascii="Calibri" w:eastAsia="Times New Roman" w:hAnsi="Calibri" w:cs="Times New Roman"/>
                <w:b/>
                <w:bCs/>
                <w:color w:val="FFFFFF"/>
              </w:rPr>
            </w:pPr>
            <w:r w:rsidRPr="00CC6625">
              <w:rPr>
                <w:rFonts w:ascii="Calibri" w:eastAsia="Times New Roman" w:hAnsi="Calibri" w:cs="Times New Roman"/>
                <w:b/>
                <w:bCs/>
                <w:color w:val="FFFFFF"/>
              </w:rPr>
              <w:t xml:space="preserve">Reported </w:t>
            </w:r>
            <w:r w:rsidRPr="00CF5867">
              <w:rPr>
                <w:rFonts w:ascii="Calibri" w:eastAsia="Times New Roman" w:hAnsi="Calibri" w:cs="Times New Roman"/>
                <w:b/>
                <w:bCs/>
                <w:i/>
                <w:color w:val="FFFFFF"/>
              </w:rPr>
              <w:t>Ex Ante</w:t>
            </w:r>
            <w:r w:rsidRPr="00CC6625">
              <w:rPr>
                <w:rFonts w:ascii="Calibri" w:eastAsia="Times New Roman" w:hAnsi="Calibri" w:cs="Times New Roman"/>
                <w:b/>
                <w:bCs/>
                <w:color w:val="FFFFFF"/>
              </w:rPr>
              <w:t xml:space="preserve"> Savings (kWh)</w:t>
            </w:r>
          </w:p>
        </w:tc>
        <w:tc>
          <w:tcPr>
            <w:tcW w:w="658" w:type="pct"/>
            <w:shd w:val="clear" w:color="000000" w:fill="005DAA"/>
            <w:vAlign w:val="center"/>
            <w:hideMark/>
          </w:tcPr>
          <w:p w:rsidR="00CC6625" w:rsidRPr="00CC6625" w:rsidRDefault="00CC6625" w:rsidP="005101AE">
            <w:pPr>
              <w:keepNext/>
              <w:keepLines/>
              <w:spacing w:after="0"/>
              <w:jc w:val="center"/>
              <w:rPr>
                <w:rFonts w:ascii="Calibri" w:eastAsia="Times New Roman" w:hAnsi="Calibri" w:cs="Times New Roman"/>
                <w:b/>
                <w:bCs/>
                <w:color w:val="FFFFFF"/>
              </w:rPr>
            </w:pPr>
            <w:r w:rsidRPr="00CC6625">
              <w:rPr>
                <w:rFonts w:ascii="Calibri" w:eastAsia="Times New Roman" w:hAnsi="Calibri" w:cs="Times New Roman"/>
                <w:b/>
                <w:bCs/>
                <w:color w:val="FFFFFF"/>
              </w:rPr>
              <w:t>Realization Rate</w:t>
            </w:r>
          </w:p>
        </w:tc>
        <w:tc>
          <w:tcPr>
            <w:tcW w:w="987" w:type="pct"/>
            <w:shd w:val="clear" w:color="000000" w:fill="005DAA"/>
            <w:vAlign w:val="center"/>
            <w:hideMark/>
          </w:tcPr>
          <w:p w:rsidR="00CC6625" w:rsidRPr="00CC6625" w:rsidRDefault="00CC6625" w:rsidP="005101AE">
            <w:pPr>
              <w:keepNext/>
              <w:keepLines/>
              <w:spacing w:after="0"/>
              <w:jc w:val="center"/>
              <w:rPr>
                <w:rFonts w:ascii="Calibri" w:eastAsia="Times New Roman" w:hAnsi="Calibri" w:cs="Times New Roman"/>
                <w:b/>
                <w:bCs/>
                <w:color w:val="FFFFFF"/>
              </w:rPr>
            </w:pPr>
            <w:r w:rsidRPr="00CC6625">
              <w:rPr>
                <w:rFonts w:ascii="Calibri" w:eastAsia="Times New Roman" w:hAnsi="Calibri" w:cs="Times New Roman"/>
                <w:b/>
                <w:bCs/>
                <w:color w:val="FFFFFF"/>
              </w:rPr>
              <w:t>Model Savings as Percent of Pre-Usage</w:t>
            </w:r>
          </w:p>
        </w:tc>
        <w:tc>
          <w:tcPr>
            <w:tcW w:w="996" w:type="pct"/>
            <w:shd w:val="clear" w:color="000000" w:fill="005DAA"/>
            <w:vAlign w:val="center"/>
            <w:hideMark/>
          </w:tcPr>
          <w:p w:rsidR="00CC6625" w:rsidRPr="00CC6625" w:rsidRDefault="00CC6625" w:rsidP="005101AE">
            <w:pPr>
              <w:keepNext/>
              <w:keepLines/>
              <w:spacing w:after="0"/>
              <w:jc w:val="center"/>
              <w:rPr>
                <w:rFonts w:ascii="Calibri" w:eastAsia="Times New Roman" w:hAnsi="Calibri" w:cs="Times New Roman"/>
                <w:b/>
                <w:bCs/>
                <w:color w:val="FFFFFF"/>
              </w:rPr>
            </w:pPr>
            <w:r w:rsidRPr="00CC6625">
              <w:rPr>
                <w:rFonts w:ascii="Calibri" w:eastAsia="Times New Roman" w:hAnsi="Calibri" w:cs="Times New Roman"/>
                <w:b/>
                <w:bCs/>
                <w:color w:val="FFFFFF"/>
              </w:rPr>
              <w:t xml:space="preserve">Reported </w:t>
            </w:r>
            <w:r w:rsidRPr="00CF5867">
              <w:rPr>
                <w:rFonts w:ascii="Calibri" w:eastAsia="Times New Roman" w:hAnsi="Calibri" w:cs="Times New Roman"/>
                <w:b/>
                <w:bCs/>
                <w:i/>
                <w:color w:val="FFFFFF"/>
              </w:rPr>
              <w:t>Ex Ante</w:t>
            </w:r>
            <w:r w:rsidRPr="00CC6625">
              <w:rPr>
                <w:rFonts w:ascii="Calibri" w:eastAsia="Times New Roman" w:hAnsi="Calibri" w:cs="Times New Roman"/>
                <w:b/>
                <w:bCs/>
                <w:color w:val="FFFFFF"/>
              </w:rPr>
              <w:t xml:space="preserve"> Savings as Percent of Pre-Usage</w:t>
            </w:r>
          </w:p>
        </w:tc>
      </w:tr>
      <w:tr w:rsidR="00467ADA" w:rsidRPr="00CC6625" w:rsidTr="00467ADA">
        <w:tc>
          <w:tcPr>
            <w:tcW w:w="808" w:type="pct"/>
            <w:shd w:val="clear" w:color="auto" w:fill="auto"/>
            <w:vAlign w:val="center"/>
            <w:hideMark/>
          </w:tcPr>
          <w:p w:rsidR="00CC6625" w:rsidRPr="00CC6625" w:rsidRDefault="00CC6625" w:rsidP="005101AE">
            <w:pPr>
              <w:keepNext/>
              <w:keepLines/>
              <w:spacing w:after="0"/>
              <w:rPr>
                <w:rFonts w:ascii="Calibri" w:eastAsia="Times New Roman" w:hAnsi="Calibri" w:cs="Times New Roman"/>
                <w:color w:val="000000"/>
                <w:sz w:val="20"/>
                <w:szCs w:val="20"/>
              </w:rPr>
            </w:pPr>
            <w:r w:rsidRPr="00CC6625">
              <w:rPr>
                <w:rFonts w:ascii="Calibri" w:eastAsia="Times New Roman" w:hAnsi="Calibri" w:cs="Times New Roman"/>
                <w:color w:val="000000"/>
                <w:sz w:val="20"/>
                <w:szCs w:val="20"/>
              </w:rPr>
              <w:t>Refrigerator</w:t>
            </w:r>
          </w:p>
        </w:tc>
        <w:tc>
          <w:tcPr>
            <w:tcW w:w="752" w:type="pct"/>
            <w:shd w:val="clear" w:color="auto" w:fill="auto"/>
            <w:vAlign w:val="center"/>
            <w:hideMark/>
          </w:tcPr>
          <w:p w:rsidR="00CC6625" w:rsidRPr="00CC6625" w:rsidRDefault="00CC6625" w:rsidP="005101AE">
            <w:pPr>
              <w:keepNext/>
              <w:keepLines/>
              <w:spacing w:after="0"/>
              <w:jc w:val="right"/>
              <w:rPr>
                <w:rFonts w:ascii="Calibri" w:eastAsia="Times New Roman" w:hAnsi="Calibri" w:cs="Times New Roman"/>
                <w:color w:val="000000"/>
                <w:sz w:val="20"/>
                <w:szCs w:val="20"/>
              </w:rPr>
            </w:pPr>
            <w:r w:rsidRPr="00CC6625">
              <w:rPr>
                <w:rFonts w:ascii="Calibri" w:eastAsia="Times New Roman" w:hAnsi="Calibri" w:cs="Times New Roman"/>
                <w:color w:val="000000"/>
                <w:sz w:val="20"/>
                <w:szCs w:val="20"/>
              </w:rPr>
              <w:t>31</w:t>
            </w:r>
            <w:r w:rsidR="0076753A">
              <w:rPr>
                <w:rFonts w:ascii="Calibri" w:eastAsia="Times New Roman" w:hAnsi="Calibri" w:cs="Times New Roman"/>
                <w:color w:val="000000"/>
                <w:sz w:val="20"/>
                <w:szCs w:val="20"/>
              </w:rPr>
              <w:t>8</w:t>
            </w:r>
          </w:p>
        </w:tc>
        <w:tc>
          <w:tcPr>
            <w:tcW w:w="799" w:type="pct"/>
            <w:shd w:val="clear" w:color="auto" w:fill="auto"/>
            <w:vAlign w:val="center"/>
            <w:hideMark/>
          </w:tcPr>
          <w:p w:rsidR="00CC6625" w:rsidRPr="00CC6625" w:rsidRDefault="00CC6625" w:rsidP="005101AE">
            <w:pPr>
              <w:keepNext/>
              <w:keepLines/>
              <w:spacing w:after="0"/>
              <w:jc w:val="right"/>
              <w:rPr>
                <w:rFonts w:ascii="Calibri" w:eastAsia="Times New Roman" w:hAnsi="Calibri" w:cs="Times New Roman"/>
                <w:color w:val="000000"/>
                <w:sz w:val="20"/>
                <w:szCs w:val="20"/>
              </w:rPr>
            </w:pPr>
            <w:r w:rsidRPr="00CC6625">
              <w:rPr>
                <w:rFonts w:ascii="Calibri" w:eastAsia="Times New Roman" w:hAnsi="Calibri" w:cs="Times New Roman"/>
                <w:color w:val="000000"/>
                <w:sz w:val="20"/>
                <w:szCs w:val="20"/>
              </w:rPr>
              <w:t>758</w:t>
            </w:r>
          </w:p>
        </w:tc>
        <w:tc>
          <w:tcPr>
            <w:tcW w:w="658" w:type="pct"/>
            <w:shd w:val="clear" w:color="auto" w:fill="auto"/>
            <w:vAlign w:val="center"/>
            <w:hideMark/>
          </w:tcPr>
          <w:p w:rsidR="00CC6625" w:rsidRPr="00CC6625" w:rsidRDefault="00CC6625" w:rsidP="005101AE">
            <w:pPr>
              <w:keepNext/>
              <w:keepLines/>
              <w:spacing w:after="0"/>
              <w:jc w:val="right"/>
              <w:rPr>
                <w:rFonts w:ascii="Calibri" w:eastAsia="Times New Roman" w:hAnsi="Calibri" w:cs="Times New Roman"/>
                <w:color w:val="000000"/>
                <w:sz w:val="20"/>
                <w:szCs w:val="20"/>
              </w:rPr>
            </w:pPr>
            <w:r w:rsidRPr="00CC6625">
              <w:rPr>
                <w:rFonts w:ascii="Calibri" w:eastAsia="Times New Roman" w:hAnsi="Calibri" w:cs="Times New Roman"/>
                <w:color w:val="000000"/>
                <w:sz w:val="20"/>
                <w:szCs w:val="20"/>
              </w:rPr>
              <w:t>42%</w:t>
            </w:r>
          </w:p>
        </w:tc>
        <w:tc>
          <w:tcPr>
            <w:tcW w:w="987" w:type="pct"/>
            <w:shd w:val="clear" w:color="auto" w:fill="auto"/>
            <w:vAlign w:val="center"/>
            <w:hideMark/>
          </w:tcPr>
          <w:p w:rsidR="00CC6625" w:rsidRPr="00CC6625" w:rsidRDefault="00CC6625" w:rsidP="005101AE">
            <w:pPr>
              <w:keepNext/>
              <w:keepLines/>
              <w:spacing w:after="0"/>
              <w:jc w:val="right"/>
              <w:rPr>
                <w:rFonts w:ascii="Calibri" w:eastAsia="Times New Roman" w:hAnsi="Calibri" w:cs="Times New Roman"/>
                <w:color w:val="000000"/>
                <w:sz w:val="20"/>
                <w:szCs w:val="20"/>
              </w:rPr>
            </w:pPr>
            <w:r w:rsidRPr="00CC6625">
              <w:rPr>
                <w:rFonts w:ascii="Calibri" w:eastAsia="Times New Roman" w:hAnsi="Calibri" w:cs="Times New Roman"/>
                <w:color w:val="000000"/>
                <w:sz w:val="20"/>
                <w:szCs w:val="20"/>
              </w:rPr>
              <w:t>4%</w:t>
            </w:r>
          </w:p>
        </w:tc>
        <w:tc>
          <w:tcPr>
            <w:tcW w:w="996" w:type="pct"/>
            <w:shd w:val="clear" w:color="auto" w:fill="auto"/>
            <w:vAlign w:val="center"/>
            <w:hideMark/>
          </w:tcPr>
          <w:p w:rsidR="00CC6625" w:rsidRPr="00CC6625" w:rsidRDefault="00CC6625" w:rsidP="005101AE">
            <w:pPr>
              <w:keepNext/>
              <w:keepLines/>
              <w:spacing w:after="0"/>
              <w:jc w:val="right"/>
              <w:rPr>
                <w:rFonts w:ascii="Calibri" w:eastAsia="Times New Roman" w:hAnsi="Calibri" w:cs="Times New Roman"/>
                <w:color w:val="000000"/>
                <w:sz w:val="20"/>
                <w:szCs w:val="20"/>
              </w:rPr>
            </w:pPr>
            <w:r w:rsidRPr="00CC6625">
              <w:rPr>
                <w:rFonts w:ascii="Calibri" w:eastAsia="Times New Roman" w:hAnsi="Calibri" w:cs="Times New Roman"/>
                <w:color w:val="000000"/>
                <w:sz w:val="20"/>
                <w:szCs w:val="20"/>
              </w:rPr>
              <w:t>11%</w:t>
            </w:r>
          </w:p>
        </w:tc>
      </w:tr>
      <w:tr w:rsidR="00467ADA" w:rsidRPr="00CC6625" w:rsidTr="00467ADA">
        <w:tc>
          <w:tcPr>
            <w:tcW w:w="808" w:type="pct"/>
            <w:shd w:val="clear" w:color="auto" w:fill="auto"/>
            <w:vAlign w:val="center"/>
            <w:hideMark/>
          </w:tcPr>
          <w:p w:rsidR="00CC6625" w:rsidRPr="00CC6625" w:rsidRDefault="00CC6625" w:rsidP="005101AE">
            <w:pPr>
              <w:keepNext/>
              <w:keepLines/>
              <w:spacing w:after="0"/>
              <w:rPr>
                <w:rFonts w:ascii="Calibri" w:eastAsia="Times New Roman" w:hAnsi="Calibri" w:cs="Times New Roman"/>
                <w:color w:val="000000"/>
                <w:sz w:val="20"/>
                <w:szCs w:val="20"/>
              </w:rPr>
            </w:pPr>
            <w:r w:rsidRPr="00CC6625">
              <w:rPr>
                <w:rFonts w:ascii="Calibri" w:eastAsia="Times New Roman" w:hAnsi="Calibri" w:cs="Times New Roman"/>
                <w:color w:val="000000"/>
                <w:sz w:val="20"/>
                <w:szCs w:val="20"/>
              </w:rPr>
              <w:t>Freezer</w:t>
            </w:r>
          </w:p>
        </w:tc>
        <w:tc>
          <w:tcPr>
            <w:tcW w:w="752" w:type="pct"/>
            <w:shd w:val="clear" w:color="auto" w:fill="auto"/>
            <w:vAlign w:val="center"/>
            <w:hideMark/>
          </w:tcPr>
          <w:p w:rsidR="00CC6625" w:rsidRPr="00CC6625" w:rsidRDefault="00CC6625" w:rsidP="005101AE">
            <w:pPr>
              <w:keepNext/>
              <w:keepLines/>
              <w:spacing w:after="0"/>
              <w:jc w:val="right"/>
              <w:rPr>
                <w:rFonts w:ascii="Calibri" w:eastAsia="Times New Roman" w:hAnsi="Calibri" w:cs="Times New Roman"/>
                <w:color w:val="000000"/>
                <w:sz w:val="20"/>
                <w:szCs w:val="20"/>
              </w:rPr>
            </w:pPr>
            <w:r w:rsidRPr="00CC6625">
              <w:rPr>
                <w:rFonts w:ascii="Calibri" w:eastAsia="Times New Roman" w:hAnsi="Calibri" w:cs="Times New Roman"/>
                <w:color w:val="000000"/>
                <w:sz w:val="20"/>
                <w:szCs w:val="20"/>
              </w:rPr>
              <w:t>72</w:t>
            </w:r>
            <w:r w:rsidR="0076753A">
              <w:rPr>
                <w:rFonts w:ascii="Calibri" w:eastAsia="Times New Roman" w:hAnsi="Calibri" w:cs="Times New Roman"/>
                <w:color w:val="000000"/>
                <w:sz w:val="20"/>
                <w:szCs w:val="20"/>
              </w:rPr>
              <w:t>8</w:t>
            </w:r>
          </w:p>
        </w:tc>
        <w:tc>
          <w:tcPr>
            <w:tcW w:w="799" w:type="pct"/>
            <w:shd w:val="clear" w:color="auto" w:fill="auto"/>
            <w:vAlign w:val="center"/>
            <w:hideMark/>
          </w:tcPr>
          <w:p w:rsidR="00CC6625" w:rsidRPr="00CC6625" w:rsidRDefault="00CC6625" w:rsidP="005101AE">
            <w:pPr>
              <w:keepNext/>
              <w:keepLines/>
              <w:spacing w:after="0"/>
              <w:jc w:val="right"/>
              <w:rPr>
                <w:rFonts w:ascii="Calibri" w:eastAsia="Times New Roman" w:hAnsi="Calibri" w:cs="Times New Roman"/>
                <w:color w:val="000000"/>
                <w:sz w:val="20"/>
                <w:szCs w:val="20"/>
              </w:rPr>
            </w:pPr>
            <w:r w:rsidRPr="00CC6625">
              <w:rPr>
                <w:rFonts w:ascii="Calibri" w:eastAsia="Times New Roman" w:hAnsi="Calibri" w:cs="Times New Roman"/>
                <w:color w:val="000000"/>
                <w:sz w:val="20"/>
                <w:szCs w:val="20"/>
              </w:rPr>
              <w:t>733</w:t>
            </w:r>
          </w:p>
        </w:tc>
        <w:tc>
          <w:tcPr>
            <w:tcW w:w="658" w:type="pct"/>
            <w:shd w:val="clear" w:color="auto" w:fill="auto"/>
            <w:vAlign w:val="center"/>
            <w:hideMark/>
          </w:tcPr>
          <w:p w:rsidR="00CC6625" w:rsidRPr="00CC6625" w:rsidRDefault="00CC6625" w:rsidP="005101AE">
            <w:pPr>
              <w:keepNext/>
              <w:keepLines/>
              <w:spacing w:after="0"/>
              <w:jc w:val="right"/>
              <w:rPr>
                <w:rFonts w:ascii="Calibri" w:eastAsia="Times New Roman" w:hAnsi="Calibri" w:cs="Times New Roman"/>
                <w:color w:val="000000"/>
                <w:sz w:val="20"/>
                <w:szCs w:val="20"/>
              </w:rPr>
            </w:pPr>
            <w:r w:rsidRPr="00CC6625">
              <w:rPr>
                <w:rFonts w:ascii="Calibri" w:eastAsia="Times New Roman" w:hAnsi="Calibri" w:cs="Times New Roman"/>
                <w:color w:val="000000"/>
                <w:sz w:val="20"/>
                <w:szCs w:val="20"/>
              </w:rPr>
              <w:t>99%</w:t>
            </w:r>
          </w:p>
        </w:tc>
        <w:tc>
          <w:tcPr>
            <w:tcW w:w="987" w:type="pct"/>
            <w:shd w:val="clear" w:color="auto" w:fill="auto"/>
            <w:vAlign w:val="center"/>
            <w:hideMark/>
          </w:tcPr>
          <w:p w:rsidR="00CC6625" w:rsidRPr="00CC6625" w:rsidRDefault="0076753A" w:rsidP="005101AE">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w:t>
            </w:r>
            <w:r w:rsidR="00CC6625" w:rsidRPr="00CC6625">
              <w:rPr>
                <w:rFonts w:ascii="Calibri" w:eastAsia="Times New Roman" w:hAnsi="Calibri" w:cs="Times New Roman"/>
                <w:color w:val="000000"/>
                <w:sz w:val="20"/>
                <w:szCs w:val="20"/>
              </w:rPr>
              <w:t>%</w:t>
            </w:r>
          </w:p>
        </w:tc>
        <w:tc>
          <w:tcPr>
            <w:tcW w:w="996" w:type="pct"/>
            <w:shd w:val="clear" w:color="auto" w:fill="auto"/>
            <w:vAlign w:val="center"/>
            <w:hideMark/>
          </w:tcPr>
          <w:p w:rsidR="00CC6625" w:rsidRPr="00CC6625" w:rsidRDefault="0076753A" w:rsidP="005101AE">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w:t>
            </w:r>
            <w:r w:rsidR="00CC6625" w:rsidRPr="00CC6625">
              <w:rPr>
                <w:rFonts w:ascii="Calibri" w:eastAsia="Times New Roman" w:hAnsi="Calibri" w:cs="Times New Roman"/>
                <w:color w:val="000000"/>
                <w:sz w:val="20"/>
                <w:szCs w:val="20"/>
              </w:rPr>
              <w:t>%</w:t>
            </w:r>
          </w:p>
        </w:tc>
      </w:tr>
      <w:tr w:rsidR="00467ADA" w:rsidRPr="00CC6625" w:rsidTr="00467ADA">
        <w:tc>
          <w:tcPr>
            <w:tcW w:w="808" w:type="pct"/>
            <w:shd w:val="clear" w:color="auto" w:fill="auto"/>
            <w:vAlign w:val="center"/>
            <w:hideMark/>
          </w:tcPr>
          <w:p w:rsidR="00CC6625" w:rsidRPr="00CC6625" w:rsidRDefault="00CC6625" w:rsidP="005101AE">
            <w:pPr>
              <w:keepNext/>
              <w:keepLines/>
              <w:spacing w:after="0"/>
              <w:rPr>
                <w:rFonts w:ascii="Calibri" w:eastAsia="Times New Roman" w:hAnsi="Calibri" w:cs="Times New Roman"/>
                <w:color w:val="000000"/>
                <w:sz w:val="20"/>
                <w:szCs w:val="20"/>
              </w:rPr>
            </w:pPr>
            <w:r w:rsidRPr="00CC6625">
              <w:rPr>
                <w:rFonts w:ascii="Calibri" w:eastAsia="Times New Roman" w:hAnsi="Calibri" w:cs="Times New Roman"/>
                <w:color w:val="000000"/>
                <w:sz w:val="20"/>
                <w:szCs w:val="20"/>
              </w:rPr>
              <w:t>Appliance Other</w:t>
            </w:r>
          </w:p>
        </w:tc>
        <w:tc>
          <w:tcPr>
            <w:tcW w:w="752" w:type="pct"/>
            <w:shd w:val="clear" w:color="auto" w:fill="auto"/>
            <w:vAlign w:val="center"/>
            <w:hideMark/>
          </w:tcPr>
          <w:p w:rsidR="00CC6625" w:rsidRPr="00CC6625" w:rsidRDefault="00CC6625" w:rsidP="005101AE">
            <w:pPr>
              <w:keepNext/>
              <w:keepLines/>
              <w:spacing w:after="0"/>
              <w:jc w:val="right"/>
              <w:rPr>
                <w:rFonts w:ascii="Calibri" w:eastAsia="Times New Roman" w:hAnsi="Calibri" w:cs="Times New Roman"/>
                <w:color w:val="000000"/>
                <w:sz w:val="20"/>
                <w:szCs w:val="20"/>
              </w:rPr>
            </w:pPr>
            <w:r w:rsidRPr="00CC6625">
              <w:rPr>
                <w:rFonts w:ascii="Calibri" w:eastAsia="Times New Roman" w:hAnsi="Calibri" w:cs="Times New Roman"/>
                <w:color w:val="000000"/>
                <w:sz w:val="20"/>
                <w:szCs w:val="20"/>
              </w:rPr>
              <w:t>49</w:t>
            </w:r>
            <w:r w:rsidR="0076753A">
              <w:rPr>
                <w:rFonts w:ascii="Calibri" w:eastAsia="Times New Roman" w:hAnsi="Calibri" w:cs="Times New Roman"/>
                <w:color w:val="000000"/>
                <w:sz w:val="20"/>
                <w:szCs w:val="20"/>
              </w:rPr>
              <w:t>8</w:t>
            </w:r>
          </w:p>
        </w:tc>
        <w:tc>
          <w:tcPr>
            <w:tcW w:w="799" w:type="pct"/>
            <w:shd w:val="clear" w:color="auto" w:fill="auto"/>
            <w:vAlign w:val="center"/>
            <w:hideMark/>
          </w:tcPr>
          <w:p w:rsidR="00CC6625" w:rsidRPr="00CC6625" w:rsidRDefault="00CC6625" w:rsidP="005101AE">
            <w:pPr>
              <w:keepNext/>
              <w:keepLines/>
              <w:spacing w:after="0"/>
              <w:jc w:val="right"/>
              <w:rPr>
                <w:rFonts w:ascii="Calibri" w:eastAsia="Times New Roman" w:hAnsi="Calibri" w:cs="Times New Roman"/>
                <w:color w:val="000000"/>
                <w:sz w:val="20"/>
                <w:szCs w:val="20"/>
              </w:rPr>
            </w:pPr>
            <w:r w:rsidRPr="00CC6625">
              <w:rPr>
                <w:rFonts w:ascii="Calibri" w:eastAsia="Times New Roman" w:hAnsi="Calibri" w:cs="Times New Roman"/>
                <w:color w:val="000000"/>
                <w:sz w:val="20"/>
                <w:szCs w:val="20"/>
              </w:rPr>
              <w:t>353</w:t>
            </w:r>
          </w:p>
        </w:tc>
        <w:tc>
          <w:tcPr>
            <w:tcW w:w="658" w:type="pct"/>
            <w:shd w:val="clear" w:color="auto" w:fill="auto"/>
            <w:vAlign w:val="center"/>
            <w:hideMark/>
          </w:tcPr>
          <w:p w:rsidR="00CC6625" w:rsidRPr="00CC6625" w:rsidRDefault="00CC6625" w:rsidP="005101AE">
            <w:pPr>
              <w:keepNext/>
              <w:keepLines/>
              <w:spacing w:after="0"/>
              <w:jc w:val="right"/>
              <w:rPr>
                <w:rFonts w:ascii="Calibri" w:eastAsia="Times New Roman" w:hAnsi="Calibri" w:cs="Times New Roman"/>
                <w:color w:val="000000"/>
                <w:sz w:val="20"/>
                <w:szCs w:val="20"/>
              </w:rPr>
            </w:pPr>
            <w:r w:rsidRPr="00CC6625">
              <w:rPr>
                <w:rFonts w:ascii="Calibri" w:eastAsia="Times New Roman" w:hAnsi="Calibri" w:cs="Times New Roman"/>
                <w:color w:val="000000"/>
                <w:sz w:val="20"/>
                <w:szCs w:val="20"/>
              </w:rPr>
              <w:t>14</w:t>
            </w:r>
            <w:r w:rsidR="0076753A">
              <w:rPr>
                <w:rFonts w:ascii="Calibri" w:eastAsia="Times New Roman" w:hAnsi="Calibri" w:cs="Times New Roman"/>
                <w:color w:val="000000"/>
                <w:sz w:val="20"/>
                <w:szCs w:val="20"/>
              </w:rPr>
              <w:t>1</w:t>
            </w:r>
            <w:r w:rsidRPr="00CC6625">
              <w:rPr>
                <w:rFonts w:ascii="Calibri" w:eastAsia="Times New Roman" w:hAnsi="Calibri" w:cs="Times New Roman"/>
                <w:color w:val="000000"/>
                <w:sz w:val="20"/>
                <w:szCs w:val="20"/>
              </w:rPr>
              <w:t>%</w:t>
            </w:r>
          </w:p>
        </w:tc>
        <w:tc>
          <w:tcPr>
            <w:tcW w:w="987" w:type="pct"/>
            <w:shd w:val="clear" w:color="auto" w:fill="auto"/>
            <w:vAlign w:val="center"/>
            <w:hideMark/>
          </w:tcPr>
          <w:p w:rsidR="00CC6625" w:rsidRPr="00CC6625" w:rsidRDefault="00CC6625" w:rsidP="005101AE">
            <w:pPr>
              <w:keepNext/>
              <w:keepLines/>
              <w:spacing w:after="0"/>
              <w:jc w:val="right"/>
              <w:rPr>
                <w:rFonts w:ascii="Calibri" w:eastAsia="Times New Roman" w:hAnsi="Calibri" w:cs="Times New Roman"/>
                <w:color w:val="000000"/>
                <w:sz w:val="20"/>
                <w:szCs w:val="20"/>
              </w:rPr>
            </w:pPr>
            <w:r w:rsidRPr="00CC6625">
              <w:rPr>
                <w:rFonts w:ascii="Calibri" w:eastAsia="Times New Roman" w:hAnsi="Calibri" w:cs="Times New Roman"/>
                <w:color w:val="000000"/>
                <w:sz w:val="20"/>
                <w:szCs w:val="20"/>
              </w:rPr>
              <w:t>7%</w:t>
            </w:r>
          </w:p>
        </w:tc>
        <w:tc>
          <w:tcPr>
            <w:tcW w:w="996" w:type="pct"/>
            <w:shd w:val="clear" w:color="auto" w:fill="auto"/>
            <w:vAlign w:val="center"/>
            <w:hideMark/>
          </w:tcPr>
          <w:p w:rsidR="00CC6625" w:rsidRPr="00CC6625" w:rsidRDefault="00CC6625" w:rsidP="005101AE">
            <w:pPr>
              <w:keepNext/>
              <w:keepLines/>
              <w:spacing w:after="0"/>
              <w:jc w:val="right"/>
              <w:rPr>
                <w:rFonts w:ascii="Calibri" w:eastAsia="Times New Roman" w:hAnsi="Calibri" w:cs="Times New Roman"/>
                <w:color w:val="000000"/>
                <w:sz w:val="20"/>
                <w:szCs w:val="20"/>
              </w:rPr>
            </w:pPr>
            <w:r w:rsidRPr="00CC6625">
              <w:rPr>
                <w:rFonts w:ascii="Calibri" w:eastAsia="Times New Roman" w:hAnsi="Calibri" w:cs="Times New Roman"/>
                <w:color w:val="000000"/>
                <w:sz w:val="20"/>
                <w:szCs w:val="20"/>
              </w:rPr>
              <w:t>5%</w:t>
            </w:r>
          </w:p>
        </w:tc>
      </w:tr>
    </w:tbl>
    <w:p w:rsidR="00CC6625" w:rsidRDefault="00CC6625" w:rsidP="005101AE">
      <w:pPr>
        <w:pStyle w:val="NormalAfterTablesandFigures"/>
        <w:keepNext/>
        <w:keepLines/>
      </w:pPr>
    </w:p>
    <w:p w:rsidR="00AB27A2" w:rsidRPr="00AB27A2" w:rsidRDefault="006C6632" w:rsidP="00E82AF2">
      <w:r>
        <w:t>HES-IE m</w:t>
      </w:r>
      <w:r w:rsidR="00AB27A2">
        <w:t xml:space="preserve">odel estimates for refrigerators and freezers </w:t>
      </w:r>
      <w:r w:rsidR="0005204D">
        <w:t xml:space="preserve">are higher than </w:t>
      </w:r>
      <w:r w:rsidR="00AB27A2">
        <w:t>savings estimated for these measures under HES (using engineering algorithms). This variation</w:t>
      </w:r>
      <w:r>
        <w:t>, however, was</w:t>
      </w:r>
      <w:r w:rsidR="006401CF">
        <w:t xml:space="preserve"> </w:t>
      </w:r>
      <w:r w:rsidR="00AB27A2">
        <w:t>expected, as HES-IE replacements capture the existing baseline for these measures</w:t>
      </w:r>
      <w:r>
        <w:t xml:space="preserve"> and </w:t>
      </w:r>
      <w:r w:rsidR="00AB27A2">
        <w:t>should reflect a more significant change in consumption than replacements under HES (</w:t>
      </w:r>
      <w:r>
        <w:t xml:space="preserve">i.e., </w:t>
      </w:r>
      <w:r w:rsidR="00AB27A2">
        <w:t>going from standard to high-efficiency units).</w:t>
      </w:r>
    </w:p>
    <w:p w:rsidR="00AF07EA" w:rsidRDefault="0085314A" w:rsidP="00AF07EA">
      <w:pPr>
        <w:pStyle w:val="Heading3"/>
      </w:pPr>
      <w:r>
        <w:t xml:space="preserve">HES-IE </w:t>
      </w:r>
      <w:r w:rsidR="00AF07EA">
        <w:t>Natural Gas</w:t>
      </w:r>
      <w:r w:rsidR="006C0178">
        <w:t xml:space="preserve"> Savings</w:t>
      </w:r>
    </w:p>
    <w:p w:rsidR="002C62A8" w:rsidRPr="005520AB" w:rsidRDefault="002C62A8" w:rsidP="002C62A8">
      <w:pPr>
        <w:rPr>
          <w:b/>
        </w:rPr>
      </w:pPr>
      <w:r>
        <w:t>The billing analysis provided</w:t>
      </w:r>
      <w:r w:rsidR="00F21864">
        <w:t xml:space="preserve"> </w:t>
      </w:r>
      <w:r>
        <w:t>estimate</w:t>
      </w:r>
      <w:r w:rsidR="00110D97">
        <w:t>s</w:t>
      </w:r>
      <w:r>
        <w:t xml:space="preserve"> of gas </w:t>
      </w:r>
      <w:r w:rsidRPr="005520AB">
        <w:t xml:space="preserve">savings </w:t>
      </w:r>
      <w:r>
        <w:t>for several HES-IE measure categories: heating system replacement</w:t>
      </w:r>
      <w:r w:rsidR="00F21864">
        <w:t>;</w:t>
      </w:r>
      <w:r>
        <w:t xml:space="preserve"> air sealing</w:t>
      </w:r>
      <w:r w:rsidR="00F21864">
        <w:t>;</w:t>
      </w:r>
      <w:r>
        <w:t xml:space="preserve"> wall insulation</w:t>
      </w:r>
      <w:r w:rsidR="00F21864">
        <w:t>;</w:t>
      </w:r>
      <w:r>
        <w:t xml:space="preserve"> and the </w:t>
      </w:r>
      <w:r w:rsidR="00110D97">
        <w:t xml:space="preserve">DHW </w:t>
      </w:r>
      <w:r>
        <w:t xml:space="preserve">bundle. All other gas savings </w:t>
      </w:r>
      <w:r w:rsidR="00F21864">
        <w:t xml:space="preserve">estimates </w:t>
      </w:r>
      <w:r>
        <w:t>presented in this section were determined through engineering algorithms and simulation modeling.</w:t>
      </w:r>
    </w:p>
    <w:p w:rsidR="000D7AE0" w:rsidRDefault="00453172" w:rsidP="00E04376">
      <w:pPr>
        <w:pStyle w:val="Heading4"/>
      </w:pPr>
      <w:r>
        <w:t>Shell</w:t>
      </w:r>
      <w:r w:rsidR="00AF41A6">
        <w:t xml:space="preserve"> Measures</w:t>
      </w:r>
      <w:r>
        <w:t xml:space="preserve"> and </w:t>
      </w:r>
      <w:r w:rsidR="00AF41A6">
        <w:t xml:space="preserve">Duct </w:t>
      </w:r>
      <w:r>
        <w:t>Sealing</w:t>
      </w:r>
    </w:p>
    <w:p w:rsidR="003009EA" w:rsidRDefault="003009EA" w:rsidP="00996F3F">
      <w:r>
        <w:t>The Evaluation Team estimated impacts for shell measures (including insulation and air sealing) and duct-sealing measures</w:t>
      </w:r>
      <w:r w:rsidR="00825111">
        <w:t>,</w:t>
      </w:r>
      <w:r>
        <w:t xml:space="preserve"> primarily using a combination of billing analysis and building simulation models. Specifically, estimates for air sealing and wall insulation </w:t>
      </w:r>
      <w:r w:rsidR="00825111">
        <w:t>were</w:t>
      </w:r>
      <w:r>
        <w:t xml:space="preserve"> estimated using billing analysis, given precision estimates meeting the study’s threshold. Impacts associated with window replacements </w:t>
      </w:r>
      <w:r w:rsidR="001C6B05">
        <w:t xml:space="preserve">were </w:t>
      </w:r>
      <w:r w:rsidR="00150AD4">
        <w:t xml:space="preserve">assessed </w:t>
      </w:r>
      <w:r>
        <w:t>using engineering algorithms due to limited information provided in the program tracking data.</w:t>
      </w:r>
    </w:p>
    <w:p w:rsidR="00996F3F" w:rsidRDefault="00632EF5" w:rsidP="00996F3F">
      <w:r>
        <w:t>While duct</w:t>
      </w:r>
      <w:r w:rsidR="00F21864">
        <w:t>-</w:t>
      </w:r>
      <w:r>
        <w:t xml:space="preserve">sealing impacts </w:t>
      </w:r>
      <w:r w:rsidR="00F21864">
        <w:t>exhibit</w:t>
      </w:r>
      <w:r w:rsidR="001C6B05">
        <w:t>ed</w:t>
      </w:r>
      <w:r w:rsidR="00F21864">
        <w:t xml:space="preserve"> </w:t>
      </w:r>
      <w:r>
        <w:t xml:space="preserve">a greater association to savings occurring through reduced energy losses from heating and cooling, </w:t>
      </w:r>
      <w:r w:rsidR="00F21864">
        <w:t xml:space="preserve">the report presents </w:t>
      </w:r>
      <w:r>
        <w:t>these together with shell measures</w:t>
      </w:r>
      <w:r w:rsidR="00F21864">
        <w:t>,</w:t>
      </w:r>
      <w:r>
        <w:t xml:space="preserve"> given </w:t>
      </w:r>
      <w:r w:rsidR="00F21864">
        <w:t xml:space="preserve">the </w:t>
      </w:r>
      <w:r>
        <w:t>similarities in evaluation method</w:t>
      </w:r>
      <w:r w:rsidR="00F21864">
        <w:t>s</w:t>
      </w:r>
      <w:r>
        <w:t xml:space="preserve"> and </w:t>
      </w:r>
      <w:r w:rsidR="00F21864">
        <w:t xml:space="preserve">the </w:t>
      </w:r>
      <w:r>
        <w:t>discussion of results.</w:t>
      </w:r>
    </w:p>
    <w:p w:rsidR="00996F3F" w:rsidRDefault="00996F3F" w:rsidP="00E04376">
      <w:pPr>
        <w:pStyle w:val="Heading5"/>
      </w:pPr>
      <w:r>
        <w:t>Billing Analysis Results</w:t>
      </w:r>
    </w:p>
    <w:p w:rsidR="00996F3F" w:rsidRPr="000D7AE0" w:rsidRDefault="00996F3F" w:rsidP="00996F3F">
      <w:r>
        <w:t xml:space="preserve">The Evaluation Team estimated impacts for air sealing and wall insulation </w:t>
      </w:r>
      <w:r w:rsidR="00F21864">
        <w:t xml:space="preserve">using </w:t>
      </w:r>
      <w:r>
        <w:t xml:space="preserve">the billing analysis, </w:t>
      </w:r>
      <w:r w:rsidR="00F21864">
        <w:t xml:space="preserve">given </w:t>
      </w:r>
      <w:r>
        <w:t xml:space="preserve">this measure achieved a precision </w:t>
      </w:r>
      <w:r w:rsidR="003E3609">
        <w:t xml:space="preserve">estimate </w:t>
      </w:r>
      <w:r>
        <w:t xml:space="preserve">of less than </w:t>
      </w:r>
      <w:r w:rsidR="003E3609">
        <w:t>the study threshold</w:t>
      </w:r>
      <w:r>
        <w:t xml:space="preserve">. </w:t>
      </w:r>
      <w:r w:rsidR="005C2163">
        <w:fldChar w:fldCharType="begin"/>
      </w:r>
      <w:r w:rsidR="00E04376">
        <w:instrText xml:space="preserve"> REF _Ref388436238 \h </w:instrText>
      </w:r>
      <w:r w:rsidR="005C2163">
        <w:fldChar w:fldCharType="separate"/>
      </w:r>
      <w:r w:rsidR="00CD20CF">
        <w:t xml:space="preserve">Table </w:t>
      </w:r>
      <w:r w:rsidR="00CD20CF">
        <w:rPr>
          <w:noProof/>
        </w:rPr>
        <w:t>59</w:t>
      </w:r>
      <w:r w:rsidR="005C2163">
        <w:fldChar w:fldCharType="end"/>
      </w:r>
      <w:r>
        <w:t xml:space="preserve"> presents the corresponding billing analysis model results. </w:t>
      </w:r>
    </w:p>
    <w:p w:rsidR="00996F3F" w:rsidRDefault="00996F3F" w:rsidP="00F21864">
      <w:pPr>
        <w:pStyle w:val="Caption"/>
      </w:pPr>
      <w:bookmarkStart w:id="110" w:name="_Ref388436238"/>
      <w:r>
        <w:t xml:space="preserve">Table </w:t>
      </w:r>
      <w:r w:rsidR="002506E1">
        <w:fldChar w:fldCharType="begin"/>
      </w:r>
      <w:r w:rsidR="002506E1">
        <w:instrText xml:space="preserve"> SEQ Table \* ARABIC </w:instrText>
      </w:r>
      <w:r w:rsidR="002506E1">
        <w:fldChar w:fldCharType="separate"/>
      </w:r>
      <w:r w:rsidR="00CD20CF">
        <w:rPr>
          <w:noProof/>
        </w:rPr>
        <w:t>59</w:t>
      </w:r>
      <w:r w:rsidR="002506E1">
        <w:rPr>
          <w:noProof/>
        </w:rPr>
        <w:fldChar w:fldCharType="end"/>
      </w:r>
      <w:bookmarkEnd w:id="110"/>
      <w:r>
        <w:t>. HES-IE Billing Analysis Gas Savings Results for Air Sealing and Wall Insulation</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58"/>
        <w:gridCol w:w="720"/>
        <w:gridCol w:w="990"/>
        <w:gridCol w:w="1620"/>
        <w:gridCol w:w="2340"/>
        <w:gridCol w:w="2448"/>
      </w:tblGrid>
      <w:tr w:rsidR="00E82AF2" w:rsidRPr="002E3FF4" w:rsidTr="00E82AF2">
        <w:tc>
          <w:tcPr>
            <w:tcW w:w="761" w:type="pct"/>
            <w:shd w:val="clear" w:color="000000" w:fill="005DAA"/>
            <w:vAlign w:val="center"/>
            <w:hideMark/>
          </w:tcPr>
          <w:p w:rsidR="002E3FF4" w:rsidRPr="002E3FF4" w:rsidRDefault="002E3FF4" w:rsidP="00E82AF2">
            <w:pPr>
              <w:spacing w:after="0"/>
              <w:jc w:val="center"/>
              <w:rPr>
                <w:rFonts w:ascii="Calibri" w:eastAsia="Times New Roman" w:hAnsi="Calibri" w:cs="Times New Roman"/>
                <w:b/>
                <w:bCs/>
                <w:color w:val="FFFFFF"/>
              </w:rPr>
            </w:pPr>
            <w:r w:rsidRPr="002E3FF4">
              <w:rPr>
                <w:rFonts w:ascii="Calibri" w:eastAsia="Times New Roman" w:hAnsi="Calibri" w:cs="Times New Roman"/>
                <w:b/>
                <w:bCs/>
                <w:color w:val="FFFFFF"/>
              </w:rPr>
              <w:t>Measure</w:t>
            </w:r>
          </w:p>
        </w:tc>
        <w:tc>
          <w:tcPr>
            <w:tcW w:w="376" w:type="pct"/>
            <w:shd w:val="clear" w:color="000000" w:fill="005DAA"/>
            <w:vAlign w:val="center"/>
            <w:hideMark/>
          </w:tcPr>
          <w:p w:rsidR="002E3FF4" w:rsidRPr="002E3FF4" w:rsidRDefault="002E3FF4" w:rsidP="00E82AF2">
            <w:pPr>
              <w:spacing w:after="0"/>
              <w:jc w:val="center"/>
              <w:rPr>
                <w:rFonts w:ascii="Calibri" w:eastAsia="Times New Roman" w:hAnsi="Calibri" w:cs="Times New Roman"/>
                <w:b/>
                <w:bCs/>
                <w:color w:val="FFFFFF"/>
              </w:rPr>
            </w:pPr>
            <w:r w:rsidRPr="002E3FF4">
              <w:rPr>
                <w:rFonts w:ascii="Calibri" w:eastAsia="Times New Roman" w:hAnsi="Calibri" w:cs="Times New Roman"/>
                <w:b/>
                <w:bCs/>
                <w:color w:val="FFFFFF"/>
              </w:rPr>
              <w:t>n</w:t>
            </w:r>
          </w:p>
        </w:tc>
        <w:tc>
          <w:tcPr>
            <w:tcW w:w="517" w:type="pct"/>
            <w:shd w:val="clear" w:color="000000" w:fill="005DAA"/>
            <w:vAlign w:val="center"/>
            <w:hideMark/>
          </w:tcPr>
          <w:p w:rsidR="002E3FF4" w:rsidRPr="002E3FF4" w:rsidRDefault="002E3FF4" w:rsidP="00E82AF2">
            <w:pPr>
              <w:spacing w:after="0"/>
              <w:jc w:val="center"/>
              <w:rPr>
                <w:rFonts w:ascii="Calibri" w:eastAsia="Times New Roman" w:hAnsi="Calibri" w:cs="Times New Roman"/>
                <w:b/>
                <w:bCs/>
                <w:color w:val="FFFFFF"/>
              </w:rPr>
            </w:pPr>
            <w:r w:rsidRPr="002E3FF4">
              <w:rPr>
                <w:rFonts w:ascii="Calibri" w:eastAsia="Times New Roman" w:hAnsi="Calibri" w:cs="Times New Roman"/>
                <w:b/>
                <w:bCs/>
                <w:color w:val="FFFFFF"/>
              </w:rPr>
              <w:t>PRENAC</w:t>
            </w:r>
          </w:p>
        </w:tc>
        <w:tc>
          <w:tcPr>
            <w:tcW w:w="846" w:type="pct"/>
            <w:shd w:val="clear" w:color="000000" w:fill="005DAA"/>
            <w:vAlign w:val="center"/>
            <w:hideMark/>
          </w:tcPr>
          <w:p w:rsidR="002E3FF4" w:rsidRPr="002E3FF4" w:rsidRDefault="002E3FF4" w:rsidP="00E82AF2">
            <w:pPr>
              <w:spacing w:after="0"/>
              <w:jc w:val="center"/>
              <w:rPr>
                <w:rFonts w:ascii="Calibri" w:eastAsia="Times New Roman" w:hAnsi="Calibri" w:cs="Times New Roman"/>
                <w:b/>
                <w:bCs/>
                <w:color w:val="FFFFFF"/>
              </w:rPr>
            </w:pPr>
            <w:r w:rsidRPr="002E3FF4">
              <w:rPr>
                <w:rFonts w:ascii="Calibri" w:eastAsia="Times New Roman" w:hAnsi="Calibri" w:cs="Times New Roman"/>
                <w:b/>
                <w:bCs/>
                <w:color w:val="FFFFFF"/>
              </w:rPr>
              <w:t>Model Savings (CCF)</w:t>
            </w:r>
          </w:p>
        </w:tc>
        <w:tc>
          <w:tcPr>
            <w:tcW w:w="1222" w:type="pct"/>
            <w:shd w:val="clear" w:color="000000" w:fill="005DAA"/>
            <w:vAlign w:val="center"/>
            <w:hideMark/>
          </w:tcPr>
          <w:p w:rsidR="002E3FF4" w:rsidRPr="002E3FF4" w:rsidRDefault="002E3FF4" w:rsidP="00E82AF2">
            <w:pPr>
              <w:spacing w:after="0"/>
              <w:jc w:val="center"/>
              <w:rPr>
                <w:rFonts w:ascii="Calibri" w:eastAsia="Times New Roman" w:hAnsi="Calibri" w:cs="Times New Roman"/>
                <w:b/>
                <w:bCs/>
                <w:color w:val="FFFFFF"/>
              </w:rPr>
            </w:pPr>
            <w:r w:rsidRPr="002E3FF4">
              <w:rPr>
                <w:rFonts w:ascii="Calibri" w:eastAsia="Times New Roman" w:hAnsi="Calibri" w:cs="Times New Roman"/>
                <w:b/>
                <w:bCs/>
                <w:color w:val="FFFFFF"/>
              </w:rPr>
              <w:t>Savings as Percent of Pre-Usage</w:t>
            </w:r>
          </w:p>
        </w:tc>
        <w:tc>
          <w:tcPr>
            <w:tcW w:w="1278" w:type="pct"/>
            <w:shd w:val="clear" w:color="000000" w:fill="005DAA"/>
            <w:vAlign w:val="center"/>
            <w:hideMark/>
          </w:tcPr>
          <w:p w:rsidR="002E3FF4" w:rsidRPr="002E3FF4" w:rsidRDefault="002E3FF4" w:rsidP="00E82AF2">
            <w:pPr>
              <w:spacing w:after="0"/>
              <w:jc w:val="center"/>
              <w:rPr>
                <w:rFonts w:ascii="Calibri" w:eastAsia="Times New Roman" w:hAnsi="Calibri" w:cs="Times New Roman"/>
                <w:b/>
                <w:bCs/>
                <w:color w:val="FFFFFF"/>
              </w:rPr>
            </w:pPr>
            <w:r w:rsidRPr="002E3FF4">
              <w:rPr>
                <w:rFonts w:ascii="Calibri" w:eastAsia="Times New Roman" w:hAnsi="Calibri" w:cs="Times New Roman"/>
                <w:b/>
                <w:bCs/>
                <w:color w:val="FFFFFF"/>
              </w:rPr>
              <w:t>Relative Precision at 90%</w:t>
            </w:r>
          </w:p>
        </w:tc>
      </w:tr>
      <w:tr w:rsidR="00E82AF2" w:rsidRPr="002E3FF4" w:rsidTr="00E82AF2">
        <w:tc>
          <w:tcPr>
            <w:tcW w:w="761" w:type="pct"/>
            <w:shd w:val="clear" w:color="auto" w:fill="auto"/>
            <w:vAlign w:val="center"/>
            <w:hideMark/>
          </w:tcPr>
          <w:p w:rsidR="002E3FF4" w:rsidRPr="002E3FF4" w:rsidRDefault="002E3FF4" w:rsidP="00E82AF2">
            <w:pPr>
              <w:spacing w:after="0"/>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Air Sealing</w:t>
            </w:r>
          </w:p>
        </w:tc>
        <w:tc>
          <w:tcPr>
            <w:tcW w:w="376" w:type="pct"/>
            <w:shd w:val="clear" w:color="auto" w:fill="auto"/>
            <w:vAlign w:val="center"/>
            <w:hideMark/>
          </w:tcPr>
          <w:p w:rsidR="002E3FF4" w:rsidRPr="002E3FF4" w:rsidRDefault="002E3FF4" w:rsidP="00E82AF2">
            <w:pPr>
              <w:spacing w:after="0"/>
              <w:jc w:val="right"/>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984</w:t>
            </w:r>
          </w:p>
        </w:tc>
        <w:tc>
          <w:tcPr>
            <w:tcW w:w="517" w:type="pct"/>
            <w:shd w:val="clear" w:color="auto" w:fill="auto"/>
            <w:vAlign w:val="center"/>
            <w:hideMark/>
          </w:tcPr>
          <w:p w:rsidR="002E3FF4" w:rsidRPr="002E3FF4" w:rsidRDefault="002E3FF4" w:rsidP="00E82AF2">
            <w:pPr>
              <w:spacing w:after="0"/>
              <w:jc w:val="right"/>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932</w:t>
            </w:r>
          </w:p>
        </w:tc>
        <w:tc>
          <w:tcPr>
            <w:tcW w:w="846" w:type="pct"/>
            <w:shd w:val="clear" w:color="auto" w:fill="auto"/>
            <w:vAlign w:val="center"/>
            <w:hideMark/>
          </w:tcPr>
          <w:p w:rsidR="002E3FF4" w:rsidRPr="002E3FF4" w:rsidRDefault="002E3FF4" w:rsidP="00E82AF2">
            <w:pPr>
              <w:spacing w:after="0"/>
              <w:jc w:val="right"/>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36</w:t>
            </w:r>
          </w:p>
        </w:tc>
        <w:tc>
          <w:tcPr>
            <w:tcW w:w="1222" w:type="pct"/>
            <w:shd w:val="clear" w:color="auto" w:fill="auto"/>
            <w:vAlign w:val="center"/>
            <w:hideMark/>
          </w:tcPr>
          <w:p w:rsidR="002E3FF4" w:rsidRPr="002E3FF4" w:rsidRDefault="002E3FF4" w:rsidP="00E82AF2">
            <w:pPr>
              <w:spacing w:after="0"/>
              <w:jc w:val="right"/>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4%</w:t>
            </w:r>
          </w:p>
        </w:tc>
        <w:tc>
          <w:tcPr>
            <w:tcW w:w="1278" w:type="pct"/>
            <w:shd w:val="clear" w:color="auto" w:fill="auto"/>
            <w:vAlign w:val="center"/>
            <w:hideMark/>
          </w:tcPr>
          <w:p w:rsidR="002E3FF4" w:rsidRPr="002E3FF4" w:rsidRDefault="0021453A" w:rsidP="00E82AF2">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2E3FF4" w:rsidRPr="002E3FF4">
              <w:rPr>
                <w:rFonts w:ascii="Calibri" w:eastAsia="Times New Roman" w:hAnsi="Calibri" w:cs="Times New Roman"/>
                <w:color w:val="000000"/>
                <w:sz w:val="20"/>
                <w:szCs w:val="20"/>
              </w:rPr>
              <w:t>31%</w:t>
            </w:r>
          </w:p>
        </w:tc>
      </w:tr>
      <w:tr w:rsidR="00E82AF2" w:rsidRPr="002E3FF4" w:rsidTr="00E82AF2">
        <w:tc>
          <w:tcPr>
            <w:tcW w:w="761" w:type="pct"/>
            <w:shd w:val="clear" w:color="auto" w:fill="auto"/>
            <w:vAlign w:val="center"/>
            <w:hideMark/>
          </w:tcPr>
          <w:p w:rsidR="002E3FF4" w:rsidRPr="002E3FF4" w:rsidRDefault="002E3FF4" w:rsidP="00E82AF2">
            <w:pPr>
              <w:spacing w:after="0"/>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Wall Insulation</w:t>
            </w:r>
          </w:p>
        </w:tc>
        <w:tc>
          <w:tcPr>
            <w:tcW w:w="376" w:type="pct"/>
            <w:shd w:val="clear" w:color="auto" w:fill="auto"/>
            <w:vAlign w:val="center"/>
            <w:hideMark/>
          </w:tcPr>
          <w:p w:rsidR="002E3FF4" w:rsidRPr="002E3FF4" w:rsidRDefault="002E3FF4" w:rsidP="00E82AF2">
            <w:pPr>
              <w:spacing w:after="0"/>
              <w:jc w:val="right"/>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162</w:t>
            </w:r>
          </w:p>
        </w:tc>
        <w:tc>
          <w:tcPr>
            <w:tcW w:w="517" w:type="pct"/>
            <w:shd w:val="clear" w:color="auto" w:fill="auto"/>
            <w:vAlign w:val="center"/>
            <w:hideMark/>
          </w:tcPr>
          <w:p w:rsidR="002E3FF4" w:rsidRPr="002E3FF4" w:rsidRDefault="002E3FF4" w:rsidP="00E82AF2">
            <w:pPr>
              <w:spacing w:after="0"/>
              <w:jc w:val="right"/>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975</w:t>
            </w:r>
          </w:p>
        </w:tc>
        <w:tc>
          <w:tcPr>
            <w:tcW w:w="846" w:type="pct"/>
            <w:shd w:val="clear" w:color="auto" w:fill="auto"/>
            <w:vAlign w:val="center"/>
            <w:hideMark/>
          </w:tcPr>
          <w:p w:rsidR="002E3FF4" w:rsidRPr="002E3FF4" w:rsidRDefault="002E3FF4" w:rsidP="00E82AF2">
            <w:pPr>
              <w:spacing w:after="0"/>
              <w:jc w:val="right"/>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96</w:t>
            </w:r>
          </w:p>
        </w:tc>
        <w:tc>
          <w:tcPr>
            <w:tcW w:w="1222" w:type="pct"/>
            <w:shd w:val="clear" w:color="auto" w:fill="auto"/>
            <w:vAlign w:val="center"/>
            <w:hideMark/>
          </w:tcPr>
          <w:p w:rsidR="002E3FF4" w:rsidRPr="002E3FF4" w:rsidRDefault="002E3FF4" w:rsidP="00E82AF2">
            <w:pPr>
              <w:spacing w:after="0"/>
              <w:jc w:val="right"/>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10%</w:t>
            </w:r>
          </w:p>
        </w:tc>
        <w:tc>
          <w:tcPr>
            <w:tcW w:w="1278" w:type="pct"/>
            <w:shd w:val="clear" w:color="auto" w:fill="auto"/>
            <w:vAlign w:val="center"/>
            <w:hideMark/>
          </w:tcPr>
          <w:p w:rsidR="002E3FF4" w:rsidRPr="002E3FF4" w:rsidRDefault="0021453A" w:rsidP="00E82AF2">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2E3FF4" w:rsidRPr="002E3FF4">
              <w:rPr>
                <w:rFonts w:ascii="Calibri" w:eastAsia="Times New Roman" w:hAnsi="Calibri" w:cs="Times New Roman"/>
                <w:color w:val="000000"/>
                <w:sz w:val="20"/>
                <w:szCs w:val="20"/>
              </w:rPr>
              <w:t>30%</w:t>
            </w:r>
          </w:p>
        </w:tc>
      </w:tr>
    </w:tbl>
    <w:p w:rsidR="00996F3F" w:rsidRDefault="00996F3F" w:rsidP="00E04376">
      <w:pPr>
        <w:pStyle w:val="NormalAfterTablesandFigures"/>
      </w:pPr>
    </w:p>
    <w:p w:rsidR="00996F3F" w:rsidRPr="000E6110" w:rsidRDefault="005C2163" w:rsidP="002E3FF4">
      <w:r>
        <w:fldChar w:fldCharType="begin"/>
      </w:r>
      <w:r w:rsidR="00E04376">
        <w:instrText xml:space="preserve"> REF _Ref388436341 \h </w:instrText>
      </w:r>
      <w:r>
        <w:fldChar w:fldCharType="separate"/>
      </w:r>
      <w:r w:rsidR="00CD20CF">
        <w:t xml:space="preserve">Table </w:t>
      </w:r>
      <w:r w:rsidR="00CD20CF">
        <w:rPr>
          <w:noProof/>
        </w:rPr>
        <w:t>60</w:t>
      </w:r>
      <w:r>
        <w:fldChar w:fldCharType="end"/>
      </w:r>
      <w:r w:rsidR="00996F3F">
        <w:t xml:space="preserve"> provides realization rates</w:t>
      </w:r>
      <w:r w:rsidR="001C6B05">
        <w:t>,</w:t>
      </w:r>
      <w:r w:rsidR="00996F3F">
        <w:t xml:space="preserve"> based on comparing the gross savings estimate </w:t>
      </w:r>
      <w:r w:rsidR="00F21864">
        <w:t>(</w:t>
      </w:r>
      <w:r w:rsidR="00996F3F">
        <w:t>from the billing analysis</w:t>
      </w:r>
      <w:r w:rsidR="00F21864">
        <w:t>)</w:t>
      </w:r>
      <w:r w:rsidR="00996F3F">
        <w:t xml:space="preserve"> to average </w:t>
      </w:r>
      <w:r w:rsidR="00996F3F" w:rsidRPr="004E7EA6">
        <w:rPr>
          <w:i/>
        </w:rPr>
        <w:t>ex ante</w:t>
      </w:r>
      <w:r w:rsidR="00996F3F">
        <w:t xml:space="preserve"> savings per household.</w:t>
      </w:r>
    </w:p>
    <w:p w:rsidR="00996F3F" w:rsidRDefault="00996F3F" w:rsidP="002E3FF4">
      <w:pPr>
        <w:pStyle w:val="Caption"/>
      </w:pPr>
      <w:bookmarkStart w:id="111" w:name="_Ref388436341"/>
      <w:r>
        <w:lastRenderedPageBreak/>
        <w:t xml:space="preserve">Table </w:t>
      </w:r>
      <w:r w:rsidR="002506E1">
        <w:fldChar w:fldCharType="begin"/>
      </w:r>
      <w:r w:rsidR="002506E1">
        <w:instrText xml:space="preserve"> SEQ Table \* ARABIC </w:instrText>
      </w:r>
      <w:r w:rsidR="002506E1">
        <w:fldChar w:fldCharType="separate"/>
      </w:r>
      <w:r w:rsidR="00CD20CF">
        <w:rPr>
          <w:noProof/>
        </w:rPr>
        <w:t>60</w:t>
      </w:r>
      <w:r w:rsidR="002506E1">
        <w:rPr>
          <w:noProof/>
        </w:rPr>
        <w:fldChar w:fldCharType="end"/>
      </w:r>
      <w:bookmarkEnd w:id="111"/>
      <w:r>
        <w:t>. HES-IE Billing Analysis Realization Rate Summary for Air Sealing and Wall Insulation</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63"/>
        <w:gridCol w:w="1446"/>
        <w:gridCol w:w="1880"/>
        <w:gridCol w:w="1272"/>
        <w:gridCol w:w="1619"/>
        <w:gridCol w:w="1896"/>
      </w:tblGrid>
      <w:tr w:rsidR="00F21864" w:rsidRPr="00E32AB1" w:rsidTr="00F21864">
        <w:tc>
          <w:tcPr>
            <w:tcW w:w="761" w:type="pct"/>
            <w:shd w:val="clear" w:color="000000" w:fill="005DAA"/>
            <w:vAlign w:val="center"/>
            <w:hideMark/>
          </w:tcPr>
          <w:p w:rsidR="00996F3F" w:rsidRPr="00E32AB1" w:rsidRDefault="00996F3F" w:rsidP="002E3FF4">
            <w:pPr>
              <w:spacing w:after="0"/>
              <w:jc w:val="center"/>
              <w:rPr>
                <w:rFonts w:ascii="Calibri" w:eastAsia="Times New Roman" w:hAnsi="Calibri" w:cs="Times New Roman"/>
                <w:b/>
                <w:bCs/>
                <w:color w:val="FFFFFF"/>
              </w:rPr>
            </w:pPr>
            <w:r w:rsidRPr="00E32AB1">
              <w:rPr>
                <w:rFonts w:ascii="Calibri" w:eastAsia="Times New Roman" w:hAnsi="Calibri" w:cs="Times New Roman"/>
                <w:b/>
                <w:bCs/>
                <w:color w:val="FFFFFF"/>
              </w:rPr>
              <w:t>Measure</w:t>
            </w:r>
          </w:p>
        </w:tc>
        <w:tc>
          <w:tcPr>
            <w:tcW w:w="752" w:type="pct"/>
            <w:shd w:val="clear" w:color="000000" w:fill="005DAA"/>
            <w:vAlign w:val="center"/>
            <w:hideMark/>
          </w:tcPr>
          <w:p w:rsidR="00996F3F" w:rsidRPr="00E32AB1" w:rsidRDefault="00996F3F" w:rsidP="002E3FF4">
            <w:pPr>
              <w:spacing w:after="0"/>
              <w:jc w:val="center"/>
              <w:rPr>
                <w:rFonts w:ascii="Calibri" w:eastAsia="Times New Roman" w:hAnsi="Calibri" w:cs="Times New Roman"/>
                <w:b/>
                <w:bCs/>
                <w:color w:val="FFFFFF"/>
              </w:rPr>
            </w:pPr>
            <w:r w:rsidRPr="00E32AB1">
              <w:rPr>
                <w:rFonts w:ascii="Calibri" w:eastAsia="Times New Roman" w:hAnsi="Calibri" w:cs="Times New Roman"/>
                <w:b/>
                <w:bCs/>
                <w:color w:val="FFFFFF"/>
              </w:rPr>
              <w:t>Gross Model Savings (CCF)</w:t>
            </w:r>
          </w:p>
        </w:tc>
        <w:tc>
          <w:tcPr>
            <w:tcW w:w="987" w:type="pct"/>
            <w:shd w:val="clear" w:color="000000" w:fill="005DAA"/>
            <w:vAlign w:val="center"/>
            <w:hideMark/>
          </w:tcPr>
          <w:p w:rsidR="00996F3F" w:rsidRPr="00E32AB1" w:rsidRDefault="00996F3F" w:rsidP="002E3FF4">
            <w:pPr>
              <w:spacing w:after="0"/>
              <w:jc w:val="center"/>
              <w:rPr>
                <w:rFonts w:ascii="Calibri" w:eastAsia="Times New Roman" w:hAnsi="Calibri" w:cs="Times New Roman"/>
                <w:b/>
                <w:bCs/>
                <w:color w:val="FFFFFF"/>
              </w:rPr>
            </w:pPr>
            <w:r w:rsidRPr="00E32AB1">
              <w:rPr>
                <w:rFonts w:ascii="Calibri" w:eastAsia="Times New Roman" w:hAnsi="Calibri" w:cs="Times New Roman"/>
                <w:b/>
                <w:bCs/>
                <w:color w:val="FFFFFF"/>
              </w:rPr>
              <w:t xml:space="preserve">Reported </w:t>
            </w:r>
            <w:r w:rsidRPr="00CF5867">
              <w:rPr>
                <w:rFonts w:ascii="Calibri" w:eastAsia="Times New Roman" w:hAnsi="Calibri" w:cs="Times New Roman"/>
                <w:b/>
                <w:bCs/>
                <w:i/>
                <w:color w:val="FFFFFF"/>
              </w:rPr>
              <w:t>Ex Ante</w:t>
            </w:r>
            <w:r w:rsidRPr="00E32AB1">
              <w:rPr>
                <w:rFonts w:ascii="Calibri" w:eastAsia="Times New Roman" w:hAnsi="Calibri" w:cs="Times New Roman"/>
                <w:b/>
                <w:bCs/>
                <w:color w:val="FFFFFF"/>
              </w:rPr>
              <w:t xml:space="preserve"> Savings (CCF)</w:t>
            </w:r>
            <w:r w:rsidR="002E3FF4">
              <w:rPr>
                <w:rFonts w:ascii="Calibri" w:eastAsia="Times New Roman" w:hAnsi="Calibri" w:cs="Times New Roman"/>
                <w:b/>
                <w:bCs/>
                <w:color w:val="FFFFFF"/>
              </w:rPr>
              <w:t>*</w:t>
            </w:r>
          </w:p>
        </w:tc>
        <w:tc>
          <w:tcPr>
            <w:tcW w:w="658" w:type="pct"/>
            <w:shd w:val="clear" w:color="000000" w:fill="005DAA"/>
            <w:vAlign w:val="center"/>
            <w:hideMark/>
          </w:tcPr>
          <w:p w:rsidR="00996F3F" w:rsidRPr="00E32AB1" w:rsidRDefault="00996F3F" w:rsidP="002E3FF4">
            <w:pPr>
              <w:spacing w:after="0"/>
              <w:jc w:val="center"/>
              <w:rPr>
                <w:rFonts w:ascii="Calibri" w:eastAsia="Times New Roman" w:hAnsi="Calibri" w:cs="Times New Roman"/>
                <w:b/>
                <w:bCs/>
                <w:color w:val="FFFFFF"/>
              </w:rPr>
            </w:pPr>
            <w:r w:rsidRPr="00E32AB1">
              <w:rPr>
                <w:rFonts w:ascii="Calibri" w:eastAsia="Times New Roman" w:hAnsi="Calibri" w:cs="Times New Roman"/>
                <w:b/>
                <w:bCs/>
                <w:color w:val="FFFFFF"/>
              </w:rPr>
              <w:t>Realization Rate</w:t>
            </w:r>
          </w:p>
        </w:tc>
        <w:tc>
          <w:tcPr>
            <w:tcW w:w="846" w:type="pct"/>
            <w:shd w:val="clear" w:color="000000" w:fill="005DAA"/>
            <w:vAlign w:val="center"/>
            <w:hideMark/>
          </w:tcPr>
          <w:p w:rsidR="00996F3F" w:rsidRPr="00E32AB1" w:rsidRDefault="00996F3F" w:rsidP="002E3FF4">
            <w:pPr>
              <w:spacing w:after="0"/>
              <w:jc w:val="center"/>
              <w:rPr>
                <w:rFonts w:ascii="Calibri" w:eastAsia="Times New Roman" w:hAnsi="Calibri" w:cs="Times New Roman"/>
                <w:b/>
                <w:bCs/>
                <w:color w:val="FFFFFF"/>
              </w:rPr>
            </w:pPr>
            <w:r w:rsidRPr="00E32AB1">
              <w:rPr>
                <w:rFonts w:ascii="Calibri" w:eastAsia="Times New Roman" w:hAnsi="Calibri" w:cs="Times New Roman"/>
                <w:b/>
                <w:bCs/>
                <w:color w:val="FFFFFF"/>
              </w:rPr>
              <w:t>Model Savings as Percent of Pre-Usage</w:t>
            </w:r>
          </w:p>
        </w:tc>
        <w:tc>
          <w:tcPr>
            <w:tcW w:w="996" w:type="pct"/>
            <w:shd w:val="clear" w:color="000000" w:fill="005DAA"/>
            <w:vAlign w:val="center"/>
            <w:hideMark/>
          </w:tcPr>
          <w:p w:rsidR="00996F3F" w:rsidRPr="00E32AB1" w:rsidRDefault="00996F3F" w:rsidP="002E3FF4">
            <w:pPr>
              <w:spacing w:after="0"/>
              <w:jc w:val="center"/>
              <w:rPr>
                <w:rFonts w:ascii="Calibri" w:eastAsia="Times New Roman" w:hAnsi="Calibri" w:cs="Times New Roman"/>
                <w:b/>
                <w:bCs/>
                <w:color w:val="FFFFFF"/>
              </w:rPr>
            </w:pPr>
            <w:r w:rsidRPr="00E32AB1">
              <w:rPr>
                <w:rFonts w:ascii="Calibri" w:eastAsia="Times New Roman" w:hAnsi="Calibri" w:cs="Times New Roman"/>
                <w:b/>
                <w:bCs/>
                <w:color w:val="FFFFFF"/>
              </w:rPr>
              <w:t xml:space="preserve">Reported </w:t>
            </w:r>
            <w:r w:rsidRPr="00CF5867">
              <w:rPr>
                <w:rFonts w:ascii="Calibri" w:eastAsia="Times New Roman" w:hAnsi="Calibri" w:cs="Times New Roman"/>
                <w:b/>
                <w:bCs/>
                <w:i/>
                <w:color w:val="FFFFFF"/>
              </w:rPr>
              <w:t>Ex Ante</w:t>
            </w:r>
            <w:r w:rsidRPr="00E32AB1">
              <w:rPr>
                <w:rFonts w:ascii="Calibri" w:eastAsia="Times New Roman" w:hAnsi="Calibri" w:cs="Times New Roman"/>
                <w:b/>
                <w:bCs/>
                <w:color w:val="FFFFFF"/>
              </w:rPr>
              <w:t xml:space="preserve"> Savings as Percent of Pre-Usage</w:t>
            </w:r>
          </w:p>
        </w:tc>
      </w:tr>
      <w:tr w:rsidR="00F21864" w:rsidRPr="00E32AB1" w:rsidTr="00F21864">
        <w:tc>
          <w:tcPr>
            <w:tcW w:w="761" w:type="pct"/>
            <w:shd w:val="clear" w:color="auto" w:fill="auto"/>
            <w:vAlign w:val="center"/>
            <w:hideMark/>
          </w:tcPr>
          <w:p w:rsidR="00996F3F" w:rsidRPr="00E32AB1" w:rsidRDefault="00996F3F" w:rsidP="002E3FF4">
            <w:pPr>
              <w:spacing w:after="0"/>
              <w:rPr>
                <w:rFonts w:ascii="Calibri" w:eastAsia="Times New Roman" w:hAnsi="Calibri" w:cs="Times New Roman"/>
                <w:color w:val="000000"/>
                <w:sz w:val="20"/>
                <w:szCs w:val="20"/>
              </w:rPr>
            </w:pPr>
            <w:r w:rsidRPr="00E32AB1">
              <w:rPr>
                <w:rFonts w:ascii="Calibri" w:eastAsia="Times New Roman" w:hAnsi="Calibri" w:cs="Times New Roman"/>
                <w:color w:val="000000"/>
                <w:sz w:val="20"/>
                <w:szCs w:val="20"/>
              </w:rPr>
              <w:t>Air Sealing</w:t>
            </w:r>
          </w:p>
        </w:tc>
        <w:tc>
          <w:tcPr>
            <w:tcW w:w="752" w:type="pct"/>
            <w:shd w:val="clear" w:color="auto" w:fill="auto"/>
            <w:vAlign w:val="center"/>
            <w:hideMark/>
          </w:tcPr>
          <w:p w:rsidR="00996F3F" w:rsidRPr="00E32AB1" w:rsidRDefault="00996F3F" w:rsidP="002E3FF4">
            <w:pPr>
              <w:spacing w:after="0"/>
              <w:jc w:val="right"/>
              <w:rPr>
                <w:rFonts w:ascii="Calibri" w:eastAsia="Times New Roman" w:hAnsi="Calibri" w:cs="Times New Roman"/>
                <w:color w:val="000000"/>
                <w:sz w:val="20"/>
                <w:szCs w:val="20"/>
              </w:rPr>
            </w:pPr>
            <w:r w:rsidRPr="00E32AB1">
              <w:rPr>
                <w:rFonts w:ascii="Calibri" w:eastAsia="Times New Roman" w:hAnsi="Calibri" w:cs="Times New Roman"/>
                <w:color w:val="000000"/>
                <w:sz w:val="20"/>
                <w:szCs w:val="20"/>
              </w:rPr>
              <w:t>36</w:t>
            </w:r>
          </w:p>
        </w:tc>
        <w:tc>
          <w:tcPr>
            <w:tcW w:w="987" w:type="pct"/>
            <w:shd w:val="clear" w:color="auto" w:fill="auto"/>
            <w:vAlign w:val="center"/>
            <w:hideMark/>
          </w:tcPr>
          <w:p w:rsidR="00996F3F" w:rsidRPr="00E32AB1" w:rsidRDefault="00996F3F" w:rsidP="002E3FF4">
            <w:pPr>
              <w:spacing w:after="0"/>
              <w:jc w:val="right"/>
              <w:rPr>
                <w:rFonts w:ascii="Calibri" w:eastAsia="Times New Roman" w:hAnsi="Calibri" w:cs="Times New Roman"/>
                <w:color w:val="000000"/>
                <w:sz w:val="20"/>
                <w:szCs w:val="20"/>
              </w:rPr>
            </w:pPr>
            <w:r w:rsidRPr="00E32AB1">
              <w:rPr>
                <w:rFonts w:ascii="Calibri" w:eastAsia="Times New Roman" w:hAnsi="Calibri" w:cs="Times New Roman"/>
                <w:color w:val="000000"/>
                <w:sz w:val="20"/>
                <w:szCs w:val="20"/>
              </w:rPr>
              <w:t>59</w:t>
            </w:r>
          </w:p>
        </w:tc>
        <w:tc>
          <w:tcPr>
            <w:tcW w:w="658" w:type="pct"/>
            <w:shd w:val="clear" w:color="auto" w:fill="auto"/>
            <w:vAlign w:val="center"/>
            <w:hideMark/>
          </w:tcPr>
          <w:p w:rsidR="00996F3F" w:rsidRPr="00E32AB1" w:rsidRDefault="00996F3F" w:rsidP="002E3FF4">
            <w:pPr>
              <w:spacing w:after="0"/>
              <w:jc w:val="right"/>
              <w:rPr>
                <w:rFonts w:ascii="Calibri" w:eastAsia="Times New Roman" w:hAnsi="Calibri" w:cs="Times New Roman"/>
                <w:color w:val="000000"/>
                <w:sz w:val="20"/>
                <w:szCs w:val="20"/>
              </w:rPr>
            </w:pPr>
            <w:r w:rsidRPr="00E32AB1">
              <w:rPr>
                <w:rFonts w:ascii="Calibri" w:eastAsia="Times New Roman" w:hAnsi="Calibri" w:cs="Times New Roman"/>
                <w:color w:val="000000"/>
                <w:sz w:val="20"/>
                <w:szCs w:val="20"/>
              </w:rPr>
              <w:t>6</w:t>
            </w:r>
            <w:r w:rsidR="002E3FF4">
              <w:rPr>
                <w:rFonts w:ascii="Calibri" w:eastAsia="Times New Roman" w:hAnsi="Calibri" w:cs="Times New Roman"/>
                <w:color w:val="000000"/>
                <w:sz w:val="20"/>
                <w:szCs w:val="20"/>
              </w:rPr>
              <w:t>1</w:t>
            </w:r>
            <w:r w:rsidRPr="00E32AB1">
              <w:rPr>
                <w:rFonts w:ascii="Calibri" w:eastAsia="Times New Roman" w:hAnsi="Calibri" w:cs="Times New Roman"/>
                <w:color w:val="000000"/>
                <w:sz w:val="20"/>
                <w:szCs w:val="20"/>
              </w:rPr>
              <w:t>%</w:t>
            </w:r>
          </w:p>
        </w:tc>
        <w:tc>
          <w:tcPr>
            <w:tcW w:w="846" w:type="pct"/>
            <w:shd w:val="clear" w:color="auto" w:fill="auto"/>
            <w:vAlign w:val="center"/>
            <w:hideMark/>
          </w:tcPr>
          <w:p w:rsidR="00996F3F" w:rsidRPr="00E32AB1" w:rsidRDefault="00996F3F" w:rsidP="002E3FF4">
            <w:pPr>
              <w:spacing w:after="0"/>
              <w:jc w:val="right"/>
              <w:rPr>
                <w:rFonts w:ascii="Calibri" w:eastAsia="Times New Roman" w:hAnsi="Calibri" w:cs="Times New Roman"/>
                <w:color w:val="000000"/>
                <w:sz w:val="20"/>
                <w:szCs w:val="20"/>
              </w:rPr>
            </w:pPr>
            <w:r w:rsidRPr="00E32AB1">
              <w:rPr>
                <w:rFonts w:ascii="Calibri" w:eastAsia="Times New Roman" w:hAnsi="Calibri" w:cs="Times New Roman"/>
                <w:color w:val="000000"/>
                <w:sz w:val="20"/>
                <w:szCs w:val="20"/>
              </w:rPr>
              <w:t>4%</w:t>
            </w:r>
          </w:p>
        </w:tc>
        <w:tc>
          <w:tcPr>
            <w:tcW w:w="996" w:type="pct"/>
            <w:shd w:val="clear" w:color="auto" w:fill="auto"/>
            <w:vAlign w:val="center"/>
            <w:hideMark/>
          </w:tcPr>
          <w:p w:rsidR="00996F3F" w:rsidRPr="00E32AB1" w:rsidRDefault="00996F3F" w:rsidP="002E3FF4">
            <w:pPr>
              <w:spacing w:after="0"/>
              <w:jc w:val="right"/>
              <w:rPr>
                <w:rFonts w:ascii="Calibri" w:eastAsia="Times New Roman" w:hAnsi="Calibri" w:cs="Times New Roman"/>
                <w:color w:val="000000"/>
                <w:sz w:val="20"/>
                <w:szCs w:val="20"/>
              </w:rPr>
            </w:pPr>
            <w:r w:rsidRPr="00E32AB1">
              <w:rPr>
                <w:rFonts w:ascii="Calibri" w:eastAsia="Times New Roman" w:hAnsi="Calibri" w:cs="Times New Roman"/>
                <w:color w:val="000000"/>
                <w:sz w:val="20"/>
                <w:szCs w:val="20"/>
              </w:rPr>
              <w:t>6%</w:t>
            </w:r>
          </w:p>
        </w:tc>
      </w:tr>
      <w:tr w:rsidR="00F21864" w:rsidRPr="00E32AB1" w:rsidTr="00F21864">
        <w:tc>
          <w:tcPr>
            <w:tcW w:w="761" w:type="pct"/>
            <w:shd w:val="clear" w:color="auto" w:fill="auto"/>
            <w:vAlign w:val="center"/>
            <w:hideMark/>
          </w:tcPr>
          <w:p w:rsidR="00996F3F" w:rsidRPr="00E32AB1" w:rsidRDefault="00996F3F" w:rsidP="002E3FF4">
            <w:pPr>
              <w:spacing w:after="0"/>
              <w:rPr>
                <w:rFonts w:ascii="Calibri" w:eastAsia="Times New Roman" w:hAnsi="Calibri" w:cs="Times New Roman"/>
                <w:color w:val="000000"/>
                <w:sz w:val="20"/>
                <w:szCs w:val="20"/>
              </w:rPr>
            </w:pPr>
            <w:r w:rsidRPr="00E32AB1">
              <w:rPr>
                <w:rFonts w:ascii="Calibri" w:eastAsia="Times New Roman" w:hAnsi="Calibri" w:cs="Times New Roman"/>
                <w:color w:val="000000"/>
                <w:sz w:val="20"/>
                <w:szCs w:val="20"/>
              </w:rPr>
              <w:t>Wall Insulation</w:t>
            </w:r>
          </w:p>
        </w:tc>
        <w:tc>
          <w:tcPr>
            <w:tcW w:w="752" w:type="pct"/>
            <w:shd w:val="clear" w:color="auto" w:fill="auto"/>
            <w:vAlign w:val="center"/>
            <w:hideMark/>
          </w:tcPr>
          <w:p w:rsidR="00996F3F" w:rsidRPr="00E32AB1" w:rsidRDefault="00996F3F" w:rsidP="002E3FF4">
            <w:pPr>
              <w:spacing w:after="0"/>
              <w:jc w:val="right"/>
              <w:rPr>
                <w:rFonts w:ascii="Calibri" w:eastAsia="Times New Roman" w:hAnsi="Calibri" w:cs="Times New Roman"/>
                <w:color w:val="000000"/>
                <w:sz w:val="20"/>
                <w:szCs w:val="20"/>
              </w:rPr>
            </w:pPr>
            <w:r w:rsidRPr="00E32AB1">
              <w:rPr>
                <w:rFonts w:ascii="Calibri" w:eastAsia="Times New Roman" w:hAnsi="Calibri" w:cs="Times New Roman"/>
                <w:color w:val="000000"/>
                <w:sz w:val="20"/>
                <w:szCs w:val="20"/>
              </w:rPr>
              <w:t>96</w:t>
            </w:r>
          </w:p>
        </w:tc>
        <w:tc>
          <w:tcPr>
            <w:tcW w:w="987" w:type="pct"/>
            <w:shd w:val="clear" w:color="auto" w:fill="auto"/>
            <w:vAlign w:val="center"/>
            <w:hideMark/>
          </w:tcPr>
          <w:p w:rsidR="00996F3F" w:rsidRPr="00E32AB1" w:rsidRDefault="00996F3F" w:rsidP="002E3FF4">
            <w:pPr>
              <w:spacing w:after="0"/>
              <w:jc w:val="right"/>
              <w:rPr>
                <w:rFonts w:ascii="Calibri" w:eastAsia="Times New Roman" w:hAnsi="Calibri" w:cs="Times New Roman"/>
                <w:color w:val="000000"/>
                <w:sz w:val="20"/>
                <w:szCs w:val="20"/>
              </w:rPr>
            </w:pPr>
            <w:r w:rsidRPr="00E32AB1">
              <w:rPr>
                <w:rFonts w:ascii="Calibri" w:eastAsia="Times New Roman" w:hAnsi="Calibri" w:cs="Times New Roman"/>
                <w:color w:val="000000"/>
                <w:sz w:val="20"/>
                <w:szCs w:val="20"/>
              </w:rPr>
              <w:t>304</w:t>
            </w:r>
          </w:p>
        </w:tc>
        <w:tc>
          <w:tcPr>
            <w:tcW w:w="658" w:type="pct"/>
            <w:shd w:val="clear" w:color="auto" w:fill="auto"/>
            <w:vAlign w:val="center"/>
            <w:hideMark/>
          </w:tcPr>
          <w:p w:rsidR="00996F3F" w:rsidRPr="00E32AB1" w:rsidRDefault="00996F3F" w:rsidP="002E3FF4">
            <w:pPr>
              <w:spacing w:after="0"/>
              <w:jc w:val="right"/>
              <w:rPr>
                <w:rFonts w:ascii="Calibri" w:eastAsia="Times New Roman" w:hAnsi="Calibri" w:cs="Times New Roman"/>
                <w:color w:val="000000"/>
                <w:sz w:val="20"/>
                <w:szCs w:val="20"/>
              </w:rPr>
            </w:pPr>
            <w:r w:rsidRPr="00E32AB1">
              <w:rPr>
                <w:rFonts w:ascii="Calibri" w:eastAsia="Times New Roman" w:hAnsi="Calibri" w:cs="Times New Roman"/>
                <w:color w:val="000000"/>
                <w:sz w:val="20"/>
                <w:szCs w:val="20"/>
              </w:rPr>
              <w:t>32%</w:t>
            </w:r>
          </w:p>
        </w:tc>
        <w:tc>
          <w:tcPr>
            <w:tcW w:w="846" w:type="pct"/>
            <w:shd w:val="clear" w:color="auto" w:fill="auto"/>
            <w:vAlign w:val="center"/>
            <w:hideMark/>
          </w:tcPr>
          <w:p w:rsidR="00996F3F" w:rsidRPr="00E32AB1" w:rsidRDefault="00996F3F" w:rsidP="002E3FF4">
            <w:pPr>
              <w:spacing w:after="0"/>
              <w:jc w:val="right"/>
              <w:rPr>
                <w:rFonts w:ascii="Calibri" w:eastAsia="Times New Roman" w:hAnsi="Calibri" w:cs="Times New Roman"/>
                <w:color w:val="000000"/>
                <w:sz w:val="20"/>
                <w:szCs w:val="20"/>
              </w:rPr>
            </w:pPr>
            <w:r w:rsidRPr="00E32AB1">
              <w:rPr>
                <w:rFonts w:ascii="Calibri" w:eastAsia="Times New Roman" w:hAnsi="Calibri" w:cs="Times New Roman"/>
                <w:color w:val="000000"/>
                <w:sz w:val="20"/>
                <w:szCs w:val="20"/>
              </w:rPr>
              <w:t>10%</w:t>
            </w:r>
          </w:p>
        </w:tc>
        <w:tc>
          <w:tcPr>
            <w:tcW w:w="996" w:type="pct"/>
            <w:shd w:val="clear" w:color="auto" w:fill="auto"/>
            <w:vAlign w:val="center"/>
            <w:hideMark/>
          </w:tcPr>
          <w:p w:rsidR="00996F3F" w:rsidRPr="00E32AB1" w:rsidRDefault="00996F3F" w:rsidP="002E3FF4">
            <w:pPr>
              <w:spacing w:after="0"/>
              <w:jc w:val="right"/>
              <w:rPr>
                <w:rFonts w:ascii="Calibri" w:eastAsia="Times New Roman" w:hAnsi="Calibri" w:cs="Times New Roman"/>
                <w:color w:val="000000"/>
                <w:sz w:val="20"/>
                <w:szCs w:val="20"/>
              </w:rPr>
            </w:pPr>
            <w:r w:rsidRPr="00E32AB1">
              <w:rPr>
                <w:rFonts w:ascii="Calibri" w:eastAsia="Times New Roman" w:hAnsi="Calibri" w:cs="Times New Roman"/>
                <w:color w:val="000000"/>
                <w:sz w:val="20"/>
                <w:szCs w:val="20"/>
              </w:rPr>
              <w:t>3</w:t>
            </w:r>
            <w:r w:rsidR="002E3FF4">
              <w:rPr>
                <w:rFonts w:ascii="Calibri" w:eastAsia="Times New Roman" w:hAnsi="Calibri" w:cs="Times New Roman"/>
                <w:color w:val="000000"/>
                <w:sz w:val="20"/>
                <w:szCs w:val="20"/>
              </w:rPr>
              <w:t>1</w:t>
            </w:r>
            <w:r w:rsidRPr="00E32AB1">
              <w:rPr>
                <w:rFonts w:ascii="Calibri" w:eastAsia="Times New Roman" w:hAnsi="Calibri" w:cs="Times New Roman"/>
                <w:color w:val="000000"/>
                <w:sz w:val="20"/>
                <w:szCs w:val="20"/>
              </w:rPr>
              <w:t>%</w:t>
            </w:r>
          </w:p>
        </w:tc>
      </w:tr>
      <w:tr w:rsidR="002E3FF4" w:rsidRPr="00C46F61" w:rsidTr="00185F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000" w:type="pct"/>
            <w:gridSpan w:val="6"/>
            <w:tcBorders>
              <w:top w:val="nil"/>
              <w:left w:val="nil"/>
              <w:bottom w:val="nil"/>
              <w:right w:val="nil"/>
            </w:tcBorders>
            <w:shd w:val="clear" w:color="auto" w:fill="auto"/>
            <w:noWrap/>
            <w:vAlign w:val="center"/>
            <w:hideMark/>
          </w:tcPr>
          <w:p w:rsidR="002E3FF4" w:rsidRPr="00C46F61" w:rsidRDefault="002E3FF4" w:rsidP="001C6B05">
            <w:pPr>
              <w:spacing w:after="0" w:line="240" w:lineRule="auto"/>
              <w:ind w:left="90" w:hanging="90"/>
              <w:rPr>
                <w:rFonts w:ascii="Calibri" w:eastAsia="Times New Roman" w:hAnsi="Calibri" w:cs="Times New Roman"/>
                <w:color w:val="000000"/>
                <w:sz w:val="20"/>
                <w:szCs w:val="20"/>
              </w:rPr>
            </w:pPr>
            <w:r w:rsidRPr="00C46F61">
              <w:rPr>
                <w:rFonts w:ascii="Calibri" w:eastAsia="Times New Roman" w:hAnsi="Calibri" w:cs="Times New Roman"/>
                <w:color w:val="000000"/>
                <w:sz w:val="20"/>
                <w:szCs w:val="20"/>
              </w:rPr>
              <w:t>*</w:t>
            </w:r>
            <w:r>
              <w:rPr>
                <w:rFonts w:ascii="Calibri" w:eastAsia="Times New Roman" w:hAnsi="Calibri" w:cs="Times New Roman"/>
                <w:color w:val="000000"/>
                <w:sz w:val="20"/>
                <w:szCs w:val="20"/>
              </w:rPr>
              <w:t xml:space="preserve">Average </w:t>
            </w:r>
            <w:r w:rsidRPr="005C2B81">
              <w:rPr>
                <w:rFonts w:ascii="Calibri" w:eastAsia="Times New Roman" w:hAnsi="Calibri" w:cs="Times New Roman"/>
                <w:i/>
                <w:color w:val="000000"/>
                <w:sz w:val="20"/>
                <w:szCs w:val="20"/>
              </w:rPr>
              <w:t>ex ante</w:t>
            </w:r>
            <w:r>
              <w:rPr>
                <w:rFonts w:ascii="Calibri" w:eastAsia="Times New Roman" w:hAnsi="Calibri" w:cs="Times New Roman"/>
                <w:color w:val="000000"/>
                <w:sz w:val="20"/>
                <w:szCs w:val="20"/>
              </w:rPr>
              <w:t xml:space="preserve"> savings </w:t>
            </w:r>
            <w:r w:rsidR="001C6B05">
              <w:rPr>
                <w:rFonts w:ascii="Calibri" w:eastAsia="Times New Roman" w:hAnsi="Calibri" w:cs="Times New Roman"/>
                <w:color w:val="000000"/>
                <w:sz w:val="20"/>
                <w:szCs w:val="20"/>
              </w:rPr>
              <w:t>are</w:t>
            </w:r>
            <w:r>
              <w:rPr>
                <w:rFonts w:ascii="Calibri" w:eastAsia="Times New Roman" w:hAnsi="Calibri" w:cs="Times New Roman"/>
                <w:color w:val="000000"/>
                <w:sz w:val="20"/>
                <w:szCs w:val="20"/>
              </w:rPr>
              <w:t xml:space="preserve"> based on the participant sample used in the billing analysis and may vary from averages based on the program population.</w:t>
            </w:r>
          </w:p>
        </w:tc>
      </w:tr>
    </w:tbl>
    <w:p w:rsidR="00996F3F" w:rsidRDefault="00996F3F" w:rsidP="00E04376">
      <w:pPr>
        <w:pStyle w:val="NormalAfterTablesandFigures"/>
      </w:pPr>
    </w:p>
    <w:p w:rsidR="00996F3F" w:rsidRDefault="00996F3F" w:rsidP="00E04376">
      <w:pPr>
        <w:pStyle w:val="Heading5"/>
      </w:pPr>
      <w:r>
        <w:t>Simulation Modeling Results</w:t>
      </w:r>
    </w:p>
    <w:p w:rsidR="002E3FF4" w:rsidRDefault="002E3FF4" w:rsidP="002E3FF4">
      <w:pPr>
        <w:spacing w:after="120"/>
        <w:rPr>
          <w:lang w:eastAsia="ar-SA"/>
        </w:rPr>
      </w:pPr>
      <w:r>
        <w:t>The Evaluation Team used detail</w:t>
      </w:r>
      <w:r w:rsidR="001C6B05">
        <w:t>s</w:t>
      </w:r>
      <w:r>
        <w:t xml:space="preserve"> provided in the utility tracking data (for each building type and heating fuel combination) to assess corresponding pre- and post-installation information for each measure analyzed using the calibrated simulation approach. </w:t>
      </w:r>
      <w:r w:rsidR="005C2163">
        <w:rPr>
          <w:lang w:eastAsia="ar-SA"/>
        </w:rPr>
        <w:fldChar w:fldCharType="begin"/>
      </w:r>
      <w:r>
        <w:rPr>
          <w:lang w:eastAsia="ar-SA"/>
        </w:rPr>
        <w:instrText xml:space="preserve"> REF _Ref388183903 \h </w:instrText>
      </w:r>
      <w:r w:rsidR="005C2163">
        <w:rPr>
          <w:lang w:eastAsia="ar-SA"/>
        </w:rPr>
      </w:r>
      <w:r w:rsidR="005C2163">
        <w:rPr>
          <w:lang w:eastAsia="ar-SA"/>
        </w:rPr>
        <w:fldChar w:fldCharType="separate"/>
      </w:r>
      <w:r w:rsidR="00CD20CF">
        <w:t xml:space="preserve">Table </w:t>
      </w:r>
      <w:r w:rsidR="00CD20CF">
        <w:rPr>
          <w:noProof/>
        </w:rPr>
        <w:t>61</w:t>
      </w:r>
      <w:r w:rsidR="005C2163">
        <w:rPr>
          <w:lang w:eastAsia="ar-SA"/>
        </w:rPr>
        <w:fldChar w:fldCharType="end"/>
      </w:r>
      <w:r>
        <w:rPr>
          <w:lang w:eastAsia="ar-SA"/>
        </w:rPr>
        <w:t xml:space="preserve"> </w:t>
      </w:r>
      <w:r>
        <w:t>presents these details, including average pre- and post-installation insulation levels (weighte</w:t>
      </w:r>
      <w:r w:rsidR="00A07EDD">
        <w:t xml:space="preserve">d by square footage installed) and </w:t>
      </w:r>
      <w:r>
        <w:t>changes in air and duct</w:t>
      </w:r>
      <w:r w:rsidR="001C6B05">
        <w:t>-</w:t>
      </w:r>
      <w:r>
        <w:t>sealing levels.</w:t>
      </w:r>
    </w:p>
    <w:p w:rsidR="006B029C" w:rsidRDefault="006B029C" w:rsidP="002E3FF4">
      <w:pPr>
        <w:pStyle w:val="Caption"/>
      </w:pPr>
      <w:bookmarkStart w:id="112" w:name="_Ref388183903"/>
      <w:r>
        <w:t xml:space="preserve">Table </w:t>
      </w:r>
      <w:r w:rsidR="002506E1">
        <w:fldChar w:fldCharType="begin"/>
      </w:r>
      <w:r w:rsidR="002506E1">
        <w:instrText xml:space="preserve"> SEQ Table \* ARABIC </w:instrText>
      </w:r>
      <w:r w:rsidR="002506E1">
        <w:fldChar w:fldCharType="separate"/>
      </w:r>
      <w:r w:rsidR="00CD20CF">
        <w:rPr>
          <w:noProof/>
        </w:rPr>
        <w:t>61</w:t>
      </w:r>
      <w:r w:rsidR="002506E1">
        <w:rPr>
          <w:noProof/>
        </w:rPr>
        <w:fldChar w:fldCharType="end"/>
      </w:r>
      <w:bookmarkEnd w:id="112"/>
      <w:r>
        <w:t xml:space="preserve">. </w:t>
      </w:r>
      <w:r w:rsidR="002E3FF4">
        <w:t>HES-IE Gas—Shell and Duct Sealing Measure Distribution and Installation Details</w:t>
      </w:r>
    </w:p>
    <w:tbl>
      <w:tblPr>
        <w:tblW w:w="5000" w:type="pct"/>
        <w:tblLook w:val="04A0" w:firstRow="1" w:lastRow="0" w:firstColumn="1" w:lastColumn="0" w:noHBand="0" w:noVBand="1"/>
      </w:tblPr>
      <w:tblGrid>
        <w:gridCol w:w="1548"/>
        <w:gridCol w:w="1441"/>
        <w:gridCol w:w="1620"/>
        <w:gridCol w:w="1710"/>
        <w:gridCol w:w="2003"/>
        <w:gridCol w:w="1254"/>
      </w:tblGrid>
      <w:tr w:rsidR="002E3FF4" w:rsidRPr="002E3FF4" w:rsidTr="00E82AF2">
        <w:tc>
          <w:tcPr>
            <w:tcW w:w="808"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2E3FF4" w:rsidRPr="002E3FF4" w:rsidRDefault="002E3FF4" w:rsidP="001D5EAA">
            <w:pPr>
              <w:keepLines/>
              <w:spacing w:after="0"/>
              <w:jc w:val="center"/>
              <w:rPr>
                <w:rFonts w:ascii="Calibri" w:eastAsia="Times New Roman" w:hAnsi="Calibri" w:cs="Times New Roman"/>
                <w:b/>
                <w:bCs/>
                <w:color w:val="FFFFFF"/>
              </w:rPr>
            </w:pPr>
            <w:r w:rsidRPr="002E3FF4">
              <w:rPr>
                <w:rFonts w:ascii="Calibri" w:eastAsia="Times New Roman" w:hAnsi="Calibri" w:cs="Times New Roman"/>
                <w:b/>
                <w:bCs/>
                <w:color w:val="FFFFFF"/>
              </w:rPr>
              <w:t>Measure</w:t>
            </w:r>
          </w:p>
        </w:tc>
        <w:tc>
          <w:tcPr>
            <w:tcW w:w="752"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2E3FF4" w:rsidRPr="002E3FF4" w:rsidRDefault="002E3FF4" w:rsidP="001D5EAA">
            <w:pPr>
              <w:keepLines/>
              <w:spacing w:after="0"/>
              <w:jc w:val="center"/>
              <w:rPr>
                <w:rFonts w:ascii="Calibri" w:eastAsia="Times New Roman" w:hAnsi="Calibri" w:cs="Times New Roman"/>
                <w:b/>
                <w:bCs/>
                <w:color w:val="FFFFFF"/>
              </w:rPr>
            </w:pPr>
            <w:r w:rsidRPr="002E3FF4">
              <w:rPr>
                <w:rFonts w:ascii="Calibri" w:eastAsia="Times New Roman" w:hAnsi="Calibri" w:cs="Times New Roman"/>
                <w:b/>
                <w:bCs/>
                <w:color w:val="FFFFFF"/>
              </w:rPr>
              <w:t>Participants*</w:t>
            </w:r>
          </w:p>
        </w:tc>
        <w:tc>
          <w:tcPr>
            <w:tcW w:w="846"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2E3FF4" w:rsidRPr="002E3FF4" w:rsidRDefault="002E3FF4" w:rsidP="001D5EAA">
            <w:pPr>
              <w:keepLines/>
              <w:spacing w:after="0"/>
              <w:jc w:val="center"/>
              <w:rPr>
                <w:rFonts w:ascii="Calibri" w:eastAsia="Times New Roman" w:hAnsi="Calibri" w:cs="Times New Roman"/>
                <w:b/>
                <w:bCs/>
                <w:color w:val="FFFFFF"/>
              </w:rPr>
            </w:pPr>
            <w:r w:rsidRPr="002E3FF4">
              <w:rPr>
                <w:rFonts w:ascii="Calibri" w:eastAsia="Times New Roman" w:hAnsi="Calibri" w:cs="Times New Roman"/>
                <w:b/>
                <w:bCs/>
                <w:color w:val="FFFFFF"/>
              </w:rPr>
              <w:t>Pre-Condition</w:t>
            </w:r>
          </w:p>
        </w:tc>
        <w:tc>
          <w:tcPr>
            <w:tcW w:w="893"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2E3FF4" w:rsidRPr="002E3FF4" w:rsidRDefault="002E3FF4" w:rsidP="001D5EAA">
            <w:pPr>
              <w:keepLines/>
              <w:spacing w:after="0"/>
              <w:jc w:val="center"/>
              <w:rPr>
                <w:rFonts w:ascii="Calibri" w:eastAsia="Times New Roman" w:hAnsi="Calibri" w:cs="Times New Roman"/>
                <w:b/>
                <w:bCs/>
                <w:color w:val="FFFFFF"/>
              </w:rPr>
            </w:pPr>
            <w:r w:rsidRPr="002E3FF4">
              <w:rPr>
                <w:rFonts w:ascii="Calibri" w:eastAsia="Times New Roman" w:hAnsi="Calibri" w:cs="Times New Roman"/>
                <w:b/>
                <w:bCs/>
                <w:color w:val="FFFFFF"/>
              </w:rPr>
              <w:t>Post-Condition</w:t>
            </w:r>
          </w:p>
        </w:tc>
        <w:tc>
          <w:tcPr>
            <w:tcW w:w="1046"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2E3FF4" w:rsidRPr="002E3FF4" w:rsidRDefault="002E3FF4" w:rsidP="001D5EAA">
            <w:pPr>
              <w:keepLines/>
              <w:spacing w:after="0"/>
              <w:jc w:val="center"/>
              <w:rPr>
                <w:rFonts w:ascii="Calibri" w:eastAsia="Times New Roman" w:hAnsi="Calibri" w:cs="Times New Roman"/>
                <w:b/>
                <w:bCs/>
                <w:color w:val="FFFFFF"/>
              </w:rPr>
            </w:pPr>
            <w:r w:rsidRPr="002E3FF4">
              <w:rPr>
                <w:rFonts w:ascii="Calibri" w:eastAsia="Times New Roman" w:hAnsi="Calibri" w:cs="Times New Roman"/>
                <w:b/>
                <w:bCs/>
                <w:color w:val="FFFFFF"/>
              </w:rPr>
              <w:t>Average % Leakage Reduction</w:t>
            </w:r>
          </w:p>
        </w:tc>
        <w:tc>
          <w:tcPr>
            <w:tcW w:w="655"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2E3FF4" w:rsidRPr="002E3FF4" w:rsidRDefault="002E3FF4" w:rsidP="001D5EAA">
            <w:pPr>
              <w:keepLines/>
              <w:spacing w:after="0"/>
              <w:jc w:val="center"/>
              <w:rPr>
                <w:rFonts w:ascii="Calibri" w:eastAsia="Times New Roman" w:hAnsi="Calibri" w:cs="Times New Roman"/>
                <w:b/>
                <w:bCs/>
                <w:color w:val="FFFFFF"/>
              </w:rPr>
            </w:pPr>
            <w:r w:rsidRPr="002E3FF4">
              <w:rPr>
                <w:rFonts w:ascii="Calibri" w:eastAsia="Times New Roman" w:hAnsi="Calibri" w:cs="Times New Roman"/>
                <w:b/>
                <w:bCs/>
                <w:color w:val="FFFFFF"/>
              </w:rPr>
              <w:t>Units</w:t>
            </w:r>
          </w:p>
        </w:tc>
      </w:tr>
      <w:tr w:rsidR="002E3FF4" w:rsidRPr="002E3FF4" w:rsidTr="00E82AF2">
        <w:tc>
          <w:tcPr>
            <w:tcW w:w="80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E3FF4" w:rsidRPr="002E3FF4" w:rsidRDefault="002E3FF4" w:rsidP="001D5EAA">
            <w:pPr>
              <w:keepLines/>
              <w:spacing w:after="0"/>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Duct Sealing</w:t>
            </w:r>
          </w:p>
        </w:tc>
        <w:tc>
          <w:tcPr>
            <w:tcW w:w="752"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E3FF4" w:rsidRPr="002E3FF4" w:rsidRDefault="002E3FF4" w:rsidP="001D5EAA">
            <w:pPr>
              <w:keepLines/>
              <w:spacing w:after="0"/>
              <w:jc w:val="right"/>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109</w:t>
            </w:r>
          </w:p>
        </w:tc>
        <w:tc>
          <w:tcPr>
            <w:tcW w:w="84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E3FF4" w:rsidRPr="002E3FF4" w:rsidRDefault="002E3FF4" w:rsidP="001D5EAA">
            <w:pPr>
              <w:keepLines/>
              <w:spacing w:after="0"/>
              <w:jc w:val="right"/>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786</w:t>
            </w:r>
          </w:p>
        </w:tc>
        <w:tc>
          <w:tcPr>
            <w:tcW w:w="893"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E3FF4" w:rsidRPr="002E3FF4" w:rsidRDefault="002E3FF4" w:rsidP="001D5EAA">
            <w:pPr>
              <w:keepLines/>
              <w:spacing w:after="0"/>
              <w:jc w:val="right"/>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625</w:t>
            </w:r>
          </w:p>
        </w:tc>
        <w:tc>
          <w:tcPr>
            <w:tcW w:w="104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E3FF4" w:rsidRPr="002E3FF4" w:rsidRDefault="002E3FF4" w:rsidP="001D5EAA">
            <w:pPr>
              <w:keepLines/>
              <w:spacing w:after="0"/>
              <w:jc w:val="right"/>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20%</w:t>
            </w:r>
          </w:p>
        </w:tc>
        <w:tc>
          <w:tcPr>
            <w:tcW w:w="65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E3FF4" w:rsidRPr="002E3FF4" w:rsidRDefault="002E3FF4" w:rsidP="001D5EAA">
            <w:pPr>
              <w:keepLines/>
              <w:spacing w:after="0"/>
              <w:jc w:val="right"/>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CFM 25</w:t>
            </w:r>
          </w:p>
        </w:tc>
      </w:tr>
      <w:tr w:rsidR="002E3FF4" w:rsidRPr="002E3FF4" w:rsidTr="00E82AF2">
        <w:tc>
          <w:tcPr>
            <w:tcW w:w="80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E3FF4" w:rsidRPr="002E3FF4" w:rsidRDefault="002E3FF4" w:rsidP="001D5EAA">
            <w:pPr>
              <w:keepLines/>
              <w:spacing w:after="0"/>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Attic Insulation</w:t>
            </w:r>
          </w:p>
        </w:tc>
        <w:tc>
          <w:tcPr>
            <w:tcW w:w="752"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E3FF4" w:rsidRPr="002E3FF4" w:rsidRDefault="002E3FF4" w:rsidP="001D5EAA">
            <w:pPr>
              <w:keepLines/>
              <w:spacing w:after="0"/>
              <w:jc w:val="right"/>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106</w:t>
            </w:r>
          </w:p>
        </w:tc>
        <w:tc>
          <w:tcPr>
            <w:tcW w:w="84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E3FF4" w:rsidRPr="002E3FF4" w:rsidRDefault="002E3FF4" w:rsidP="001D5EAA">
            <w:pPr>
              <w:keepLines/>
              <w:spacing w:after="0"/>
              <w:jc w:val="right"/>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R3</w:t>
            </w:r>
          </w:p>
        </w:tc>
        <w:tc>
          <w:tcPr>
            <w:tcW w:w="893"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E3FF4" w:rsidRPr="002E3FF4" w:rsidRDefault="002E3FF4" w:rsidP="001D5EAA">
            <w:pPr>
              <w:keepLines/>
              <w:spacing w:after="0"/>
              <w:jc w:val="right"/>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R37</w:t>
            </w:r>
          </w:p>
        </w:tc>
        <w:tc>
          <w:tcPr>
            <w:tcW w:w="104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E3FF4" w:rsidRPr="002E3FF4" w:rsidRDefault="002E3FF4" w:rsidP="001D5EAA">
            <w:pPr>
              <w:keepLines/>
              <w:spacing w:after="0"/>
              <w:jc w:val="right"/>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n/a</w:t>
            </w:r>
          </w:p>
        </w:tc>
        <w:tc>
          <w:tcPr>
            <w:tcW w:w="65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2E3FF4" w:rsidRPr="002E3FF4" w:rsidRDefault="002E3FF4" w:rsidP="001D5EAA">
            <w:pPr>
              <w:keepLines/>
              <w:spacing w:after="0"/>
              <w:jc w:val="right"/>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R-Value</w:t>
            </w:r>
          </w:p>
        </w:tc>
      </w:tr>
      <w:tr w:rsidR="002E3FF4" w:rsidRPr="002E3FF4" w:rsidTr="00E82AF2">
        <w:trPr>
          <w:trHeight w:val="300"/>
        </w:trPr>
        <w:tc>
          <w:tcPr>
            <w:tcW w:w="4345" w:type="pct"/>
            <w:gridSpan w:val="5"/>
            <w:tcBorders>
              <w:top w:val="single" w:sz="4" w:space="0" w:color="BFBFBF"/>
              <w:left w:val="nil"/>
              <w:bottom w:val="nil"/>
              <w:right w:val="nil"/>
            </w:tcBorders>
            <w:shd w:val="clear" w:color="auto" w:fill="auto"/>
            <w:noWrap/>
            <w:vAlign w:val="center"/>
            <w:hideMark/>
          </w:tcPr>
          <w:p w:rsidR="002E3FF4" w:rsidRPr="002E3FF4" w:rsidRDefault="002E3FF4" w:rsidP="001D5EAA">
            <w:pPr>
              <w:keepLines/>
              <w:spacing w:after="0" w:line="240" w:lineRule="auto"/>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 xml:space="preserve">*Count of participants reflects the number with </w:t>
            </w:r>
            <w:r w:rsidRPr="002E3FF4">
              <w:rPr>
                <w:rFonts w:ascii="Calibri" w:eastAsia="Times New Roman" w:hAnsi="Calibri" w:cs="Times New Roman"/>
                <w:i/>
                <w:iCs/>
                <w:color w:val="000000"/>
                <w:sz w:val="20"/>
                <w:szCs w:val="20"/>
              </w:rPr>
              <w:t>ex ante</w:t>
            </w:r>
            <w:r w:rsidRPr="002E3FF4">
              <w:rPr>
                <w:rFonts w:ascii="Calibri" w:eastAsia="Times New Roman" w:hAnsi="Calibri" w:cs="Times New Roman"/>
                <w:color w:val="000000"/>
                <w:sz w:val="20"/>
                <w:szCs w:val="20"/>
              </w:rPr>
              <w:t xml:space="preserve"> savings reported for a given measure.</w:t>
            </w:r>
          </w:p>
        </w:tc>
        <w:tc>
          <w:tcPr>
            <w:tcW w:w="655" w:type="pct"/>
            <w:tcBorders>
              <w:top w:val="single" w:sz="4" w:space="0" w:color="BFBFBF"/>
              <w:left w:val="nil"/>
              <w:bottom w:val="nil"/>
              <w:right w:val="nil"/>
            </w:tcBorders>
            <w:shd w:val="clear" w:color="auto" w:fill="auto"/>
            <w:noWrap/>
            <w:vAlign w:val="bottom"/>
            <w:hideMark/>
          </w:tcPr>
          <w:p w:rsidR="002E3FF4" w:rsidRPr="002E3FF4" w:rsidRDefault="002E3FF4" w:rsidP="001D5EAA">
            <w:pPr>
              <w:keepLines/>
              <w:spacing w:after="0" w:line="240" w:lineRule="auto"/>
              <w:rPr>
                <w:rFonts w:ascii="Calibri" w:eastAsia="Times New Roman" w:hAnsi="Calibri" w:cs="Times New Roman"/>
                <w:color w:val="000000"/>
              </w:rPr>
            </w:pPr>
          </w:p>
        </w:tc>
      </w:tr>
    </w:tbl>
    <w:p w:rsidR="00110A97" w:rsidRDefault="00110A97" w:rsidP="00E32AB1"/>
    <w:p w:rsidR="00E32AB1" w:rsidRDefault="00E32AB1" w:rsidP="00E32AB1">
      <w:r>
        <w:t>The Evaluation Team used the energy models to calculate the savings percentage of weather-sensitive load</w:t>
      </w:r>
      <w:r w:rsidR="00992CBB">
        <w:t>s</w:t>
      </w:r>
      <w:r>
        <w:t xml:space="preserve"> for each measure, which </w:t>
      </w:r>
      <w:r w:rsidR="002E3FF4">
        <w:t xml:space="preserve">were then </w:t>
      </w:r>
      <w:r>
        <w:t>applied to pre-period</w:t>
      </w:r>
      <w:r w:rsidR="00992CBB">
        <w:t>,</w:t>
      </w:r>
      <w:r>
        <w:t xml:space="preserve"> weather</w:t>
      </w:r>
      <w:r w:rsidR="00992CBB">
        <w:t>-</w:t>
      </w:r>
      <w:r>
        <w:t xml:space="preserve">sensitive usage for each model to calculate evaluated energy savings. </w:t>
      </w:r>
      <w:r w:rsidR="005C2163">
        <w:fldChar w:fldCharType="begin"/>
      </w:r>
      <w:r>
        <w:instrText xml:space="preserve"> REF _Ref388185150 \h </w:instrText>
      </w:r>
      <w:r w:rsidR="005C2163">
        <w:fldChar w:fldCharType="separate"/>
      </w:r>
      <w:r w:rsidR="00CD20CF">
        <w:t xml:space="preserve">Table </w:t>
      </w:r>
      <w:r w:rsidR="00CD20CF">
        <w:rPr>
          <w:noProof/>
        </w:rPr>
        <w:t>62</w:t>
      </w:r>
      <w:r w:rsidR="005C2163">
        <w:fldChar w:fldCharType="end"/>
      </w:r>
      <w:r>
        <w:t xml:space="preserve"> presents the weighted</w:t>
      </w:r>
      <w:r w:rsidR="00992CBB">
        <w:t>,</w:t>
      </w:r>
      <w:r>
        <w:t xml:space="preserve"> household-level </w:t>
      </w:r>
      <w:r w:rsidR="002E3FF4">
        <w:t>gas</w:t>
      </w:r>
      <w:r>
        <w:t xml:space="preserve"> savings for measure</w:t>
      </w:r>
      <w:r w:rsidR="001C6B05">
        <w:t>s</w:t>
      </w:r>
      <w:r>
        <w:t xml:space="preserve"> and realization rates</w:t>
      </w:r>
      <w:r w:rsidR="00992CBB">
        <w:t>,</w:t>
      </w:r>
      <w:r>
        <w:t xml:space="preserve"> compared to average </w:t>
      </w:r>
      <w:r w:rsidRPr="00CA48C9">
        <w:rPr>
          <w:i/>
        </w:rPr>
        <w:t>ex ante</w:t>
      </w:r>
      <w:r>
        <w:t xml:space="preserve"> savings, along with savings percentages of weather-sensitive load</w:t>
      </w:r>
      <w:r w:rsidR="00992CBB">
        <w:t>s</w:t>
      </w:r>
      <w:r>
        <w:t>.</w:t>
      </w:r>
    </w:p>
    <w:p w:rsidR="00E32AB1" w:rsidRDefault="00E32AB1" w:rsidP="00E32AB1">
      <w:pPr>
        <w:pStyle w:val="Caption"/>
      </w:pPr>
      <w:bookmarkStart w:id="113" w:name="_Ref388185150"/>
      <w:r>
        <w:t xml:space="preserve">Table </w:t>
      </w:r>
      <w:r w:rsidR="002506E1">
        <w:fldChar w:fldCharType="begin"/>
      </w:r>
      <w:r w:rsidR="002506E1">
        <w:instrText xml:space="preserve"> SEQ Table \* ARABIC </w:instrText>
      </w:r>
      <w:r w:rsidR="002506E1">
        <w:fldChar w:fldCharType="separate"/>
      </w:r>
      <w:r w:rsidR="00CD20CF">
        <w:rPr>
          <w:noProof/>
        </w:rPr>
        <w:t>62</w:t>
      </w:r>
      <w:r w:rsidR="002506E1">
        <w:rPr>
          <w:noProof/>
        </w:rPr>
        <w:fldChar w:fldCharType="end"/>
      </w:r>
      <w:bookmarkEnd w:id="113"/>
      <w:r>
        <w:t xml:space="preserve">. </w:t>
      </w:r>
      <w:r w:rsidR="007B0830">
        <w:t>HES-IE Gas</w:t>
      </w:r>
      <w:r w:rsidR="00992CBB">
        <w:t>—</w:t>
      </w:r>
      <w:r>
        <w:t>Weighted Household Savings</w:t>
      </w:r>
      <w:r w:rsidR="007B0830">
        <w:t xml:space="preserve"> for Shell and Duct Measures</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48"/>
        <w:gridCol w:w="1440"/>
        <w:gridCol w:w="2076"/>
        <w:gridCol w:w="1505"/>
        <w:gridCol w:w="1505"/>
        <w:gridCol w:w="1502"/>
      </w:tblGrid>
      <w:tr w:rsidR="002E3FF4" w:rsidRPr="002E3FF4" w:rsidTr="00E82AF2">
        <w:tc>
          <w:tcPr>
            <w:tcW w:w="808" w:type="pct"/>
            <w:shd w:val="clear" w:color="000000" w:fill="005DAA"/>
            <w:vAlign w:val="center"/>
            <w:hideMark/>
          </w:tcPr>
          <w:p w:rsidR="002E3FF4" w:rsidRPr="002E3FF4" w:rsidRDefault="002E3FF4" w:rsidP="00E82AF2">
            <w:pPr>
              <w:spacing w:after="0"/>
              <w:jc w:val="center"/>
              <w:rPr>
                <w:rFonts w:ascii="Calibri" w:eastAsia="Times New Roman" w:hAnsi="Calibri" w:cs="Times New Roman"/>
                <w:b/>
                <w:bCs/>
                <w:color w:val="FFFFFF"/>
              </w:rPr>
            </w:pPr>
            <w:r w:rsidRPr="002E3FF4">
              <w:rPr>
                <w:rFonts w:ascii="Calibri" w:eastAsia="Times New Roman" w:hAnsi="Calibri" w:cs="Times New Roman"/>
                <w:b/>
                <w:bCs/>
                <w:color w:val="FFFFFF"/>
              </w:rPr>
              <w:t>Measures</w:t>
            </w:r>
          </w:p>
        </w:tc>
        <w:tc>
          <w:tcPr>
            <w:tcW w:w="752" w:type="pct"/>
            <w:shd w:val="clear" w:color="000000" w:fill="005DAA"/>
            <w:vAlign w:val="center"/>
            <w:hideMark/>
          </w:tcPr>
          <w:p w:rsidR="002E3FF4" w:rsidRPr="002E3FF4" w:rsidRDefault="002E3FF4" w:rsidP="00E82AF2">
            <w:pPr>
              <w:spacing w:after="0"/>
              <w:jc w:val="center"/>
              <w:rPr>
                <w:rFonts w:ascii="Calibri" w:eastAsia="Times New Roman" w:hAnsi="Calibri" w:cs="Times New Roman"/>
                <w:b/>
                <w:bCs/>
                <w:color w:val="FFFFFF"/>
              </w:rPr>
            </w:pPr>
            <w:r w:rsidRPr="002E3FF4">
              <w:rPr>
                <w:rFonts w:ascii="Calibri" w:eastAsia="Times New Roman" w:hAnsi="Calibri" w:cs="Times New Roman"/>
                <w:b/>
                <w:bCs/>
                <w:color w:val="FFFFFF"/>
              </w:rPr>
              <w:t xml:space="preserve">Average </w:t>
            </w:r>
            <w:r w:rsidR="00E82AF2">
              <w:rPr>
                <w:rFonts w:ascii="Calibri" w:eastAsia="Times New Roman" w:hAnsi="Calibri" w:cs="Times New Roman"/>
                <w:b/>
                <w:bCs/>
                <w:color w:val="FFFFFF"/>
              </w:rPr>
              <w:br/>
            </w:r>
            <w:r w:rsidRPr="002E3FF4">
              <w:rPr>
                <w:rFonts w:ascii="Calibri" w:eastAsia="Times New Roman" w:hAnsi="Calibri" w:cs="Times New Roman"/>
                <w:b/>
                <w:bCs/>
                <w:i/>
                <w:iCs/>
                <w:color w:val="FFFFFF"/>
              </w:rPr>
              <w:t>Ex Ante</w:t>
            </w:r>
            <w:r w:rsidRPr="002E3FF4">
              <w:rPr>
                <w:rFonts w:ascii="Calibri" w:eastAsia="Times New Roman" w:hAnsi="Calibri" w:cs="Times New Roman"/>
                <w:b/>
                <w:bCs/>
                <w:color w:val="FFFFFF"/>
              </w:rPr>
              <w:t xml:space="preserve"> Savings (CCF)</w:t>
            </w:r>
          </w:p>
        </w:tc>
        <w:tc>
          <w:tcPr>
            <w:tcW w:w="1084" w:type="pct"/>
            <w:shd w:val="clear" w:color="000000" w:fill="005DAA"/>
            <w:vAlign w:val="center"/>
            <w:hideMark/>
          </w:tcPr>
          <w:p w:rsidR="002E3FF4" w:rsidRPr="002E3FF4" w:rsidRDefault="002E3FF4" w:rsidP="00E82AF2">
            <w:pPr>
              <w:spacing w:after="0"/>
              <w:jc w:val="center"/>
              <w:rPr>
                <w:rFonts w:ascii="Calibri" w:eastAsia="Times New Roman" w:hAnsi="Calibri" w:cs="Times New Roman"/>
                <w:b/>
                <w:bCs/>
                <w:color w:val="FFFFFF"/>
              </w:rPr>
            </w:pPr>
            <w:r w:rsidRPr="002E3FF4">
              <w:rPr>
                <w:rFonts w:ascii="Calibri" w:eastAsia="Times New Roman" w:hAnsi="Calibri" w:cs="Times New Roman"/>
                <w:b/>
                <w:bCs/>
                <w:color w:val="FFFFFF"/>
              </w:rPr>
              <w:t>Average Pre-Installation Weather Sensitive Consumption (CCF)</w:t>
            </w:r>
          </w:p>
        </w:tc>
        <w:tc>
          <w:tcPr>
            <w:tcW w:w="786" w:type="pct"/>
            <w:shd w:val="clear" w:color="000000" w:fill="005DAA"/>
            <w:vAlign w:val="center"/>
            <w:hideMark/>
          </w:tcPr>
          <w:p w:rsidR="002E3FF4" w:rsidRPr="002E3FF4" w:rsidRDefault="002E3FF4" w:rsidP="00E82AF2">
            <w:pPr>
              <w:spacing w:after="0"/>
              <w:jc w:val="center"/>
              <w:rPr>
                <w:rFonts w:ascii="Calibri" w:eastAsia="Times New Roman" w:hAnsi="Calibri" w:cs="Times New Roman"/>
                <w:b/>
                <w:bCs/>
                <w:color w:val="FFFFFF"/>
              </w:rPr>
            </w:pPr>
            <w:r w:rsidRPr="002E3FF4">
              <w:rPr>
                <w:rFonts w:ascii="Calibri" w:eastAsia="Times New Roman" w:hAnsi="Calibri" w:cs="Times New Roman"/>
                <w:b/>
                <w:bCs/>
                <w:color w:val="FFFFFF"/>
              </w:rPr>
              <w:t>Savings as % of Weather-Sensitive Load</w:t>
            </w:r>
          </w:p>
        </w:tc>
        <w:tc>
          <w:tcPr>
            <w:tcW w:w="786" w:type="pct"/>
            <w:shd w:val="clear" w:color="000000" w:fill="005DAA"/>
            <w:vAlign w:val="center"/>
            <w:hideMark/>
          </w:tcPr>
          <w:p w:rsidR="002E3FF4" w:rsidRPr="002E3FF4" w:rsidRDefault="002E3FF4" w:rsidP="00E82AF2">
            <w:pPr>
              <w:spacing w:after="0"/>
              <w:jc w:val="center"/>
              <w:rPr>
                <w:rFonts w:ascii="Calibri" w:eastAsia="Times New Roman" w:hAnsi="Calibri" w:cs="Times New Roman"/>
                <w:b/>
                <w:bCs/>
                <w:color w:val="FFFFFF"/>
              </w:rPr>
            </w:pPr>
            <w:r w:rsidRPr="002E3FF4">
              <w:rPr>
                <w:rFonts w:ascii="Calibri" w:eastAsia="Times New Roman" w:hAnsi="Calibri" w:cs="Times New Roman"/>
                <w:b/>
                <w:bCs/>
                <w:color w:val="FFFFFF"/>
              </w:rPr>
              <w:t>Average Evaluated Gross Savings (CCF)</w:t>
            </w:r>
          </w:p>
        </w:tc>
        <w:tc>
          <w:tcPr>
            <w:tcW w:w="784" w:type="pct"/>
            <w:shd w:val="clear" w:color="000000" w:fill="005DAA"/>
            <w:vAlign w:val="center"/>
            <w:hideMark/>
          </w:tcPr>
          <w:p w:rsidR="002E3FF4" w:rsidRPr="002E3FF4" w:rsidRDefault="002E3FF4" w:rsidP="00E82AF2">
            <w:pPr>
              <w:spacing w:after="0"/>
              <w:jc w:val="center"/>
              <w:rPr>
                <w:rFonts w:ascii="Calibri" w:eastAsia="Times New Roman" w:hAnsi="Calibri" w:cs="Times New Roman"/>
                <w:b/>
                <w:bCs/>
                <w:color w:val="FFFFFF"/>
              </w:rPr>
            </w:pPr>
            <w:r w:rsidRPr="002E3FF4">
              <w:rPr>
                <w:rFonts w:ascii="Calibri" w:eastAsia="Times New Roman" w:hAnsi="Calibri" w:cs="Times New Roman"/>
                <w:b/>
                <w:bCs/>
                <w:color w:val="FFFFFF"/>
              </w:rPr>
              <w:t>Realization Rate</w:t>
            </w:r>
          </w:p>
        </w:tc>
      </w:tr>
      <w:tr w:rsidR="002E3FF4" w:rsidRPr="002E3FF4" w:rsidTr="00E82AF2">
        <w:tc>
          <w:tcPr>
            <w:tcW w:w="808" w:type="pct"/>
            <w:shd w:val="clear" w:color="auto" w:fill="auto"/>
            <w:vAlign w:val="center"/>
            <w:hideMark/>
          </w:tcPr>
          <w:p w:rsidR="002E3FF4" w:rsidRPr="002E3FF4" w:rsidRDefault="002E3FF4" w:rsidP="00E82AF2">
            <w:pPr>
              <w:spacing w:after="0"/>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Duct Sealing</w:t>
            </w:r>
          </w:p>
        </w:tc>
        <w:tc>
          <w:tcPr>
            <w:tcW w:w="752" w:type="pct"/>
            <w:shd w:val="clear" w:color="auto" w:fill="auto"/>
            <w:vAlign w:val="center"/>
            <w:hideMark/>
          </w:tcPr>
          <w:p w:rsidR="002E3FF4" w:rsidRPr="002E3FF4" w:rsidRDefault="002E3FF4" w:rsidP="00E82AF2">
            <w:pPr>
              <w:spacing w:after="0"/>
              <w:jc w:val="right"/>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174</w:t>
            </w:r>
          </w:p>
        </w:tc>
        <w:tc>
          <w:tcPr>
            <w:tcW w:w="1084" w:type="pct"/>
            <w:shd w:val="clear" w:color="auto" w:fill="auto"/>
            <w:vAlign w:val="center"/>
            <w:hideMark/>
          </w:tcPr>
          <w:p w:rsidR="002E3FF4" w:rsidRPr="002E3FF4" w:rsidRDefault="002E3FF4" w:rsidP="00E82AF2">
            <w:pPr>
              <w:spacing w:after="0"/>
              <w:jc w:val="right"/>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681</w:t>
            </w:r>
          </w:p>
        </w:tc>
        <w:tc>
          <w:tcPr>
            <w:tcW w:w="786" w:type="pct"/>
            <w:shd w:val="clear" w:color="auto" w:fill="auto"/>
            <w:vAlign w:val="center"/>
            <w:hideMark/>
          </w:tcPr>
          <w:p w:rsidR="002E3FF4" w:rsidRPr="002E3FF4" w:rsidRDefault="002E3FF4" w:rsidP="00E82AF2">
            <w:pPr>
              <w:spacing w:after="0"/>
              <w:jc w:val="right"/>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4.2%</w:t>
            </w:r>
          </w:p>
        </w:tc>
        <w:tc>
          <w:tcPr>
            <w:tcW w:w="786" w:type="pct"/>
            <w:shd w:val="clear" w:color="auto" w:fill="auto"/>
            <w:vAlign w:val="center"/>
            <w:hideMark/>
          </w:tcPr>
          <w:p w:rsidR="002E3FF4" w:rsidRPr="002E3FF4" w:rsidRDefault="002E3FF4" w:rsidP="00E82AF2">
            <w:pPr>
              <w:spacing w:after="0"/>
              <w:jc w:val="right"/>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28</w:t>
            </w:r>
          </w:p>
        </w:tc>
        <w:tc>
          <w:tcPr>
            <w:tcW w:w="784" w:type="pct"/>
            <w:shd w:val="clear" w:color="auto" w:fill="auto"/>
            <w:vAlign w:val="center"/>
            <w:hideMark/>
          </w:tcPr>
          <w:p w:rsidR="002E3FF4" w:rsidRPr="002E3FF4" w:rsidRDefault="002E3FF4" w:rsidP="00E82AF2">
            <w:pPr>
              <w:spacing w:after="0"/>
              <w:jc w:val="right"/>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16%</w:t>
            </w:r>
          </w:p>
        </w:tc>
      </w:tr>
      <w:tr w:rsidR="002E3FF4" w:rsidRPr="002E3FF4" w:rsidTr="00E82AF2">
        <w:tc>
          <w:tcPr>
            <w:tcW w:w="808" w:type="pct"/>
            <w:shd w:val="clear" w:color="auto" w:fill="auto"/>
            <w:vAlign w:val="center"/>
            <w:hideMark/>
          </w:tcPr>
          <w:p w:rsidR="002E3FF4" w:rsidRPr="002E3FF4" w:rsidRDefault="002E3FF4" w:rsidP="00E82AF2">
            <w:pPr>
              <w:spacing w:after="0"/>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Attic Insulation</w:t>
            </w:r>
          </w:p>
        </w:tc>
        <w:tc>
          <w:tcPr>
            <w:tcW w:w="752" w:type="pct"/>
            <w:shd w:val="clear" w:color="auto" w:fill="auto"/>
            <w:vAlign w:val="center"/>
            <w:hideMark/>
          </w:tcPr>
          <w:p w:rsidR="002E3FF4" w:rsidRPr="002E3FF4" w:rsidRDefault="002E3FF4" w:rsidP="00E82AF2">
            <w:pPr>
              <w:spacing w:after="0"/>
              <w:jc w:val="right"/>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152</w:t>
            </w:r>
          </w:p>
        </w:tc>
        <w:tc>
          <w:tcPr>
            <w:tcW w:w="1084" w:type="pct"/>
            <w:shd w:val="clear" w:color="auto" w:fill="auto"/>
            <w:vAlign w:val="center"/>
            <w:hideMark/>
          </w:tcPr>
          <w:p w:rsidR="002E3FF4" w:rsidRPr="002E3FF4" w:rsidRDefault="002E3FF4" w:rsidP="00E82AF2">
            <w:pPr>
              <w:spacing w:after="0"/>
              <w:jc w:val="right"/>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767</w:t>
            </w:r>
          </w:p>
        </w:tc>
        <w:tc>
          <w:tcPr>
            <w:tcW w:w="786" w:type="pct"/>
            <w:shd w:val="clear" w:color="auto" w:fill="auto"/>
            <w:vAlign w:val="center"/>
            <w:hideMark/>
          </w:tcPr>
          <w:p w:rsidR="002E3FF4" w:rsidRPr="002E3FF4" w:rsidRDefault="002E3FF4" w:rsidP="00E82AF2">
            <w:pPr>
              <w:spacing w:after="0"/>
              <w:jc w:val="right"/>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25.7%</w:t>
            </w:r>
          </w:p>
        </w:tc>
        <w:tc>
          <w:tcPr>
            <w:tcW w:w="786" w:type="pct"/>
            <w:shd w:val="clear" w:color="auto" w:fill="auto"/>
            <w:vAlign w:val="center"/>
            <w:hideMark/>
          </w:tcPr>
          <w:p w:rsidR="002E3FF4" w:rsidRPr="002E3FF4" w:rsidRDefault="002E3FF4" w:rsidP="00E82AF2">
            <w:pPr>
              <w:spacing w:after="0"/>
              <w:jc w:val="right"/>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197</w:t>
            </w:r>
          </w:p>
        </w:tc>
        <w:tc>
          <w:tcPr>
            <w:tcW w:w="784" w:type="pct"/>
            <w:shd w:val="clear" w:color="auto" w:fill="auto"/>
            <w:vAlign w:val="center"/>
            <w:hideMark/>
          </w:tcPr>
          <w:p w:rsidR="002E3FF4" w:rsidRPr="002E3FF4" w:rsidRDefault="002E3FF4" w:rsidP="00E82AF2">
            <w:pPr>
              <w:spacing w:after="0"/>
              <w:jc w:val="right"/>
              <w:rPr>
                <w:rFonts w:ascii="Calibri" w:eastAsia="Times New Roman" w:hAnsi="Calibri" w:cs="Times New Roman"/>
                <w:color w:val="000000"/>
                <w:sz w:val="20"/>
                <w:szCs w:val="20"/>
              </w:rPr>
            </w:pPr>
            <w:r w:rsidRPr="002E3FF4">
              <w:rPr>
                <w:rFonts w:ascii="Calibri" w:eastAsia="Times New Roman" w:hAnsi="Calibri" w:cs="Times New Roman"/>
                <w:color w:val="000000"/>
                <w:sz w:val="20"/>
                <w:szCs w:val="20"/>
              </w:rPr>
              <w:t>129%</w:t>
            </w:r>
          </w:p>
        </w:tc>
      </w:tr>
    </w:tbl>
    <w:p w:rsidR="002E3FF4" w:rsidRDefault="002E3FF4" w:rsidP="00B93D23">
      <w:pPr>
        <w:pStyle w:val="NormalAfterTablesandFigures"/>
      </w:pPr>
    </w:p>
    <w:p w:rsidR="00110A97" w:rsidRPr="0070346A" w:rsidRDefault="00110A97" w:rsidP="00110A97">
      <w:r>
        <w:t xml:space="preserve">Differences between </w:t>
      </w:r>
      <w:r w:rsidRPr="00110A97">
        <w:rPr>
          <w:i/>
        </w:rPr>
        <w:t>ex ante</w:t>
      </w:r>
      <w:r>
        <w:t xml:space="preserve"> and evaluated savings for shell and duct sealing measures estimated using building simulation models are presented above in the </w:t>
      </w:r>
      <w:r w:rsidR="005C2163">
        <w:fldChar w:fldCharType="begin"/>
      </w:r>
      <w:r>
        <w:instrText xml:space="preserve"> REF _Ref389124294 \h </w:instrText>
      </w:r>
      <w:r w:rsidR="005C2163">
        <w:fldChar w:fldCharType="separate"/>
      </w:r>
      <w:r w:rsidR="00CD20CF">
        <w:t>HES Electric Savings</w:t>
      </w:r>
      <w:r w:rsidR="005C2163">
        <w:fldChar w:fldCharType="end"/>
      </w:r>
      <w:r>
        <w:t xml:space="preserve"> section.</w:t>
      </w:r>
    </w:p>
    <w:p w:rsidR="00A07EDD" w:rsidRDefault="00A07EDD" w:rsidP="00A07EDD">
      <w:pPr>
        <w:pStyle w:val="Heading5"/>
      </w:pPr>
      <w:r>
        <w:lastRenderedPageBreak/>
        <w:t>Engineering Algorithm Results</w:t>
      </w:r>
    </w:p>
    <w:p w:rsidR="00A07EDD" w:rsidRDefault="00A07EDD" w:rsidP="00A07EDD">
      <w:r>
        <w:t>For window replacements, pre- and post-installation data were not available to incorporate into the modeling. Consequently, the Evaluation Team made assumptions regarding window efficiencies and square footage installed.</w:t>
      </w:r>
      <w:r>
        <w:rPr>
          <w:rStyle w:val="FootnoteReference"/>
        </w:rPr>
        <w:footnoteReference w:id="31"/>
      </w:r>
      <w:r>
        <w:t xml:space="preserve"> </w:t>
      </w:r>
      <w:r w:rsidR="005C2163">
        <w:fldChar w:fldCharType="begin"/>
      </w:r>
      <w:r w:rsidR="002F45ED">
        <w:instrText xml:space="preserve"> REF _Ref389220028 \h </w:instrText>
      </w:r>
      <w:r w:rsidR="005C2163">
        <w:fldChar w:fldCharType="separate"/>
      </w:r>
      <w:r w:rsidR="00CD20CF">
        <w:t xml:space="preserve">Table </w:t>
      </w:r>
      <w:r w:rsidR="00CD20CF">
        <w:rPr>
          <w:noProof/>
        </w:rPr>
        <w:t>63</w:t>
      </w:r>
      <w:r w:rsidR="005C2163">
        <w:fldChar w:fldCharType="end"/>
      </w:r>
      <w:r>
        <w:t xml:space="preserve"> lists the participation, average installed units, average household savings, and realization rates of window measure installations.</w:t>
      </w:r>
    </w:p>
    <w:p w:rsidR="00A07EDD" w:rsidRDefault="00A07EDD" w:rsidP="00A07EDD">
      <w:pPr>
        <w:pStyle w:val="Caption"/>
      </w:pPr>
      <w:bookmarkStart w:id="114" w:name="_Ref389220028"/>
      <w:r>
        <w:t xml:space="preserve">Table </w:t>
      </w:r>
      <w:r w:rsidR="002506E1">
        <w:fldChar w:fldCharType="begin"/>
      </w:r>
      <w:r w:rsidR="002506E1">
        <w:instrText xml:space="preserve"> SEQ Table \* ARABIC </w:instrText>
      </w:r>
      <w:r w:rsidR="002506E1">
        <w:fldChar w:fldCharType="separate"/>
      </w:r>
      <w:r w:rsidR="00CD20CF">
        <w:rPr>
          <w:noProof/>
        </w:rPr>
        <w:t>63</w:t>
      </w:r>
      <w:r w:rsidR="002506E1">
        <w:rPr>
          <w:noProof/>
        </w:rPr>
        <w:fldChar w:fldCharType="end"/>
      </w:r>
      <w:bookmarkEnd w:id="114"/>
      <w:r>
        <w:t>. HES-IE Gas—Evaluated Window Savings</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87"/>
        <w:gridCol w:w="1398"/>
        <w:gridCol w:w="1034"/>
        <w:gridCol w:w="1440"/>
        <w:gridCol w:w="1440"/>
        <w:gridCol w:w="1800"/>
        <w:gridCol w:w="1277"/>
      </w:tblGrid>
      <w:tr w:rsidR="00A07EDD" w:rsidRPr="00C408F7" w:rsidTr="00E82AF2">
        <w:tc>
          <w:tcPr>
            <w:tcW w:w="619" w:type="pct"/>
            <w:shd w:val="clear" w:color="000000" w:fill="005DAA"/>
            <w:vAlign w:val="center"/>
            <w:hideMark/>
          </w:tcPr>
          <w:p w:rsidR="00A07EDD" w:rsidRPr="00C408F7" w:rsidRDefault="00A07EDD" w:rsidP="00E82AF2">
            <w:pPr>
              <w:keepNext/>
              <w:keepLines/>
              <w:spacing w:after="0"/>
              <w:jc w:val="center"/>
              <w:rPr>
                <w:rFonts w:ascii="Calibri" w:eastAsia="Times New Roman" w:hAnsi="Calibri" w:cs="Times New Roman"/>
                <w:b/>
                <w:bCs/>
                <w:color w:val="FFFFFF"/>
              </w:rPr>
            </w:pPr>
            <w:r w:rsidRPr="00C408F7">
              <w:rPr>
                <w:rFonts w:ascii="Calibri" w:eastAsia="Times New Roman" w:hAnsi="Calibri" w:cs="Times New Roman"/>
                <w:b/>
                <w:bCs/>
                <w:color w:val="FFFFFF"/>
              </w:rPr>
              <w:t>Measure</w:t>
            </w:r>
          </w:p>
        </w:tc>
        <w:tc>
          <w:tcPr>
            <w:tcW w:w="730" w:type="pct"/>
            <w:shd w:val="clear" w:color="000000" w:fill="005DAA"/>
            <w:vAlign w:val="center"/>
            <w:hideMark/>
          </w:tcPr>
          <w:p w:rsidR="00A07EDD" w:rsidRPr="00C408F7" w:rsidRDefault="00A07EDD" w:rsidP="00E82AF2">
            <w:pPr>
              <w:keepNext/>
              <w:keepLines/>
              <w:spacing w:after="0"/>
              <w:jc w:val="center"/>
              <w:rPr>
                <w:rFonts w:ascii="Calibri" w:eastAsia="Times New Roman" w:hAnsi="Calibri" w:cs="Times New Roman"/>
                <w:b/>
                <w:bCs/>
                <w:color w:val="FFFFFF"/>
              </w:rPr>
            </w:pPr>
            <w:r w:rsidRPr="00C408F7">
              <w:rPr>
                <w:rFonts w:ascii="Calibri" w:eastAsia="Times New Roman" w:hAnsi="Calibri" w:cs="Times New Roman"/>
                <w:b/>
                <w:bCs/>
                <w:color w:val="FFFFFF"/>
              </w:rPr>
              <w:t>Total Participants</w:t>
            </w:r>
          </w:p>
        </w:tc>
        <w:tc>
          <w:tcPr>
            <w:tcW w:w="540" w:type="pct"/>
            <w:shd w:val="clear" w:color="000000" w:fill="005DAA"/>
            <w:vAlign w:val="center"/>
            <w:hideMark/>
          </w:tcPr>
          <w:p w:rsidR="00A07EDD" w:rsidRPr="00C408F7" w:rsidRDefault="00A07EDD" w:rsidP="00E82AF2">
            <w:pPr>
              <w:keepNext/>
              <w:keepLines/>
              <w:spacing w:after="0"/>
              <w:jc w:val="center"/>
              <w:rPr>
                <w:rFonts w:ascii="Calibri" w:eastAsia="Times New Roman" w:hAnsi="Calibri" w:cs="Times New Roman"/>
                <w:b/>
                <w:bCs/>
                <w:color w:val="FFFFFF"/>
              </w:rPr>
            </w:pPr>
            <w:r w:rsidRPr="00C408F7">
              <w:rPr>
                <w:rFonts w:ascii="Calibri" w:eastAsia="Times New Roman" w:hAnsi="Calibri" w:cs="Times New Roman"/>
                <w:b/>
                <w:bCs/>
                <w:color w:val="FFFFFF"/>
              </w:rPr>
              <w:t>Average Installed Units</w:t>
            </w:r>
          </w:p>
        </w:tc>
        <w:tc>
          <w:tcPr>
            <w:tcW w:w="752" w:type="pct"/>
            <w:shd w:val="clear" w:color="000000" w:fill="005DAA"/>
            <w:vAlign w:val="center"/>
            <w:hideMark/>
          </w:tcPr>
          <w:p w:rsidR="00A07EDD" w:rsidRPr="00C408F7" w:rsidRDefault="00A07EDD" w:rsidP="00E82AF2">
            <w:pPr>
              <w:keepNext/>
              <w:keepLines/>
              <w:spacing w:after="0"/>
              <w:jc w:val="center"/>
              <w:rPr>
                <w:rFonts w:ascii="Calibri" w:eastAsia="Times New Roman" w:hAnsi="Calibri" w:cs="Times New Roman"/>
                <w:b/>
                <w:bCs/>
                <w:color w:val="FFFFFF"/>
              </w:rPr>
            </w:pPr>
            <w:r>
              <w:rPr>
                <w:rFonts w:ascii="Calibri" w:eastAsia="Times New Roman" w:hAnsi="Calibri" w:cs="Times New Roman"/>
                <w:b/>
                <w:bCs/>
                <w:color w:val="FFFFFF"/>
              </w:rPr>
              <w:t>Evaluated Gross</w:t>
            </w:r>
            <w:r w:rsidRPr="00C408F7">
              <w:rPr>
                <w:rFonts w:ascii="Calibri" w:eastAsia="Times New Roman" w:hAnsi="Calibri" w:cs="Times New Roman"/>
                <w:b/>
                <w:bCs/>
                <w:color w:val="FFFFFF"/>
              </w:rPr>
              <w:t xml:space="preserve"> Unit Savings (</w:t>
            </w:r>
            <w:r>
              <w:rPr>
                <w:rFonts w:ascii="Calibri" w:eastAsia="Times New Roman" w:hAnsi="Calibri" w:cs="Times New Roman"/>
                <w:b/>
                <w:bCs/>
                <w:color w:val="FFFFFF"/>
              </w:rPr>
              <w:t>CCF</w:t>
            </w:r>
            <w:r w:rsidRPr="00C408F7">
              <w:rPr>
                <w:rFonts w:ascii="Calibri" w:eastAsia="Times New Roman" w:hAnsi="Calibri" w:cs="Times New Roman"/>
                <w:b/>
                <w:bCs/>
                <w:color w:val="FFFFFF"/>
              </w:rPr>
              <w:t>)</w:t>
            </w:r>
          </w:p>
        </w:tc>
        <w:tc>
          <w:tcPr>
            <w:tcW w:w="752" w:type="pct"/>
            <w:shd w:val="clear" w:color="000000" w:fill="005DAA"/>
            <w:vAlign w:val="center"/>
            <w:hideMark/>
          </w:tcPr>
          <w:p w:rsidR="00A07EDD" w:rsidRPr="00C408F7" w:rsidRDefault="00A07EDD" w:rsidP="00E82AF2">
            <w:pPr>
              <w:keepNext/>
              <w:keepLines/>
              <w:spacing w:after="0"/>
              <w:jc w:val="center"/>
              <w:rPr>
                <w:rFonts w:ascii="Calibri" w:eastAsia="Times New Roman" w:hAnsi="Calibri" w:cs="Times New Roman"/>
                <w:b/>
                <w:bCs/>
                <w:color w:val="FFFFFF"/>
              </w:rPr>
            </w:pPr>
            <w:r w:rsidRPr="00C408F7">
              <w:rPr>
                <w:rFonts w:ascii="Calibri" w:eastAsia="Times New Roman" w:hAnsi="Calibri" w:cs="Times New Roman"/>
                <w:b/>
                <w:bCs/>
                <w:color w:val="FFFFFF"/>
              </w:rPr>
              <w:t>Ex-Ante Household Savings (</w:t>
            </w:r>
            <w:r>
              <w:rPr>
                <w:rFonts w:ascii="Calibri" w:eastAsia="Times New Roman" w:hAnsi="Calibri" w:cs="Times New Roman"/>
                <w:b/>
                <w:bCs/>
                <w:color w:val="FFFFFF"/>
              </w:rPr>
              <w:t>CCF</w:t>
            </w:r>
            <w:r w:rsidRPr="00C408F7">
              <w:rPr>
                <w:rFonts w:ascii="Calibri" w:eastAsia="Times New Roman" w:hAnsi="Calibri" w:cs="Times New Roman"/>
                <w:b/>
                <w:bCs/>
                <w:color w:val="FFFFFF"/>
              </w:rPr>
              <w:t>)</w:t>
            </w:r>
          </w:p>
        </w:tc>
        <w:tc>
          <w:tcPr>
            <w:tcW w:w="940" w:type="pct"/>
            <w:shd w:val="clear" w:color="000000" w:fill="005DAA"/>
            <w:vAlign w:val="center"/>
            <w:hideMark/>
          </w:tcPr>
          <w:p w:rsidR="00A07EDD" w:rsidRPr="00C408F7" w:rsidRDefault="00A07EDD" w:rsidP="00E82AF2">
            <w:pPr>
              <w:keepNext/>
              <w:keepLines/>
              <w:spacing w:after="0"/>
              <w:jc w:val="center"/>
              <w:rPr>
                <w:rFonts w:ascii="Calibri" w:eastAsia="Times New Roman" w:hAnsi="Calibri" w:cs="Times New Roman"/>
                <w:b/>
                <w:bCs/>
                <w:color w:val="FFFFFF"/>
              </w:rPr>
            </w:pPr>
            <w:r w:rsidRPr="00C408F7">
              <w:rPr>
                <w:rFonts w:ascii="Calibri" w:eastAsia="Times New Roman" w:hAnsi="Calibri" w:cs="Times New Roman"/>
                <w:b/>
                <w:bCs/>
                <w:color w:val="FFFFFF"/>
              </w:rPr>
              <w:t>Evaluated Gross Household Savings (</w:t>
            </w:r>
            <w:r>
              <w:rPr>
                <w:rFonts w:ascii="Calibri" w:eastAsia="Times New Roman" w:hAnsi="Calibri" w:cs="Times New Roman"/>
                <w:b/>
                <w:bCs/>
                <w:color w:val="FFFFFF"/>
              </w:rPr>
              <w:t>CCF</w:t>
            </w:r>
            <w:r w:rsidRPr="00C408F7">
              <w:rPr>
                <w:rFonts w:ascii="Calibri" w:eastAsia="Times New Roman" w:hAnsi="Calibri" w:cs="Times New Roman"/>
                <w:b/>
                <w:bCs/>
                <w:color w:val="FFFFFF"/>
              </w:rPr>
              <w:t>)</w:t>
            </w:r>
          </w:p>
        </w:tc>
        <w:tc>
          <w:tcPr>
            <w:tcW w:w="667" w:type="pct"/>
            <w:shd w:val="clear" w:color="000000" w:fill="005DAA"/>
            <w:vAlign w:val="center"/>
            <w:hideMark/>
          </w:tcPr>
          <w:p w:rsidR="00A07EDD" w:rsidRPr="00C408F7" w:rsidRDefault="00A07EDD" w:rsidP="00E82AF2">
            <w:pPr>
              <w:keepNext/>
              <w:keepLines/>
              <w:spacing w:after="0"/>
              <w:jc w:val="center"/>
              <w:rPr>
                <w:rFonts w:ascii="Calibri" w:eastAsia="Times New Roman" w:hAnsi="Calibri" w:cs="Times New Roman"/>
                <w:b/>
                <w:bCs/>
                <w:color w:val="FFFFFF"/>
              </w:rPr>
            </w:pPr>
            <w:r w:rsidRPr="00C408F7">
              <w:rPr>
                <w:rFonts w:ascii="Calibri" w:eastAsia="Times New Roman" w:hAnsi="Calibri" w:cs="Times New Roman"/>
                <w:b/>
                <w:bCs/>
                <w:color w:val="FFFFFF"/>
              </w:rPr>
              <w:t>Realization Rate</w:t>
            </w:r>
          </w:p>
        </w:tc>
      </w:tr>
      <w:tr w:rsidR="00A07EDD" w:rsidRPr="00C408F7" w:rsidTr="00E82AF2">
        <w:tc>
          <w:tcPr>
            <w:tcW w:w="619" w:type="pct"/>
            <w:shd w:val="clear" w:color="auto" w:fill="auto"/>
            <w:vAlign w:val="center"/>
            <w:hideMark/>
          </w:tcPr>
          <w:p w:rsidR="00A07EDD" w:rsidRPr="00C408F7" w:rsidRDefault="00A07EDD" w:rsidP="00E82AF2">
            <w:pPr>
              <w:keepNext/>
              <w:keepLines/>
              <w:spacing w:after="0"/>
              <w:rPr>
                <w:rFonts w:ascii="Calibri" w:eastAsia="Times New Roman" w:hAnsi="Calibri" w:cs="Times New Roman"/>
                <w:color w:val="000000"/>
                <w:sz w:val="20"/>
                <w:szCs w:val="20"/>
              </w:rPr>
            </w:pPr>
            <w:r w:rsidRPr="00C408F7">
              <w:rPr>
                <w:rFonts w:ascii="Calibri" w:eastAsia="Times New Roman" w:hAnsi="Calibri" w:cs="Times New Roman"/>
                <w:color w:val="000000"/>
                <w:sz w:val="20"/>
                <w:szCs w:val="20"/>
              </w:rPr>
              <w:t>Windows</w:t>
            </w:r>
          </w:p>
        </w:tc>
        <w:tc>
          <w:tcPr>
            <w:tcW w:w="730" w:type="pct"/>
            <w:shd w:val="clear" w:color="auto" w:fill="auto"/>
            <w:vAlign w:val="center"/>
            <w:hideMark/>
          </w:tcPr>
          <w:p w:rsidR="00A07EDD" w:rsidRPr="00C408F7" w:rsidRDefault="00A07EDD" w:rsidP="00E82AF2">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33</w:t>
            </w:r>
          </w:p>
        </w:tc>
        <w:tc>
          <w:tcPr>
            <w:tcW w:w="540" w:type="pct"/>
            <w:shd w:val="clear" w:color="auto" w:fill="auto"/>
            <w:vAlign w:val="center"/>
            <w:hideMark/>
          </w:tcPr>
          <w:p w:rsidR="00A07EDD" w:rsidRPr="00C408F7" w:rsidRDefault="00A07EDD" w:rsidP="00E82AF2">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752" w:type="pct"/>
            <w:shd w:val="clear" w:color="auto" w:fill="auto"/>
            <w:vAlign w:val="center"/>
            <w:hideMark/>
          </w:tcPr>
          <w:p w:rsidR="00A07EDD" w:rsidRPr="00C408F7" w:rsidRDefault="00A07EDD" w:rsidP="00E82AF2">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w:t>
            </w:r>
          </w:p>
        </w:tc>
        <w:tc>
          <w:tcPr>
            <w:tcW w:w="752" w:type="pct"/>
            <w:shd w:val="clear" w:color="auto" w:fill="auto"/>
            <w:vAlign w:val="center"/>
            <w:hideMark/>
          </w:tcPr>
          <w:p w:rsidR="00A07EDD" w:rsidRPr="00C408F7" w:rsidRDefault="00A07EDD" w:rsidP="00E82AF2">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25</w:t>
            </w:r>
          </w:p>
        </w:tc>
        <w:tc>
          <w:tcPr>
            <w:tcW w:w="940" w:type="pct"/>
            <w:shd w:val="clear" w:color="auto" w:fill="auto"/>
            <w:vAlign w:val="center"/>
            <w:hideMark/>
          </w:tcPr>
          <w:p w:rsidR="00A07EDD" w:rsidRPr="00C408F7" w:rsidRDefault="00A07EDD" w:rsidP="00E82AF2">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23</w:t>
            </w:r>
          </w:p>
        </w:tc>
        <w:tc>
          <w:tcPr>
            <w:tcW w:w="667" w:type="pct"/>
            <w:shd w:val="clear" w:color="auto" w:fill="auto"/>
            <w:vAlign w:val="center"/>
            <w:hideMark/>
          </w:tcPr>
          <w:p w:rsidR="00A07EDD" w:rsidRPr="00C408F7" w:rsidRDefault="00A07EDD" w:rsidP="00E82AF2">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93</w:t>
            </w:r>
            <w:r w:rsidRPr="00C408F7">
              <w:rPr>
                <w:rFonts w:ascii="Calibri" w:eastAsia="Times New Roman" w:hAnsi="Calibri" w:cs="Times New Roman"/>
                <w:color w:val="000000"/>
                <w:sz w:val="20"/>
                <w:szCs w:val="20"/>
              </w:rPr>
              <w:t>%</w:t>
            </w:r>
          </w:p>
        </w:tc>
      </w:tr>
    </w:tbl>
    <w:p w:rsidR="00E0049E" w:rsidRDefault="00E0049E" w:rsidP="00E82AF2">
      <w:pPr>
        <w:pStyle w:val="NormalAfterTablesandFigures"/>
      </w:pPr>
    </w:p>
    <w:p w:rsidR="00453172" w:rsidRDefault="00453172" w:rsidP="00E04376">
      <w:pPr>
        <w:pStyle w:val="Heading4"/>
      </w:pPr>
      <w:r>
        <w:t>Domestic Hot Water</w:t>
      </w:r>
    </w:p>
    <w:p w:rsidR="001A37FE" w:rsidRDefault="00632EF5" w:rsidP="0085314A">
      <w:r>
        <w:t xml:space="preserve">The Evaluation Team estimated impacts for a combined DHW measure bundle </w:t>
      </w:r>
      <w:r w:rsidR="001A37FE">
        <w:t xml:space="preserve">through billing analysis, while impacts associated with water heater temperature setback </w:t>
      </w:r>
      <w:r w:rsidR="00261F0B">
        <w:t>were</w:t>
      </w:r>
      <w:r w:rsidR="001A37FE">
        <w:t xml:space="preserve"> estimated using engineering algorithms. </w:t>
      </w:r>
    </w:p>
    <w:p w:rsidR="0085314A" w:rsidRPr="000D7AE0" w:rsidRDefault="005C2163" w:rsidP="0085314A">
      <w:r>
        <w:fldChar w:fldCharType="begin"/>
      </w:r>
      <w:r w:rsidR="00B93D23">
        <w:instrText xml:space="preserve"> REF _Ref388436698 \h </w:instrText>
      </w:r>
      <w:r>
        <w:fldChar w:fldCharType="separate"/>
      </w:r>
      <w:r w:rsidR="00CD20CF">
        <w:t xml:space="preserve">Table </w:t>
      </w:r>
      <w:r w:rsidR="00CD20CF">
        <w:rPr>
          <w:noProof/>
        </w:rPr>
        <w:t>64</w:t>
      </w:r>
      <w:r>
        <w:fldChar w:fldCharType="end"/>
      </w:r>
      <w:r w:rsidR="00632EF5">
        <w:t xml:space="preserve"> presents the billing analysis model results for the DHW measure bundle, which achieved a precision </w:t>
      </w:r>
      <w:r w:rsidR="003E3609">
        <w:t xml:space="preserve">estimate </w:t>
      </w:r>
      <w:r w:rsidR="00150AD4">
        <w:t xml:space="preserve">within </w:t>
      </w:r>
      <w:r w:rsidR="003E3609">
        <w:t>the study threshold</w:t>
      </w:r>
      <w:r w:rsidR="00632EF5">
        <w:t xml:space="preserve">. </w:t>
      </w:r>
    </w:p>
    <w:p w:rsidR="0085314A" w:rsidRDefault="0085314A" w:rsidP="00D67F1F">
      <w:pPr>
        <w:pStyle w:val="Caption"/>
      </w:pPr>
      <w:bookmarkStart w:id="115" w:name="_Ref388436698"/>
      <w:r>
        <w:t xml:space="preserve">Table </w:t>
      </w:r>
      <w:r w:rsidR="002506E1">
        <w:fldChar w:fldCharType="begin"/>
      </w:r>
      <w:r w:rsidR="002506E1">
        <w:instrText xml:space="preserve"> SEQ Table \* ARABIC </w:instrText>
      </w:r>
      <w:r w:rsidR="002506E1">
        <w:fldChar w:fldCharType="separate"/>
      </w:r>
      <w:r w:rsidR="00CD20CF">
        <w:rPr>
          <w:noProof/>
        </w:rPr>
        <w:t>64</w:t>
      </w:r>
      <w:r w:rsidR="002506E1">
        <w:rPr>
          <w:noProof/>
        </w:rPr>
        <w:fldChar w:fldCharType="end"/>
      </w:r>
      <w:bookmarkEnd w:id="115"/>
      <w:r>
        <w:t xml:space="preserve">. </w:t>
      </w:r>
      <w:r w:rsidR="00916122">
        <w:t xml:space="preserve">HES-IE </w:t>
      </w:r>
      <w:r>
        <w:t xml:space="preserve">Billing Analysis </w:t>
      </w:r>
      <w:r w:rsidR="00DD2C97">
        <w:t>Gas</w:t>
      </w:r>
      <w:r>
        <w:t xml:space="preserve"> Savings Results for DHW Bundle</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68"/>
        <w:gridCol w:w="630"/>
        <w:gridCol w:w="990"/>
        <w:gridCol w:w="2160"/>
        <w:gridCol w:w="2250"/>
        <w:gridCol w:w="2178"/>
      </w:tblGrid>
      <w:tr w:rsidR="00F24022" w:rsidRPr="00ED6E2B" w:rsidTr="000C5B30">
        <w:tc>
          <w:tcPr>
            <w:tcW w:w="714" w:type="pct"/>
            <w:shd w:val="clear" w:color="000000" w:fill="005DAA"/>
            <w:vAlign w:val="center"/>
            <w:hideMark/>
          </w:tcPr>
          <w:p w:rsidR="00ED6E2B" w:rsidRPr="00ED6E2B" w:rsidRDefault="00ED6E2B" w:rsidP="000C5B30">
            <w:pPr>
              <w:keepNext/>
              <w:keepLines/>
              <w:spacing w:after="0"/>
              <w:jc w:val="center"/>
              <w:rPr>
                <w:rFonts w:ascii="Calibri" w:eastAsia="Times New Roman" w:hAnsi="Calibri" w:cs="Times New Roman"/>
                <w:b/>
                <w:bCs/>
                <w:color w:val="FFFFFF"/>
              </w:rPr>
            </w:pPr>
            <w:r w:rsidRPr="00ED6E2B">
              <w:rPr>
                <w:rFonts w:ascii="Calibri" w:eastAsia="Times New Roman" w:hAnsi="Calibri" w:cs="Times New Roman"/>
                <w:b/>
                <w:bCs/>
                <w:color w:val="FFFFFF"/>
              </w:rPr>
              <w:t>Measure</w:t>
            </w:r>
          </w:p>
        </w:tc>
        <w:tc>
          <w:tcPr>
            <w:tcW w:w="329" w:type="pct"/>
            <w:shd w:val="clear" w:color="000000" w:fill="005DAA"/>
            <w:vAlign w:val="center"/>
            <w:hideMark/>
          </w:tcPr>
          <w:p w:rsidR="00ED6E2B" w:rsidRPr="00ED6E2B" w:rsidRDefault="00ED6E2B" w:rsidP="000C5B30">
            <w:pPr>
              <w:keepNext/>
              <w:keepLines/>
              <w:spacing w:after="0"/>
              <w:jc w:val="center"/>
              <w:rPr>
                <w:rFonts w:ascii="Calibri" w:eastAsia="Times New Roman" w:hAnsi="Calibri" w:cs="Times New Roman"/>
                <w:b/>
                <w:bCs/>
                <w:color w:val="FFFFFF"/>
              </w:rPr>
            </w:pPr>
            <w:r w:rsidRPr="00ED6E2B">
              <w:rPr>
                <w:rFonts w:ascii="Calibri" w:eastAsia="Times New Roman" w:hAnsi="Calibri" w:cs="Times New Roman"/>
                <w:b/>
                <w:bCs/>
                <w:color w:val="FFFFFF"/>
              </w:rPr>
              <w:t>n</w:t>
            </w:r>
          </w:p>
        </w:tc>
        <w:tc>
          <w:tcPr>
            <w:tcW w:w="517" w:type="pct"/>
            <w:shd w:val="clear" w:color="000000" w:fill="005DAA"/>
            <w:vAlign w:val="center"/>
            <w:hideMark/>
          </w:tcPr>
          <w:p w:rsidR="00ED6E2B" w:rsidRPr="00ED6E2B" w:rsidRDefault="00ED6E2B" w:rsidP="000C5B30">
            <w:pPr>
              <w:keepNext/>
              <w:keepLines/>
              <w:spacing w:after="0"/>
              <w:jc w:val="center"/>
              <w:rPr>
                <w:rFonts w:ascii="Calibri" w:eastAsia="Times New Roman" w:hAnsi="Calibri" w:cs="Times New Roman"/>
                <w:b/>
                <w:bCs/>
                <w:color w:val="FFFFFF"/>
              </w:rPr>
            </w:pPr>
            <w:r w:rsidRPr="00ED6E2B">
              <w:rPr>
                <w:rFonts w:ascii="Calibri" w:eastAsia="Times New Roman" w:hAnsi="Calibri" w:cs="Times New Roman"/>
                <w:b/>
                <w:bCs/>
                <w:color w:val="FFFFFF"/>
              </w:rPr>
              <w:t>PRENAC</w:t>
            </w:r>
          </w:p>
        </w:tc>
        <w:tc>
          <w:tcPr>
            <w:tcW w:w="1128" w:type="pct"/>
            <w:shd w:val="clear" w:color="000000" w:fill="005DAA"/>
            <w:vAlign w:val="center"/>
            <w:hideMark/>
          </w:tcPr>
          <w:p w:rsidR="00ED6E2B" w:rsidRPr="00ED6E2B" w:rsidRDefault="00ED6E2B" w:rsidP="000C5B30">
            <w:pPr>
              <w:keepNext/>
              <w:keepLines/>
              <w:spacing w:after="0"/>
              <w:jc w:val="center"/>
              <w:rPr>
                <w:rFonts w:ascii="Calibri" w:eastAsia="Times New Roman" w:hAnsi="Calibri" w:cs="Times New Roman"/>
                <w:b/>
                <w:bCs/>
                <w:color w:val="FFFFFF"/>
              </w:rPr>
            </w:pPr>
            <w:r w:rsidRPr="00ED6E2B">
              <w:rPr>
                <w:rFonts w:ascii="Calibri" w:eastAsia="Times New Roman" w:hAnsi="Calibri" w:cs="Times New Roman"/>
                <w:b/>
                <w:bCs/>
                <w:color w:val="FFFFFF"/>
              </w:rPr>
              <w:t>Model Savings (CCF)</w:t>
            </w:r>
          </w:p>
        </w:tc>
        <w:tc>
          <w:tcPr>
            <w:tcW w:w="1175" w:type="pct"/>
            <w:shd w:val="clear" w:color="000000" w:fill="005DAA"/>
            <w:vAlign w:val="center"/>
            <w:hideMark/>
          </w:tcPr>
          <w:p w:rsidR="00ED6E2B" w:rsidRPr="00ED6E2B" w:rsidRDefault="00ED6E2B" w:rsidP="000C5B30">
            <w:pPr>
              <w:keepNext/>
              <w:keepLines/>
              <w:spacing w:after="0"/>
              <w:jc w:val="center"/>
              <w:rPr>
                <w:rFonts w:ascii="Calibri" w:eastAsia="Times New Roman" w:hAnsi="Calibri" w:cs="Times New Roman"/>
                <w:b/>
                <w:bCs/>
                <w:color w:val="FFFFFF"/>
              </w:rPr>
            </w:pPr>
            <w:r w:rsidRPr="00ED6E2B">
              <w:rPr>
                <w:rFonts w:ascii="Calibri" w:eastAsia="Times New Roman" w:hAnsi="Calibri" w:cs="Times New Roman"/>
                <w:b/>
                <w:bCs/>
                <w:color w:val="FFFFFF"/>
              </w:rPr>
              <w:t>Savings as Percent of Pre-Usage</w:t>
            </w:r>
          </w:p>
        </w:tc>
        <w:tc>
          <w:tcPr>
            <w:tcW w:w="1137" w:type="pct"/>
            <w:shd w:val="clear" w:color="000000" w:fill="005DAA"/>
            <w:vAlign w:val="center"/>
            <w:hideMark/>
          </w:tcPr>
          <w:p w:rsidR="00ED6E2B" w:rsidRPr="00ED6E2B" w:rsidRDefault="00ED6E2B" w:rsidP="000C5B30">
            <w:pPr>
              <w:keepNext/>
              <w:keepLines/>
              <w:spacing w:after="0"/>
              <w:jc w:val="center"/>
              <w:rPr>
                <w:rFonts w:ascii="Calibri" w:eastAsia="Times New Roman" w:hAnsi="Calibri" w:cs="Times New Roman"/>
                <w:b/>
                <w:bCs/>
                <w:color w:val="FFFFFF"/>
              </w:rPr>
            </w:pPr>
            <w:r w:rsidRPr="00ED6E2B">
              <w:rPr>
                <w:rFonts w:ascii="Calibri" w:eastAsia="Times New Roman" w:hAnsi="Calibri" w:cs="Times New Roman"/>
                <w:b/>
                <w:bCs/>
                <w:color w:val="FFFFFF"/>
              </w:rPr>
              <w:t>Relative Precision at 90%</w:t>
            </w:r>
          </w:p>
        </w:tc>
      </w:tr>
      <w:tr w:rsidR="00F24022" w:rsidRPr="00ED6E2B" w:rsidTr="00F24022">
        <w:tc>
          <w:tcPr>
            <w:tcW w:w="714" w:type="pct"/>
            <w:shd w:val="clear" w:color="auto" w:fill="auto"/>
            <w:vAlign w:val="center"/>
            <w:hideMark/>
          </w:tcPr>
          <w:p w:rsidR="00ED6E2B" w:rsidRPr="00ED6E2B" w:rsidRDefault="00ED6E2B" w:rsidP="00D67F1F">
            <w:pPr>
              <w:keepNext/>
              <w:keepLines/>
              <w:spacing w:after="0"/>
              <w:rPr>
                <w:rFonts w:ascii="Calibri" w:eastAsia="Times New Roman" w:hAnsi="Calibri" w:cs="Times New Roman"/>
                <w:color w:val="000000"/>
                <w:sz w:val="20"/>
                <w:szCs w:val="20"/>
              </w:rPr>
            </w:pPr>
            <w:r w:rsidRPr="00ED6E2B">
              <w:rPr>
                <w:rFonts w:ascii="Calibri" w:eastAsia="Times New Roman" w:hAnsi="Calibri" w:cs="Times New Roman"/>
                <w:color w:val="000000"/>
                <w:sz w:val="20"/>
                <w:szCs w:val="20"/>
              </w:rPr>
              <w:t>DHW Bundle</w:t>
            </w:r>
          </w:p>
        </w:tc>
        <w:tc>
          <w:tcPr>
            <w:tcW w:w="329" w:type="pct"/>
            <w:shd w:val="clear" w:color="auto" w:fill="auto"/>
            <w:vAlign w:val="center"/>
            <w:hideMark/>
          </w:tcPr>
          <w:p w:rsidR="00ED6E2B" w:rsidRPr="00ED6E2B" w:rsidRDefault="00ED6E2B" w:rsidP="00D67F1F">
            <w:pPr>
              <w:keepNext/>
              <w:keepLines/>
              <w:spacing w:after="0"/>
              <w:jc w:val="right"/>
              <w:rPr>
                <w:rFonts w:ascii="Calibri" w:eastAsia="Times New Roman" w:hAnsi="Calibri" w:cs="Times New Roman"/>
                <w:color w:val="000000"/>
                <w:sz w:val="20"/>
                <w:szCs w:val="20"/>
              </w:rPr>
            </w:pPr>
            <w:r w:rsidRPr="00ED6E2B">
              <w:rPr>
                <w:rFonts w:ascii="Calibri" w:eastAsia="Times New Roman" w:hAnsi="Calibri" w:cs="Times New Roman"/>
                <w:color w:val="000000"/>
                <w:sz w:val="20"/>
                <w:szCs w:val="20"/>
              </w:rPr>
              <w:t>965</w:t>
            </w:r>
          </w:p>
        </w:tc>
        <w:tc>
          <w:tcPr>
            <w:tcW w:w="517" w:type="pct"/>
            <w:shd w:val="clear" w:color="auto" w:fill="auto"/>
            <w:vAlign w:val="center"/>
            <w:hideMark/>
          </w:tcPr>
          <w:p w:rsidR="00ED6E2B" w:rsidRPr="00ED6E2B" w:rsidRDefault="00ED6E2B" w:rsidP="00D67F1F">
            <w:pPr>
              <w:keepNext/>
              <w:keepLines/>
              <w:spacing w:after="0"/>
              <w:jc w:val="right"/>
              <w:rPr>
                <w:rFonts w:ascii="Calibri" w:eastAsia="Times New Roman" w:hAnsi="Calibri" w:cs="Times New Roman"/>
                <w:color w:val="000000"/>
                <w:sz w:val="20"/>
                <w:szCs w:val="20"/>
              </w:rPr>
            </w:pPr>
            <w:r w:rsidRPr="00ED6E2B">
              <w:rPr>
                <w:rFonts w:ascii="Calibri" w:eastAsia="Times New Roman" w:hAnsi="Calibri" w:cs="Times New Roman"/>
                <w:color w:val="000000"/>
                <w:sz w:val="20"/>
                <w:szCs w:val="20"/>
              </w:rPr>
              <w:t>901</w:t>
            </w:r>
          </w:p>
        </w:tc>
        <w:tc>
          <w:tcPr>
            <w:tcW w:w="1128" w:type="pct"/>
            <w:shd w:val="clear" w:color="auto" w:fill="auto"/>
            <w:vAlign w:val="center"/>
            <w:hideMark/>
          </w:tcPr>
          <w:p w:rsidR="00ED6E2B" w:rsidRPr="00ED6E2B" w:rsidRDefault="00ED6E2B" w:rsidP="00D67F1F">
            <w:pPr>
              <w:keepNext/>
              <w:keepLines/>
              <w:spacing w:after="0"/>
              <w:jc w:val="right"/>
              <w:rPr>
                <w:rFonts w:ascii="Calibri" w:eastAsia="Times New Roman" w:hAnsi="Calibri" w:cs="Times New Roman"/>
                <w:color w:val="000000"/>
                <w:sz w:val="20"/>
                <w:szCs w:val="20"/>
              </w:rPr>
            </w:pPr>
            <w:r w:rsidRPr="00ED6E2B">
              <w:rPr>
                <w:rFonts w:ascii="Calibri" w:eastAsia="Times New Roman" w:hAnsi="Calibri" w:cs="Times New Roman"/>
                <w:color w:val="000000"/>
                <w:sz w:val="20"/>
                <w:szCs w:val="20"/>
              </w:rPr>
              <w:t>29</w:t>
            </w:r>
          </w:p>
        </w:tc>
        <w:tc>
          <w:tcPr>
            <w:tcW w:w="1175" w:type="pct"/>
            <w:shd w:val="clear" w:color="auto" w:fill="auto"/>
            <w:vAlign w:val="center"/>
            <w:hideMark/>
          </w:tcPr>
          <w:p w:rsidR="00ED6E2B" w:rsidRPr="00ED6E2B" w:rsidRDefault="00ED6E2B" w:rsidP="00D67F1F">
            <w:pPr>
              <w:keepNext/>
              <w:keepLines/>
              <w:spacing w:after="0"/>
              <w:jc w:val="right"/>
              <w:rPr>
                <w:rFonts w:ascii="Calibri" w:eastAsia="Times New Roman" w:hAnsi="Calibri" w:cs="Times New Roman"/>
                <w:color w:val="000000"/>
                <w:sz w:val="20"/>
                <w:szCs w:val="20"/>
              </w:rPr>
            </w:pPr>
            <w:r w:rsidRPr="00ED6E2B">
              <w:rPr>
                <w:rFonts w:ascii="Calibri" w:eastAsia="Times New Roman" w:hAnsi="Calibri" w:cs="Times New Roman"/>
                <w:color w:val="000000"/>
                <w:sz w:val="20"/>
                <w:szCs w:val="20"/>
              </w:rPr>
              <w:t>3%</w:t>
            </w:r>
          </w:p>
        </w:tc>
        <w:tc>
          <w:tcPr>
            <w:tcW w:w="1137" w:type="pct"/>
            <w:shd w:val="clear" w:color="auto" w:fill="auto"/>
            <w:vAlign w:val="center"/>
            <w:hideMark/>
          </w:tcPr>
          <w:p w:rsidR="00ED6E2B" w:rsidRPr="00ED6E2B" w:rsidRDefault="0021453A" w:rsidP="00D67F1F">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ED6E2B" w:rsidRPr="00ED6E2B">
              <w:rPr>
                <w:rFonts w:ascii="Calibri" w:eastAsia="Times New Roman" w:hAnsi="Calibri" w:cs="Times New Roman"/>
                <w:color w:val="000000"/>
                <w:sz w:val="20"/>
                <w:szCs w:val="20"/>
              </w:rPr>
              <w:t>26%</w:t>
            </w:r>
          </w:p>
        </w:tc>
      </w:tr>
    </w:tbl>
    <w:p w:rsidR="0085314A" w:rsidRDefault="0085314A" w:rsidP="00D67F1F">
      <w:pPr>
        <w:pStyle w:val="NormalAfterTablesandFigures"/>
        <w:keepNext/>
        <w:keepLines/>
      </w:pPr>
    </w:p>
    <w:p w:rsidR="0085314A" w:rsidRPr="000E6110" w:rsidRDefault="005C2163" w:rsidP="0085314A">
      <w:r>
        <w:fldChar w:fldCharType="begin"/>
      </w:r>
      <w:r w:rsidR="00B93D23">
        <w:instrText xml:space="preserve"> REF _Ref388436804 \h </w:instrText>
      </w:r>
      <w:r>
        <w:fldChar w:fldCharType="separate"/>
      </w:r>
      <w:r w:rsidR="00CD20CF">
        <w:t xml:space="preserve">Table </w:t>
      </w:r>
      <w:r w:rsidR="00CD20CF">
        <w:rPr>
          <w:noProof/>
        </w:rPr>
        <w:t>65</w:t>
      </w:r>
      <w:r>
        <w:fldChar w:fldCharType="end"/>
      </w:r>
      <w:r w:rsidR="0085314A">
        <w:t xml:space="preserve"> provides realization rates</w:t>
      </w:r>
      <w:r w:rsidR="001C6B05">
        <w:t>,</w:t>
      </w:r>
      <w:r w:rsidR="0085314A">
        <w:t xml:space="preserve"> based on comparing the gross savings estimate from the billing analysis to the average </w:t>
      </w:r>
      <w:r w:rsidR="0085314A" w:rsidRPr="004E7EA6">
        <w:rPr>
          <w:i/>
        </w:rPr>
        <w:t>ex ante</w:t>
      </w:r>
      <w:r w:rsidR="0085314A">
        <w:t xml:space="preserve"> savings per household.</w:t>
      </w:r>
    </w:p>
    <w:p w:rsidR="0085314A" w:rsidRDefault="0085314A" w:rsidP="0085314A">
      <w:pPr>
        <w:pStyle w:val="Caption"/>
      </w:pPr>
      <w:bookmarkStart w:id="116" w:name="_Ref388436804"/>
      <w:r>
        <w:t xml:space="preserve">Table </w:t>
      </w:r>
      <w:r w:rsidR="002506E1">
        <w:fldChar w:fldCharType="begin"/>
      </w:r>
      <w:r w:rsidR="002506E1">
        <w:instrText xml:space="preserve"> SEQ Table \* ARABIC </w:instrText>
      </w:r>
      <w:r w:rsidR="002506E1">
        <w:fldChar w:fldCharType="separate"/>
      </w:r>
      <w:r w:rsidR="00CD20CF">
        <w:rPr>
          <w:noProof/>
        </w:rPr>
        <w:t>65</w:t>
      </w:r>
      <w:r w:rsidR="002506E1">
        <w:rPr>
          <w:noProof/>
        </w:rPr>
        <w:fldChar w:fldCharType="end"/>
      </w:r>
      <w:bookmarkEnd w:id="116"/>
      <w:r>
        <w:t xml:space="preserve">. </w:t>
      </w:r>
      <w:r w:rsidR="00916122">
        <w:t xml:space="preserve">HES-IE </w:t>
      </w:r>
      <w:r>
        <w:t>Billing Analysis Realization Rate Summary for DHW Bundle</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78"/>
        <w:gridCol w:w="1530"/>
        <w:gridCol w:w="1890"/>
        <w:gridCol w:w="1260"/>
        <w:gridCol w:w="1710"/>
        <w:gridCol w:w="1908"/>
      </w:tblGrid>
      <w:tr w:rsidR="0085314A" w:rsidRPr="0085314A" w:rsidTr="00196802">
        <w:tc>
          <w:tcPr>
            <w:tcW w:w="667" w:type="pct"/>
            <w:shd w:val="clear" w:color="000000" w:fill="005DAA"/>
            <w:vAlign w:val="center"/>
            <w:hideMark/>
          </w:tcPr>
          <w:p w:rsidR="0085314A" w:rsidRPr="0085314A" w:rsidRDefault="0085314A" w:rsidP="00B93D23">
            <w:pPr>
              <w:spacing w:after="0"/>
              <w:jc w:val="center"/>
              <w:rPr>
                <w:rFonts w:ascii="Calibri" w:eastAsia="Times New Roman" w:hAnsi="Calibri" w:cs="Times New Roman"/>
                <w:b/>
                <w:bCs/>
                <w:color w:val="FFFFFF"/>
              </w:rPr>
            </w:pPr>
            <w:r w:rsidRPr="0085314A">
              <w:rPr>
                <w:rFonts w:ascii="Calibri" w:eastAsia="Times New Roman" w:hAnsi="Calibri" w:cs="Times New Roman"/>
                <w:b/>
                <w:bCs/>
                <w:color w:val="FFFFFF"/>
              </w:rPr>
              <w:t>Measure</w:t>
            </w:r>
          </w:p>
        </w:tc>
        <w:tc>
          <w:tcPr>
            <w:tcW w:w="799" w:type="pct"/>
            <w:shd w:val="clear" w:color="000000" w:fill="005DAA"/>
            <w:vAlign w:val="center"/>
            <w:hideMark/>
          </w:tcPr>
          <w:p w:rsidR="0085314A" w:rsidRPr="0085314A" w:rsidRDefault="0085314A" w:rsidP="00B93D23">
            <w:pPr>
              <w:spacing w:after="0"/>
              <w:jc w:val="center"/>
              <w:rPr>
                <w:rFonts w:ascii="Calibri" w:eastAsia="Times New Roman" w:hAnsi="Calibri" w:cs="Times New Roman"/>
                <w:b/>
                <w:bCs/>
                <w:color w:val="FFFFFF"/>
              </w:rPr>
            </w:pPr>
            <w:r w:rsidRPr="0085314A">
              <w:rPr>
                <w:rFonts w:ascii="Calibri" w:eastAsia="Times New Roman" w:hAnsi="Calibri" w:cs="Times New Roman"/>
                <w:b/>
                <w:bCs/>
                <w:color w:val="FFFFFF"/>
              </w:rPr>
              <w:t>Gross Model Savings (CCF)</w:t>
            </w:r>
          </w:p>
        </w:tc>
        <w:tc>
          <w:tcPr>
            <w:tcW w:w="987" w:type="pct"/>
            <w:shd w:val="clear" w:color="000000" w:fill="005DAA"/>
            <w:vAlign w:val="center"/>
            <w:hideMark/>
          </w:tcPr>
          <w:p w:rsidR="0085314A" w:rsidRPr="0085314A" w:rsidRDefault="0085314A" w:rsidP="00B93D23">
            <w:pPr>
              <w:spacing w:after="0"/>
              <w:jc w:val="center"/>
              <w:rPr>
                <w:rFonts w:ascii="Calibri" w:eastAsia="Times New Roman" w:hAnsi="Calibri" w:cs="Times New Roman"/>
                <w:b/>
                <w:bCs/>
                <w:color w:val="FFFFFF"/>
              </w:rPr>
            </w:pPr>
            <w:r w:rsidRPr="0085314A">
              <w:rPr>
                <w:rFonts w:ascii="Calibri" w:eastAsia="Times New Roman" w:hAnsi="Calibri" w:cs="Times New Roman"/>
                <w:b/>
                <w:bCs/>
                <w:color w:val="FFFFFF"/>
              </w:rPr>
              <w:t xml:space="preserve">Reported </w:t>
            </w:r>
            <w:r w:rsidRPr="00CF5867">
              <w:rPr>
                <w:rFonts w:ascii="Calibri" w:eastAsia="Times New Roman" w:hAnsi="Calibri" w:cs="Times New Roman"/>
                <w:b/>
                <w:bCs/>
                <w:i/>
                <w:color w:val="FFFFFF"/>
              </w:rPr>
              <w:t>Ex Ante</w:t>
            </w:r>
            <w:r w:rsidRPr="0085314A">
              <w:rPr>
                <w:rFonts w:ascii="Calibri" w:eastAsia="Times New Roman" w:hAnsi="Calibri" w:cs="Times New Roman"/>
                <w:b/>
                <w:bCs/>
                <w:color w:val="FFFFFF"/>
              </w:rPr>
              <w:t xml:space="preserve"> Savings (CCF)</w:t>
            </w:r>
          </w:p>
        </w:tc>
        <w:tc>
          <w:tcPr>
            <w:tcW w:w="658" w:type="pct"/>
            <w:shd w:val="clear" w:color="000000" w:fill="005DAA"/>
            <w:vAlign w:val="center"/>
            <w:hideMark/>
          </w:tcPr>
          <w:p w:rsidR="0085314A" w:rsidRPr="0085314A" w:rsidRDefault="0085314A" w:rsidP="00B93D23">
            <w:pPr>
              <w:spacing w:after="0"/>
              <w:jc w:val="center"/>
              <w:rPr>
                <w:rFonts w:ascii="Calibri" w:eastAsia="Times New Roman" w:hAnsi="Calibri" w:cs="Times New Roman"/>
                <w:b/>
                <w:bCs/>
                <w:color w:val="FFFFFF"/>
              </w:rPr>
            </w:pPr>
            <w:r w:rsidRPr="0085314A">
              <w:rPr>
                <w:rFonts w:ascii="Calibri" w:eastAsia="Times New Roman" w:hAnsi="Calibri" w:cs="Times New Roman"/>
                <w:b/>
                <w:bCs/>
                <w:color w:val="FFFFFF"/>
              </w:rPr>
              <w:t>Realization Rate</w:t>
            </w:r>
          </w:p>
        </w:tc>
        <w:tc>
          <w:tcPr>
            <w:tcW w:w="893" w:type="pct"/>
            <w:shd w:val="clear" w:color="000000" w:fill="005DAA"/>
            <w:vAlign w:val="center"/>
            <w:hideMark/>
          </w:tcPr>
          <w:p w:rsidR="0085314A" w:rsidRPr="0085314A" w:rsidRDefault="0085314A" w:rsidP="00B93D23">
            <w:pPr>
              <w:spacing w:after="0"/>
              <w:jc w:val="center"/>
              <w:rPr>
                <w:rFonts w:ascii="Calibri" w:eastAsia="Times New Roman" w:hAnsi="Calibri" w:cs="Times New Roman"/>
                <w:b/>
                <w:bCs/>
                <w:color w:val="FFFFFF"/>
              </w:rPr>
            </w:pPr>
            <w:r w:rsidRPr="0085314A">
              <w:rPr>
                <w:rFonts w:ascii="Calibri" w:eastAsia="Times New Roman" w:hAnsi="Calibri" w:cs="Times New Roman"/>
                <w:b/>
                <w:bCs/>
                <w:color w:val="FFFFFF"/>
              </w:rPr>
              <w:t>Model Savings as Percent of Pre-Usage</w:t>
            </w:r>
          </w:p>
        </w:tc>
        <w:tc>
          <w:tcPr>
            <w:tcW w:w="996" w:type="pct"/>
            <w:shd w:val="clear" w:color="000000" w:fill="005DAA"/>
            <w:vAlign w:val="center"/>
            <w:hideMark/>
          </w:tcPr>
          <w:p w:rsidR="0085314A" w:rsidRPr="0085314A" w:rsidRDefault="0085314A" w:rsidP="00B93D23">
            <w:pPr>
              <w:spacing w:after="0"/>
              <w:jc w:val="center"/>
              <w:rPr>
                <w:rFonts w:ascii="Calibri" w:eastAsia="Times New Roman" w:hAnsi="Calibri" w:cs="Times New Roman"/>
                <w:b/>
                <w:bCs/>
                <w:color w:val="FFFFFF"/>
              </w:rPr>
            </w:pPr>
            <w:r w:rsidRPr="0085314A">
              <w:rPr>
                <w:rFonts w:ascii="Calibri" w:eastAsia="Times New Roman" w:hAnsi="Calibri" w:cs="Times New Roman"/>
                <w:b/>
                <w:bCs/>
                <w:color w:val="FFFFFF"/>
              </w:rPr>
              <w:t xml:space="preserve">Reported </w:t>
            </w:r>
            <w:r w:rsidRPr="00CF5867">
              <w:rPr>
                <w:rFonts w:ascii="Calibri" w:eastAsia="Times New Roman" w:hAnsi="Calibri" w:cs="Times New Roman"/>
                <w:b/>
                <w:bCs/>
                <w:i/>
                <w:color w:val="FFFFFF"/>
              </w:rPr>
              <w:t>Ex Ante</w:t>
            </w:r>
            <w:r w:rsidRPr="0085314A">
              <w:rPr>
                <w:rFonts w:ascii="Calibri" w:eastAsia="Times New Roman" w:hAnsi="Calibri" w:cs="Times New Roman"/>
                <w:b/>
                <w:bCs/>
                <w:color w:val="FFFFFF"/>
              </w:rPr>
              <w:t xml:space="preserve"> Savings as Percent of Pre-Usage</w:t>
            </w:r>
          </w:p>
        </w:tc>
      </w:tr>
      <w:tr w:rsidR="0085314A" w:rsidRPr="0085314A" w:rsidTr="00196802">
        <w:tc>
          <w:tcPr>
            <w:tcW w:w="667" w:type="pct"/>
            <w:shd w:val="clear" w:color="auto" w:fill="auto"/>
            <w:vAlign w:val="center"/>
            <w:hideMark/>
          </w:tcPr>
          <w:p w:rsidR="0085314A" w:rsidRPr="0085314A" w:rsidRDefault="0085314A" w:rsidP="00B93D23">
            <w:pPr>
              <w:spacing w:after="0"/>
              <w:rPr>
                <w:rFonts w:ascii="Calibri" w:eastAsia="Times New Roman" w:hAnsi="Calibri" w:cs="Times New Roman"/>
                <w:color w:val="000000"/>
                <w:sz w:val="20"/>
                <w:szCs w:val="20"/>
              </w:rPr>
            </w:pPr>
            <w:r w:rsidRPr="0085314A">
              <w:rPr>
                <w:rFonts w:ascii="Calibri" w:eastAsia="Times New Roman" w:hAnsi="Calibri" w:cs="Times New Roman"/>
                <w:color w:val="000000"/>
                <w:sz w:val="20"/>
                <w:szCs w:val="20"/>
              </w:rPr>
              <w:t>DHW Bundle</w:t>
            </w:r>
          </w:p>
        </w:tc>
        <w:tc>
          <w:tcPr>
            <w:tcW w:w="799" w:type="pct"/>
            <w:shd w:val="clear" w:color="auto" w:fill="auto"/>
            <w:vAlign w:val="center"/>
            <w:hideMark/>
          </w:tcPr>
          <w:p w:rsidR="0085314A" w:rsidRPr="0085314A" w:rsidRDefault="0085314A" w:rsidP="00B93D23">
            <w:pPr>
              <w:spacing w:after="0"/>
              <w:jc w:val="right"/>
              <w:rPr>
                <w:rFonts w:ascii="Calibri" w:eastAsia="Times New Roman" w:hAnsi="Calibri" w:cs="Times New Roman"/>
                <w:color w:val="000000"/>
                <w:sz w:val="20"/>
                <w:szCs w:val="20"/>
              </w:rPr>
            </w:pPr>
            <w:r w:rsidRPr="0085314A">
              <w:rPr>
                <w:rFonts w:ascii="Calibri" w:eastAsia="Times New Roman" w:hAnsi="Calibri" w:cs="Times New Roman"/>
                <w:color w:val="000000"/>
                <w:sz w:val="20"/>
                <w:szCs w:val="20"/>
              </w:rPr>
              <w:t>29</w:t>
            </w:r>
          </w:p>
        </w:tc>
        <w:tc>
          <w:tcPr>
            <w:tcW w:w="987" w:type="pct"/>
            <w:shd w:val="clear" w:color="auto" w:fill="auto"/>
            <w:vAlign w:val="center"/>
            <w:hideMark/>
          </w:tcPr>
          <w:p w:rsidR="0085314A" w:rsidRPr="0085314A" w:rsidRDefault="0085314A" w:rsidP="00B93D23">
            <w:pPr>
              <w:spacing w:after="0"/>
              <w:jc w:val="right"/>
              <w:rPr>
                <w:rFonts w:ascii="Calibri" w:eastAsia="Times New Roman" w:hAnsi="Calibri" w:cs="Times New Roman"/>
                <w:color w:val="000000"/>
                <w:sz w:val="20"/>
                <w:szCs w:val="20"/>
              </w:rPr>
            </w:pPr>
            <w:r w:rsidRPr="0085314A">
              <w:rPr>
                <w:rFonts w:ascii="Calibri" w:eastAsia="Times New Roman" w:hAnsi="Calibri" w:cs="Times New Roman"/>
                <w:color w:val="000000"/>
                <w:sz w:val="20"/>
                <w:szCs w:val="20"/>
              </w:rPr>
              <w:t>41</w:t>
            </w:r>
          </w:p>
        </w:tc>
        <w:tc>
          <w:tcPr>
            <w:tcW w:w="658" w:type="pct"/>
            <w:shd w:val="clear" w:color="auto" w:fill="auto"/>
            <w:vAlign w:val="center"/>
            <w:hideMark/>
          </w:tcPr>
          <w:p w:rsidR="0085314A" w:rsidRPr="0085314A" w:rsidRDefault="0085314A" w:rsidP="00B93D23">
            <w:pPr>
              <w:spacing w:after="0"/>
              <w:jc w:val="right"/>
              <w:rPr>
                <w:rFonts w:ascii="Calibri" w:eastAsia="Times New Roman" w:hAnsi="Calibri" w:cs="Times New Roman"/>
                <w:color w:val="000000"/>
                <w:sz w:val="20"/>
                <w:szCs w:val="20"/>
              </w:rPr>
            </w:pPr>
            <w:r w:rsidRPr="0085314A">
              <w:rPr>
                <w:rFonts w:ascii="Calibri" w:eastAsia="Times New Roman" w:hAnsi="Calibri" w:cs="Times New Roman"/>
                <w:color w:val="000000"/>
                <w:sz w:val="20"/>
                <w:szCs w:val="20"/>
              </w:rPr>
              <w:t>72%</w:t>
            </w:r>
          </w:p>
        </w:tc>
        <w:tc>
          <w:tcPr>
            <w:tcW w:w="893" w:type="pct"/>
            <w:shd w:val="clear" w:color="auto" w:fill="auto"/>
            <w:vAlign w:val="center"/>
            <w:hideMark/>
          </w:tcPr>
          <w:p w:rsidR="0085314A" w:rsidRPr="0085314A" w:rsidRDefault="0085314A" w:rsidP="00B93D23">
            <w:pPr>
              <w:spacing w:after="0"/>
              <w:jc w:val="right"/>
              <w:rPr>
                <w:rFonts w:ascii="Calibri" w:eastAsia="Times New Roman" w:hAnsi="Calibri" w:cs="Times New Roman"/>
                <w:color w:val="000000"/>
                <w:sz w:val="20"/>
                <w:szCs w:val="20"/>
              </w:rPr>
            </w:pPr>
            <w:r w:rsidRPr="0085314A">
              <w:rPr>
                <w:rFonts w:ascii="Calibri" w:eastAsia="Times New Roman" w:hAnsi="Calibri" w:cs="Times New Roman"/>
                <w:color w:val="000000"/>
                <w:sz w:val="20"/>
                <w:szCs w:val="20"/>
              </w:rPr>
              <w:t>3%</w:t>
            </w:r>
          </w:p>
        </w:tc>
        <w:tc>
          <w:tcPr>
            <w:tcW w:w="996" w:type="pct"/>
            <w:shd w:val="clear" w:color="auto" w:fill="auto"/>
            <w:vAlign w:val="center"/>
            <w:hideMark/>
          </w:tcPr>
          <w:p w:rsidR="0085314A" w:rsidRPr="0085314A" w:rsidRDefault="00ED6E2B" w:rsidP="00B93D2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5</w:t>
            </w:r>
            <w:r w:rsidR="0085314A" w:rsidRPr="0085314A">
              <w:rPr>
                <w:rFonts w:ascii="Calibri" w:eastAsia="Times New Roman" w:hAnsi="Calibri" w:cs="Times New Roman"/>
                <w:color w:val="000000"/>
                <w:sz w:val="20"/>
                <w:szCs w:val="20"/>
              </w:rPr>
              <w:t>%</w:t>
            </w:r>
          </w:p>
        </w:tc>
      </w:tr>
    </w:tbl>
    <w:p w:rsidR="00632EF5" w:rsidRDefault="00632EF5" w:rsidP="00B93D23">
      <w:pPr>
        <w:pStyle w:val="NormalAfterTablesandFigures"/>
      </w:pPr>
    </w:p>
    <w:p w:rsidR="00110D97" w:rsidRDefault="005C2163" w:rsidP="00110D97">
      <w:r>
        <w:fldChar w:fldCharType="begin"/>
      </w:r>
      <w:r w:rsidR="00110D97">
        <w:instrText xml:space="preserve"> REF _Ref389143852 \h </w:instrText>
      </w:r>
      <w:r>
        <w:fldChar w:fldCharType="separate"/>
      </w:r>
      <w:r w:rsidR="00CD20CF">
        <w:t xml:space="preserve">Table </w:t>
      </w:r>
      <w:r w:rsidR="00CD20CF">
        <w:rPr>
          <w:noProof/>
        </w:rPr>
        <w:t>66</w:t>
      </w:r>
      <w:r>
        <w:fldChar w:fldCharType="end"/>
      </w:r>
      <w:r w:rsidR="00110D97">
        <w:t xml:space="preserve"> lists the participation, average household savings, and realization rate for water heater temperature setback. </w:t>
      </w:r>
    </w:p>
    <w:p w:rsidR="00110D97" w:rsidRDefault="00110D97" w:rsidP="00110D97">
      <w:pPr>
        <w:pStyle w:val="Caption"/>
      </w:pPr>
      <w:bookmarkStart w:id="117" w:name="_Ref389143852"/>
      <w:r>
        <w:lastRenderedPageBreak/>
        <w:t xml:space="preserve">Table </w:t>
      </w:r>
      <w:r w:rsidR="002506E1">
        <w:fldChar w:fldCharType="begin"/>
      </w:r>
      <w:r w:rsidR="002506E1">
        <w:instrText xml:space="preserve"> SEQ Table \* ARABIC </w:instrText>
      </w:r>
      <w:r w:rsidR="002506E1">
        <w:fldChar w:fldCharType="separate"/>
      </w:r>
      <w:r w:rsidR="00CD20CF">
        <w:rPr>
          <w:noProof/>
        </w:rPr>
        <w:t>66</w:t>
      </w:r>
      <w:r w:rsidR="002506E1">
        <w:rPr>
          <w:noProof/>
        </w:rPr>
        <w:fldChar w:fldCharType="end"/>
      </w:r>
      <w:bookmarkEnd w:id="117"/>
      <w:r>
        <w:t>. HES Gas Water Temperature Set Back Evaluated Savings</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368"/>
        <w:gridCol w:w="1350"/>
        <w:gridCol w:w="1730"/>
        <w:gridCol w:w="1770"/>
        <w:gridCol w:w="1993"/>
        <w:gridCol w:w="1365"/>
      </w:tblGrid>
      <w:tr w:rsidR="00A06349" w:rsidRPr="00DA2D4B" w:rsidTr="00F24022">
        <w:trPr>
          <w:jc w:val="center"/>
        </w:trPr>
        <w:tc>
          <w:tcPr>
            <w:tcW w:w="1368" w:type="dxa"/>
            <w:shd w:val="clear" w:color="000000" w:fill="005DAA"/>
            <w:vAlign w:val="center"/>
            <w:hideMark/>
          </w:tcPr>
          <w:p w:rsidR="00A06349" w:rsidRPr="00DA2D4B" w:rsidRDefault="00A06349" w:rsidP="001157A7">
            <w:pPr>
              <w:keepNext/>
              <w:keepLines/>
              <w:spacing w:after="0"/>
              <w:jc w:val="center"/>
              <w:rPr>
                <w:rFonts w:ascii="Calibri" w:eastAsia="Times New Roman" w:hAnsi="Calibri" w:cs="Times New Roman"/>
                <w:b/>
                <w:bCs/>
                <w:color w:val="FFFFFF"/>
              </w:rPr>
            </w:pPr>
            <w:r w:rsidRPr="00DA2D4B">
              <w:rPr>
                <w:rFonts w:ascii="Calibri" w:eastAsia="Times New Roman" w:hAnsi="Calibri" w:cs="Times New Roman"/>
                <w:b/>
                <w:bCs/>
                <w:color w:val="FFFFFF"/>
              </w:rPr>
              <w:t>Measure</w:t>
            </w:r>
          </w:p>
        </w:tc>
        <w:tc>
          <w:tcPr>
            <w:tcW w:w="1350" w:type="dxa"/>
            <w:shd w:val="clear" w:color="000000" w:fill="005DAA"/>
            <w:vAlign w:val="center"/>
            <w:hideMark/>
          </w:tcPr>
          <w:p w:rsidR="00A06349" w:rsidRPr="00DA2D4B" w:rsidRDefault="00A06349" w:rsidP="001157A7">
            <w:pPr>
              <w:keepNext/>
              <w:keepLines/>
              <w:spacing w:after="0"/>
              <w:jc w:val="center"/>
              <w:rPr>
                <w:rFonts w:ascii="Calibri" w:eastAsia="Times New Roman" w:hAnsi="Calibri" w:cs="Times New Roman"/>
                <w:b/>
                <w:bCs/>
                <w:color w:val="FFFFFF"/>
              </w:rPr>
            </w:pPr>
            <w:r w:rsidRPr="00DA2D4B">
              <w:rPr>
                <w:rFonts w:ascii="Calibri" w:eastAsia="Times New Roman" w:hAnsi="Calibri" w:cs="Times New Roman"/>
                <w:b/>
                <w:bCs/>
                <w:color w:val="FFFFFF"/>
              </w:rPr>
              <w:t>Total Participants</w:t>
            </w:r>
          </w:p>
        </w:tc>
        <w:tc>
          <w:tcPr>
            <w:tcW w:w="1730" w:type="dxa"/>
            <w:shd w:val="clear" w:color="000000" w:fill="005DAA"/>
            <w:vAlign w:val="center"/>
            <w:hideMark/>
          </w:tcPr>
          <w:p w:rsidR="00A06349" w:rsidRPr="00DA2D4B" w:rsidRDefault="00A06349" w:rsidP="001157A7">
            <w:pPr>
              <w:keepNext/>
              <w:keepLines/>
              <w:spacing w:after="0"/>
              <w:jc w:val="center"/>
              <w:rPr>
                <w:rFonts w:ascii="Calibri" w:eastAsia="Times New Roman" w:hAnsi="Calibri" w:cs="Times New Roman"/>
                <w:b/>
                <w:bCs/>
                <w:color w:val="FFFFFF"/>
              </w:rPr>
            </w:pPr>
            <w:r>
              <w:rPr>
                <w:rFonts w:ascii="Calibri" w:eastAsia="Times New Roman" w:hAnsi="Calibri" w:cs="Times New Roman"/>
                <w:b/>
                <w:bCs/>
                <w:i/>
                <w:color w:val="FFFFFF"/>
              </w:rPr>
              <w:t xml:space="preserve">Evaluated Gross </w:t>
            </w:r>
            <w:r w:rsidRPr="00DA2D4B">
              <w:rPr>
                <w:rFonts w:ascii="Calibri" w:eastAsia="Times New Roman" w:hAnsi="Calibri" w:cs="Times New Roman"/>
                <w:b/>
                <w:bCs/>
                <w:color w:val="FFFFFF"/>
              </w:rPr>
              <w:t>Savings</w:t>
            </w:r>
            <w:r>
              <w:rPr>
                <w:rFonts w:ascii="Calibri" w:eastAsia="Times New Roman" w:hAnsi="Calibri" w:cs="Times New Roman"/>
                <w:b/>
                <w:bCs/>
                <w:color w:val="FFFFFF"/>
              </w:rPr>
              <w:t xml:space="preserve"> Per Unit</w:t>
            </w:r>
            <w:r w:rsidRPr="00DA2D4B">
              <w:rPr>
                <w:rFonts w:ascii="Calibri" w:eastAsia="Times New Roman" w:hAnsi="Calibri" w:cs="Times New Roman"/>
                <w:b/>
                <w:bCs/>
                <w:color w:val="FFFFFF"/>
              </w:rPr>
              <w:t xml:space="preserve"> (</w:t>
            </w:r>
            <w:r>
              <w:rPr>
                <w:rFonts w:ascii="Calibri" w:eastAsia="Times New Roman" w:hAnsi="Calibri" w:cs="Times New Roman"/>
                <w:b/>
                <w:bCs/>
                <w:color w:val="FFFFFF"/>
              </w:rPr>
              <w:t>CCF</w:t>
            </w:r>
            <w:r w:rsidRPr="00DA2D4B">
              <w:rPr>
                <w:rFonts w:ascii="Calibri" w:eastAsia="Times New Roman" w:hAnsi="Calibri" w:cs="Times New Roman"/>
                <w:b/>
                <w:bCs/>
                <w:color w:val="FFFFFF"/>
              </w:rPr>
              <w:t>)</w:t>
            </w:r>
          </w:p>
        </w:tc>
        <w:tc>
          <w:tcPr>
            <w:tcW w:w="1770" w:type="dxa"/>
            <w:shd w:val="clear" w:color="000000" w:fill="005DAA"/>
            <w:vAlign w:val="center"/>
            <w:hideMark/>
          </w:tcPr>
          <w:p w:rsidR="00A06349" w:rsidRPr="00DA2D4B" w:rsidRDefault="00A06349" w:rsidP="001157A7">
            <w:pPr>
              <w:keepNext/>
              <w:keepLines/>
              <w:spacing w:after="0"/>
              <w:jc w:val="center"/>
              <w:rPr>
                <w:rFonts w:ascii="Calibri" w:eastAsia="Times New Roman" w:hAnsi="Calibri" w:cs="Times New Roman"/>
                <w:b/>
                <w:bCs/>
                <w:color w:val="FFFFFF"/>
              </w:rPr>
            </w:pPr>
            <w:r w:rsidRPr="009B2C42">
              <w:rPr>
                <w:rFonts w:ascii="Calibri" w:eastAsia="Times New Roman" w:hAnsi="Calibri" w:cs="Times New Roman"/>
                <w:b/>
                <w:bCs/>
                <w:i/>
                <w:color w:val="FFFFFF"/>
              </w:rPr>
              <w:t>Ex Ante</w:t>
            </w:r>
            <w:r w:rsidRPr="00DA2D4B">
              <w:rPr>
                <w:rFonts w:ascii="Calibri" w:eastAsia="Times New Roman" w:hAnsi="Calibri" w:cs="Times New Roman"/>
                <w:b/>
                <w:bCs/>
                <w:color w:val="FFFFFF"/>
              </w:rPr>
              <w:t xml:space="preserve"> Household Savings (</w:t>
            </w:r>
            <w:r>
              <w:rPr>
                <w:rFonts w:ascii="Calibri" w:eastAsia="Times New Roman" w:hAnsi="Calibri" w:cs="Times New Roman"/>
                <w:b/>
                <w:bCs/>
                <w:color w:val="FFFFFF"/>
              </w:rPr>
              <w:t>CCF</w:t>
            </w:r>
            <w:r w:rsidRPr="00DA2D4B">
              <w:rPr>
                <w:rFonts w:ascii="Calibri" w:eastAsia="Times New Roman" w:hAnsi="Calibri" w:cs="Times New Roman"/>
                <w:b/>
                <w:bCs/>
                <w:color w:val="FFFFFF"/>
              </w:rPr>
              <w:t>)</w:t>
            </w:r>
          </w:p>
        </w:tc>
        <w:tc>
          <w:tcPr>
            <w:tcW w:w="1993" w:type="dxa"/>
            <w:shd w:val="clear" w:color="000000" w:fill="005DAA"/>
            <w:vAlign w:val="center"/>
            <w:hideMark/>
          </w:tcPr>
          <w:p w:rsidR="00A06349" w:rsidRPr="00DA2D4B" w:rsidRDefault="00A06349" w:rsidP="001157A7">
            <w:pPr>
              <w:keepNext/>
              <w:keepLines/>
              <w:spacing w:after="0"/>
              <w:jc w:val="center"/>
              <w:rPr>
                <w:rFonts w:ascii="Calibri" w:eastAsia="Times New Roman" w:hAnsi="Calibri" w:cs="Times New Roman"/>
                <w:b/>
                <w:bCs/>
                <w:color w:val="FFFFFF"/>
              </w:rPr>
            </w:pPr>
            <w:r>
              <w:rPr>
                <w:rFonts w:ascii="Calibri" w:eastAsia="Times New Roman" w:hAnsi="Calibri" w:cs="Times New Roman"/>
                <w:b/>
                <w:bCs/>
                <w:i/>
                <w:color w:val="FFFFFF"/>
              </w:rPr>
              <w:t>Evaluated Gross</w:t>
            </w:r>
            <w:r w:rsidRPr="00DA2D4B">
              <w:rPr>
                <w:rFonts w:ascii="Calibri" w:eastAsia="Times New Roman" w:hAnsi="Calibri" w:cs="Times New Roman"/>
                <w:b/>
                <w:bCs/>
                <w:color w:val="FFFFFF"/>
              </w:rPr>
              <w:t xml:space="preserve"> Household Savings (</w:t>
            </w:r>
            <w:r>
              <w:rPr>
                <w:rFonts w:ascii="Calibri" w:eastAsia="Times New Roman" w:hAnsi="Calibri" w:cs="Times New Roman"/>
                <w:b/>
                <w:bCs/>
                <w:color w:val="FFFFFF"/>
              </w:rPr>
              <w:t>CCF</w:t>
            </w:r>
            <w:r w:rsidRPr="00DA2D4B">
              <w:rPr>
                <w:rFonts w:ascii="Calibri" w:eastAsia="Times New Roman" w:hAnsi="Calibri" w:cs="Times New Roman"/>
                <w:b/>
                <w:bCs/>
                <w:color w:val="FFFFFF"/>
              </w:rPr>
              <w:t>)</w:t>
            </w:r>
          </w:p>
        </w:tc>
        <w:tc>
          <w:tcPr>
            <w:tcW w:w="1365" w:type="dxa"/>
            <w:shd w:val="clear" w:color="000000" w:fill="005DAA"/>
            <w:vAlign w:val="center"/>
            <w:hideMark/>
          </w:tcPr>
          <w:p w:rsidR="00A06349" w:rsidRPr="00DA2D4B" w:rsidRDefault="00A06349" w:rsidP="001157A7">
            <w:pPr>
              <w:keepNext/>
              <w:keepLines/>
              <w:spacing w:after="0"/>
              <w:jc w:val="center"/>
              <w:rPr>
                <w:rFonts w:ascii="Calibri" w:eastAsia="Times New Roman" w:hAnsi="Calibri" w:cs="Times New Roman"/>
                <w:b/>
                <w:bCs/>
                <w:color w:val="FFFFFF"/>
              </w:rPr>
            </w:pPr>
            <w:r w:rsidRPr="00DA2D4B">
              <w:rPr>
                <w:rFonts w:ascii="Calibri" w:eastAsia="Times New Roman" w:hAnsi="Calibri" w:cs="Times New Roman"/>
                <w:b/>
                <w:bCs/>
                <w:color w:val="FFFFFF"/>
              </w:rPr>
              <w:t>Realization Rate</w:t>
            </w:r>
          </w:p>
        </w:tc>
      </w:tr>
      <w:tr w:rsidR="00A06349" w:rsidRPr="00DA2D4B" w:rsidTr="00F24022">
        <w:trPr>
          <w:jc w:val="center"/>
        </w:trPr>
        <w:tc>
          <w:tcPr>
            <w:tcW w:w="1368" w:type="dxa"/>
            <w:shd w:val="clear" w:color="auto" w:fill="auto"/>
            <w:vAlign w:val="center"/>
            <w:hideMark/>
          </w:tcPr>
          <w:p w:rsidR="00A06349" w:rsidRPr="00DA2D4B" w:rsidRDefault="00A06349" w:rsidP="001157A7">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Temp Setback</w:t>
            </w:r>
          </w:p>
        </w:tc>
        <w:tc>
          <w:tcPr>
            <w:tcW w:w="1350" w:type="dxa"/>
            <w:shd w:val="clear" w:color="auto" w:fill="auto"/>
            <w:vAlign w:val="center"/>
          </w:tcPr>
          <w:p w:rsidR="00A06349" w:rsidRPr="00DA2D4B" w:rsidRDefault="00A06349" w:rsidP="001157A7">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465</w:t>
            </w:r>
          </w:p>
        </w:tc>
        <w:tc>
          <w:tcPr>
            <w:tcW w:w="1730" w:type="dxa"/>
            <w:shd w:val="clear" w:color="auto" w:fill="auto"/>
            <w:vAlign w:val="center"/>
          </w:tcPr>
          <w:p w:rsidR="00A06349" w:rsidRPr="00DA2D4B" w:rsidRDefault="00A06349" w:rsidP="001157A7">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w:t>
            </w:r>
          </w:p>
        </w:tc>
        <w:tc>
          <w:tcPr>
            <w:tcW w:w="1770" w:type="dxa"/>
            <w:shd w:val="clear" w:color="auto" w:fill="auto"/>
            <w:vAlign w:val="center"/>
          </w:tcPr>
          <w:p w:rsidR="00A06349" w:rsidRPr="00DA2D4B" w:rsidRDefault="00A06349" w:rsidP="001157A7">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w:t>
            </w:r>
          </w:p>
        </w:tc>
        <w:tc>
          <w:tcPr>
            <w:tcW w:w="1993" w:type="dxa"/>
            <w:shd w:val="clear" w:color="auto" w:fill="auto"/>
            <w:vAlign w:val="center"/>
          </w:tcPr>
          <w:p w:rsidR="00A06349" w:rsidRPr="00DA2D4B" w:rsidRDefault="00A06349" w:rsidP="001157A7">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w:t>
            </w:r>
          </w:p>
        </w:tc>
        <w:tc>
          <w:tcPr>
            <w:tcW w:w="1365" w:type="dxa"/>
            <w:shd w:val="clear" w:color="auto" w:fill="auto"/>
            <w:vAlign w:val="center"/>
          </w:tcPr>
          <w:p w:rsidR="00A06349" w:rsidRPr="00DA2D4B" w:rsidRDefault="00A06349" w:rsidP="001157A7">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62%</w:t>
            </w:r>
          </w:p>
        </w:tc>
      </w:tr>
    </w:tbl>
    <w:p w:rsidR="000C12E7" w:rsidRDefault="000C12E7" w:rsidP="00F24022">
      <w:pPr>
        <w:pStyle w:val="NormalAfterTablesandFigures"/>
      </w:pPr>
    </w:p>
    <w:p w:rsidR="00453172" w:rsidRDefault="00453172" w:rsidP="00E04376">
      <w:pPr>
        <w:pStyle w:val="Heading4"/>
      </w:pPr>
      <w:r>
        <w:t>HVAC</w:t>
      </w:r>
      <w:r w:rsidR="00DD03E3">
        <w:t>: Heating System Replacement</w:t>
      </w:r>
    </w:p>
    <w:p w:rsidR="00D96172" w:rsidRDefault="007D012B" w:rsidP="00B93D23">
      <w:r>
        <w:t xml:space="preserve">The Evaluation Team estimated impacts for heating system replacements through the billing analysis. </w:t>
      </w:r>
      <w:r w:rsidR="005C2163">
        <w:fldChar w:fldCharType="begin"/>
      </w:r>
      <w:r w:rsidR="00B93D23">
        <w:instrText xml:space="preserve"> REF _Ref388436884 \h </w:instrText>
      </w:r>
      <w:r w:rsidR="005C2163">
        <w:fldChar w:fldCharType="separate"/>
      </w:r>
      <w:r w:rsidR="00CD20CF">
        <w:t xml:space="preserve">Table </w:t>
      </w:r>
      <w:r w:rsidR="00CD20CF">
        <w:rPr>
          <w:noProof/>
        </w:rPr>
        <w:t>67</w:t>
      </w:r>
      <w:r w:rsidR="005C2163">
        <w:fldChar w:fldCharType="end"/>
      </w:r>
      <w:r>
        <w:t xml:space="preserve"> presents the billing analysis model results for these measures, which achieved a precision </w:t>
      </w:r>
      <w:r w:rsidR="003E3609">
        <w:t xml:space="preserve">estimate </w:t>
      </w:r>
      <w:r w:rsidR="00150AD4">
        <w:t>within</w:t>
      </w:r>
      <w:r w:rsidR="003E3609">
        <w:t xml:space="preserve"> the study threshold</w:t>
      </w:r>
      <w:r>
        <w:t xml:space="preserve">. </w:t>
      </w:r>
    </w:p>
    <w:p w:rsidR="00D96172" w:rsidRPr="00D96172" w:rsidRDefault="00D96172" w:rsidP="00196802">
      <w:pPr>
        <w:pStyle w:val="Caption"/>
      </w:pPr>
      <w:bookmarkStart w:id="118" w:name="_Ref388436884"/>
      <w:r>
        <w:t xml:space="preserve">Table </w:t>
      </w:r>
      <w:r w:rsidR="002506E1">
        <w:fldChar w:fldCharType="begin"/>
      </w:r>
      <w:r w:rsidR="002506E1">
        <w:instrText xml:space="preserve"> SEQ Table \* ARABIC </w:instrText>
      </w:r>
      <w:r w:rsidR="002506E1">
        <w:fldChar w:fldCharType="separate"/>
      </w:r>
      <w:r w:rsidR="00CD20CF">
        <w:rPr>
          <w:noProof/>
        </w:rPr>
        <w:t>67</w:t>
      </w:r>
      <w:r w:rsidR="002506E1">
        <w:rPr>
          <w:noProof/>
        </w:rPr>
        <w:fldChar w:fldCharType="end"/>
      </w:r>
      <w:bookmarkEnd w:id="118"/>
      <w:r>
        <w:t xml:space="preserve">. </w:t>
      </w:r>
      <w:r w:rsidR="00916122">
        <w:t xml:space="preserve">HES-IE </w:t>
      </w:r>
      <w:r>
        <w:t xml:space="preserve">Billing Analysis </w:t>
      </w:r>
      <w:r w:rsidR="00DD2C97">
        <w:t>Gas</w:t>
      </w:r>
      <w:r>
        <w:t xml:space="preserve"> Savings Results for Heating System Replacement</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28"/>
        <w:gridCol w:w="540"/>
        <w:gridCol w:w="1170"/>
        <w:gridCol w:w="1800"/>
        <w:gridCol w:w="1950"/>
        <w:gridCol w:w="1488"/>
      </w:tblGrid>
      <w:tr w:rsidR="00D96172" w:rsidRPr="00D96172" w:rsidTr="003D4F09">
        <w:tc>
          <w:tcPr>
            <w:tcW w:w="1372" w:type="pct"/>
            <w:shd w:val="clear" w:color="000000" w:fill="005DAA"/>
            <w:vAlign w:val="center"/>
            <w:hideMark/>
          </w:tcPr>
          <w:p w:rsidR="00D96172" w:rsidRPr="00D96172" w:rsidRDefault="00D96172" w:rsidP="00B93D23">
            <w:pPr>
              <w:spacing w:after="0"/>
              <w:jc w:val="center"/>
              <w:rPr>
                <w:rFonts w:ascii="Calibri" w:eastAsia="Times New Roman" w:hAnsi="Calibri" w:cs="Times New Roman"/>
                <w:b/>
                <w:bCs/>
                <w:color w:val="FFFFFF"/>
              </w:rPr>
            </w:pPr>
            <w:r w:rsidRPr="00D96172">
              <w:rPr>
                <w:rFonts w:ascii="Calibri" w:eastAsia="Times New Roman" w:hAnsi="Calibri" w:cs="Times New Roman"/>
                <w:b/>
                <w:bCs/>
                <w:color w:val="FFFFFF"/>
              </w:rPr>
              <w:t>Measure</w:t>
            </w:r>
          </w:p>
        </w:tc>
        <w:tc>
          <w:tcPr>
            <w:tcW w:w="282" w:type="pct"/>
            <w:shd w:val="clear" w:color="000000" w:fill="005DAA"/>
            <w:vAlign w:val="center"/>
            <w:hideMark/>
          </w:tcPr>
          <w:p w:rsidR="00D96172" w:rsidRPr="00D96172" w:rsidRDefault="00D96172" w:rsidP="00B93D23">
            <w:pPr>
              <w:spacing w:after="0"/>
              <w:jc w:val="center"/>
              <w:rPr>
                <w:rFonts w:ascii="Calibri" w:eastAsia="Times New Roman" w:hAnsi="Calibri" w:cs="Times New Roman"/>
                <w:b/>
                <w:bCs/>
                <w:color w:val="FFFFFF"/>
              </w:rPr>
            </w:pPr>
            <w:r w:rsidRPr="00D96172">
              <w:rPr>
                <w:rFonts w:ascii="Calibri" w:eastAsia="Times New Roman" w:hAnsi="Calibri" w:cs="Times New Roman"/>
                <w:b/>
                <w:bCs/>
                <w:color w:val="FFFFFF"/>
              </w:rPr>
              <w:t>n</w:t>
            </w:r>
          </w:p>
        </w:tc>
        <w:tc>
          <w:tcPr>
            <w:tcW w:w="611" w:type="pct"/>
            <w:shd w:val="clear" w:color="000000" w:fill="005DAA"/>
            <w:vAlign w:val="center"/>
            <w:hideMark/>
          </w:tcPr>
          <w:p w:rsidR="00D96172" w:rsidRPr="00D96172" w:rsidRDefault="00D96172" w:rsidP="00B93D23">
            <w:pPr>
              <w:spacing w:after="0"/>
              <w:jc w:val="center"/>
              <w:rPr>
                <w:rFonts w:ascii="Calibri" w:eastAsia="Times New Roman" w:hAnsi="Calibri" w:cs="Times New Roman"/>
                <w:b/>
                <w:bCs/>
                <w:color w:val="FFFFFF"/>
              </w:rPr>
            </w:pPr>
            <w:r w:rsidRPr="00D96172">
              <w:rPr>
                <w:rFonts w:ascii="Calibri" w:eastAsia="Times New Roman" w:hAnsi="Calibri" w:cs="Times New Roman"/>
                <w:b/>
                <w:bCs/>
                <w:color w:val="FFFFFF"/>
              </w:rPr>
              <w:t>PRENAC</w:t>
            </w:r>
          </w:p>
        </w:tc>
        <w:tc>
          <w:tcPr>
            <w:tcW w:w="940" w:type="pct"/>
            <w:shd w:val="clear" w:color="000000" w:fill="005DAA"/>
            <w:vAlign w:val="center"/>
            <w:hideMark/>
          </w:tcPr>
          <w:p w:rsidR="00D96172" w:rsidRPr="00D96172" w:rsidRDefault="00D96172" w:rsidP="00B93D23">
            <w:pPr>
              <w:spacing w:after="0"/>
              <w:jc w:val="center"/>
              <w:rPr>
                <w:rFonts w:ascii="Calibri" w:eastAsia="Times New Roman" w:hAnsi="Calibri" w:cs="Times New Roman"/>
                <w:b/>
                <w:bCs/>
                <w:color w:val="FFFFFF"/>
              </w:rPr>
            </w:pPr>
            <w:r w:rsidRPr="00D96172">
              <w:rPr>
                <w:rFonts w:ascii="Calibri" w:eastAsia="Times New Roman" w:hAnsi="Calibri" w:cs="Times New Roman"/>
                <w:b/>
                <w:bCs/>
                <w:color w:val="FFFFFF"/>
              </w:rPr>
              <w:t>Gross Model Savings (CCF)</w:t>
            </w:r>
          </w:p>
        </w:tc>
        <w:tc>
          <w:tcPr>
            <w:tcW w:w="1018" w:type="pct"/>
            <w:shd w:val="clear" w:color="000000" w:fill="005DAA"/>
            <w:vAlign w:val="center"/>
            <w:hideMark/>
          </w:tcPr>
          <w:p w:rsidR="00D96172" w:rsidRPr="00D96172" w:rsidRDefault="00D96172" w:rsidP="00B93D23">
            <w:pPr>
              <w:spacing w:after="0"/>
              <w:jc w:val="center"/>
              <w:rPr>
                <w:rFonts w:ascii="Calibri" w:eastAsia="Times New Roman" w:hAnsi="Calibri" w:cs="Times New Roman"/>
                <w:b/>
                <w:bCs/>
                <w:color w:val="FFFFFF"/>
              </w:rPr>
            </w:pPr>
            <w:r w:rsidRPr="00D96172">
              <w:rPr>
                <w:rFonts w:ascii="Calibri" w:eastAsia="Times New Roman" w:hAnsi="Calibri" w:cs="Times New Roman"/>
                <w:b/>
                <w:bCs/>
                <w:color w:val="FFFFFF"/>
              </w:rPr>
              <w:t>Savings as Percent of Pre-Usage</w:t>
            </w:r>
          </w:p>
        </w:tc>
        <w:tc>
          <w:tcPr>
            <w:tcW w:w="777" w:type="pct"/>
            <w:shd w:val="clear" w:color="000000" w:fill="005DAA"/>
            <w:vAlign w:val="center"/>
            <w:hideMark/>
          </w:tcPr>
          <w:p w:rsidR="00D96172" w:rsidRPr="00D96172" w:rsidRDefault="0021453A" w:rsidP="00B93D23">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 xml:space="preserve">Relative </w:t>
            </w:r>
            <w:r w:rsidR="00D96172" w:rsidRPr="00D96172">
              <w:rPr>
                <w:rFonts w:ascii="Calibri" w:eastAsia="Times New Roman" w:hAnsi="Calibri" w:cs="Times New Roman"/>
                <w:b/>
                <w:bCs/>
                <w:color w:val="FFFFFF"/>
              </w:rPr>
              <w:t xml:space="preserve">Precision </w:t>
            </w:r>
            <w:r>
              <w:rPr>
                <w:rFonts w:ascii="Calibri" w:eastAsia="Times New Roman" w:hAnsi="Calibri" w:cs="Times New Roman"/>
                <w:b/>
                <w:bCs/>
                <w:color w:val="FFFFFF"/>
              </w:rPr>
              <w:t xml:space="preserve">at </w:t>
            </w:r>
            <w:r w:rsidR="00D96172" w:rsidRPr="00D96172">
              <w:rPr>
                <w:rFonts w:ascii="Calibri" w:eastAsia="Times New Roman" w:hAnsi="Calibri" w:cs="Times New Roman"/>
                <w:b/>
                <w:bCs/>
                <w:color w:val="FFFFFF"/>
              </w:rPr>
              <w:t>90%</w:t>
            </w:r>
          </w:p>
        </w:tc>
      </w:tr>
      <w:tr w:rsidR="00D96172" w:rsidRPr="00D96172" w:rsidTr="003D4F09">
        <w:tc>
          <w:tcPr>
            <w:tcW w:w="1372" w:type="pct"/>
            <w:shd w:val="clear" w:color="auto" w:fill="auto"/>
            <w:vAlign w:val="center"/>
            <w:hideMark/>
          </w:tcPr>
          <w:p w:rsidR="00D96172" w:rsidRPr="00D96172" w:rsidRDefault="00D96172" w:rsidP="00B93D23">
            <w:pPr>
              <w:spacing w:after="0"/>
              <w:rPr>
                <w:rFonts w:ascii="Calibri" w:eastAsia="Times New Roman" w:hAnsi="Calibri" w:cs="Times New Roman"/>
                <w:color w:val="000000"/>
                <w:sz w:val="20"/>
                <w:szCs w:val="20"/>
              </w:rPr>
            </w:pPr>
            <w:r w:rsidRPr="00D96172">
              <w:rPr>
                <w:rFonts w:ascii="Calibri" w:eastAsia="Times New Roman" w:hAnsi="Calibri" w:cs="Times New Roman"/>
                <w:color w:val="000000"/>
                <w:sz w:val="20"/>
                <w:szCs w:val="20"/>
              </w:rPr>
              <w:t>Heating System Replacement</w:t>
            </w:r>
          </w:p>
        </w:tc>
        <w:tc>
          <w:tcPr>
            <w:tcW w:w="282" w:type="pct"/>
            <w:shd w:val="clear" w:color="auto" w:fill="auto"/>
            <w:vAlign w:val="center"/>
            <w:hideMark/>
          </w:tcPr>
          <w:p w:rsidR="00D96172" w:rsidRPr="00D96172" w:rsidRDefault="00D96172" w:rsidP="00B93D23">
            <w:pPr>
              <w:spacing w:after="0"/>
              <w:jc w:val="right"/>
              <w:rPr>
                <w:rFonts w:ascii="Calibri" w:eastAsia="Times New Roman" w:hAnsi="Calibri" w:cs="Times New Roman"/>
                <w:color w:val="000000"/>
                <w:sz w:val="20"/>
                <w:szCs w:val="20"/>
              </w:rPr>
            </w:pPr>
            <w:r w:rsidRPr="00D96172">
              <w:rPr>
                <w:rFonts w:ascii="Calibri" w:eastAsia="Times New Roman" w:hAnsi="Calibri" w:cs="Times New Roman"/>
                <w:color w:val="000000"/>
                <w:sz w:val="20"/>
                <w:szCs w:val="20"/>
              </w:rPr>
              <w:t>58</w:t>
            </w:r>
          </w:p>
        </w:tc>
        <w:tc>
          <w:tcPr>
            <w:tcW w:w="611" w:type="pct"/>
            <w:shd w:val="clear" w:color="auto" w:fill="auto"/>
            <w:vAlign w:val="center"/>
            <w:hideMark/>
          </w:tcPr>
          <w:p w:rsidR="00D96172" w:rsidRPr="00D96172" w:rsidRDefault="00D96172" w:rsidP="00B93D23">
            <w:pPr>
              <w:spacing w:after="0"/>
              <w:jc w:val="right"/>
              <w:rPr>
                <w:rFonts w:ascii="Calibri" w:eastAsia="Times New Roman" w:hAnsi="Calibri" w:cs="Times New Roman"/>
                <w:color w:val="000000"/>
                <w:sz w:val="20"/>
                <w:szCs w:val="20"/>
              </w:rPr>
            </w:pPr>
            <w:r w:rsidRPr="00D96172">
              <w:rPr>
                <w:rFonts w:ascii="Calibri" w:eastAsia="Times New Roman" w:hAnsi="Calibri" w:cs="Times New Roman"/>
                <w:color w:val="000000"/>
                <w:sz w:val="20"/>
                <w:szCs w:val="20"/>
              </w:rPr>
              <w:t>686</w:t>
            </w:r>
          </w:p>
        </w:tc>
        <w:tc>
          <w:tcPr>
            <w:tcW w:w="940" w:type="pct"/>
            <w:shd w:val="clear" w:color="auto" w:fill="auto"/>
            <w:vAlign w:val="center"/>
            <w:hideMark/>
          </w:tcPr>
          <w:p w:rsidR="00D96172" w:rsidRPr="00D96172" w:rsidRDefault="00D96172" w:rsidP="00B93D23">
            <w:pPr>
              <w:spacing w:after="0"/>
              <w:jc w:val="right"/>
              <w:rPr>
                <w:rFonts w:ascii="Calibri" w:eastAsia="Times New Roman" w:hAnsi="Calibri" w:cs="Times New Roman"/>
                <w:color w:val="000000"/>
                <w:sz w:val="20"/>
                <w:szCs w:val="20"/>
              </w:rPr>
            </w:pPr>
            <w:r w:rsidRPr="00D96172">
              <w:rPr>
                <w:rFonts w:ascii="Calibri" w:eastAsia="Times New Roman" w:hAnsi="Calibri" w:cs="Times New Roman"/>
                <w:color w:val="000000"/>
                <w:sz w:val="20"/>
                <w:szCs w:val="20"/>
              </w:rPr>
              <w:t>107</w:t>
            </w:r>
          </w:p>
        </w:tc>
        <w:tc>
          <w:tcPr>
            <w:tcW w:w="1018" w:type="pct"/>
            <w:shd w:val="clear" w:color="auto" w:fill="auto"/>
            <w:vAlign w:val="center"/>
            <w:hideMark/>
          </w:tcPr>
          <w:p w:rsidR="00D96172" w:rsidRPr="00D96172" w:rsidRDefault="00D96172" w:rsidP="00B93D23">
            <w:pPr>
              <w:spacing w:after="0"/>
              <w:jc w:val="right"/>
              <w:rPr>
                <w:rFonts w:ascii="Calibri" w:eastAsia="Times New Roman" w:hAnsi="Calibri" w:cs="Times New Roman"/>
                <w:color w:val="000000"/>
                <w:sz w:val="20"/>
                <w:szCs w:val="20"/>
              </w:rPr>
            </w:pPr>
            <w:r w:rsidRPr="00D96172">
              <w:rPr>
                <w:rFonts w:ascii="Calibri" w:eastAsia="Times New Roman" w:hAnsi="Calibri" w:cs="Times New Roman"/>
                <w:color w:val="000000"/>
                <w:sz w:val="20"/>
                <w:szCs w:val="20"/>
              </w:rPr>
              <w:t>16%</w:t>
            </w:r>
          </w:p>
        </w:tc>
        <w:tc>
          <w:tcPr>
            <w:tcW w:w="777" w:type="pct"/>
            <w:shd w:val="clear" w:color="auto" w:fill="auto"/>
            <w:vAlign w:val="center"/>
            <w:hideMark/>
          </w:tcPr>
          <w:p w:rsidR="00D96172" w:rsidRPr="00D96172" w:rsidRDefault="0021453A" w:rsidP="00B93D2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D96172" w:rsidRPr="00D96172">
              <w:rPr>
                <w:rFonts w:ascii="Calibri" w:eastAsia="Times New Roman" w:hAnsi="Calibri" w:cs="Times New Roman"/>
                <w:color w:val="000000"/>
                <w:sz w:val="20"/>
                <w:szCs w:val="20"/>
              </w:rPr>
              <w:t>14%</w:t>
            </w:r>
          </w:p>
        </w:tc>
      </w:tr>
    </w:tbl>
    <w:p w:rsidR="00D96172" w:rsidRDefault="00D96172" w:rsidP="00B93D23">
      <w:pPr>
        <w:pStyle w:val="NormalAfterTablesandFigures"/>
      </w:pPr>
    </w:p>
    <w:p w:rsidR="00D96172" w:rsidRPr="000E6110" w:rsidRDefault="005C2163" w:rsidP="00D96172">
      <w:r>
        <w:fldChar w:fldCharType="begin"/>
      </w:r>
      <w:r w:rsidR="00B93D23">
        <w:instrText xml:space="preserve"> REF _Ref388436988 \h </w:instrText>
      </w:r>
      <w:r>
        <w:fldChar w:fldCharType="separate"/>
      </w:r>
      <w:r w:rsidR="00CD20CF">
        <w:t xml:space="preserve">Table </w:t>
      </w:r>
      <w:r w:rsidR="00CD20CF">
        <w:rPr>
          <w:noProof/>
        </w:rPr>
        <w:t>68</w:t>
      </w:r>
      <w:r>
        <w:fldChar w:fldCharType="end"/>
      </w:r>
      <w:r w:rsidR="00D96172">
        <w:t xml:space="preserve"> provides realization rates</w:t>
      </w:r>
      <w:r w:rsidR="001C6B05">
        <w:t>,</w:t>
      </w:r>
      <w:r w:rsidR="00D96172">
        <w:t xml:space="preserve"> based on comparing the gross savings estimate from the billing analysis to the average </w:t>
      </w:r>
      <w:r w:rsidR="00D96172" w:rsidRPr="004E7EA6">
        <w:rPr>
          <w:i/>
        </w:rPr>
        <w:t>ex ante</w:t>
      </w:r>
      <w:r w:rsidR="00D96172">
        <w:t xml:space="preserve"> savings per household.</w:t>
      </w:r>
    </w:p>
    <w:p w:rsidR="00D96172" w:rsidRDefault="00D96172" w:rsidP="00F24022">
      <w:pPr>
        <w:pStyle w:val="Caption"/>
        <w:pageBreakBefore/>
      </w:pPr>
      <w:bookmarkStart w:id="119" w:name="_Ref388436988"/>
      <w:r>
        <w:lastRenderedPageBreak/>
        <w:t xml:space="preserve">Table </w:t>
      </w:r>
      <w:r w:rsidR="002506E1">
        <w:fldChar w:fldCharType="begin"/>
      </w:r>
      <w:r w:rsidR="002506E1">
        <w:instrText xml:space="preserve"> SEQ Table \* ARABIC </w:instrText>
      </w:r>
      <w:r w:rsidR="002506E1">
        <w:fldChar w:fldCharType="separate"/>
      </w:r>
      <w:r w:rsidR="00CD20CF">
        <w:rPr>
          <w:noProof/>
        </w:rPr>
        <w:t>68</w:t>
      </w:r>
      <w:r w:rsidR="002506E1">
        <w:rPr>
          <w:noProof/>
        </w:rPr>
        <w:fldChar w:fldCharType="end"/>
      </w:r>
      <w:bookmarkEnd w:id="119"/>
      <w:r>
        <w:t xml:space="preserve">. </w:t>
      </w:r>
      <w:r w:rsidR="00916122">
        <w:t xml:space="preserve">HES-IE </w:t>
      </w:r>
      <w:r>
        <w:t>Billing Analysis Realization Rate Summary for Heating System Replacement</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48"/>
        <w:gridCol w:w="1531"/>
        <w:gridCol w:w="1439"/>
        <w:gridCol w:w="1260"/>
        <w:gridCol w:w="1800"/>
        <w:gridCol w:w="1998"/>
      </w:tblGrid>
      <w:tr w:rsidR="00D96172" w:rsidRPr="00D96172" w:rsidTr="00196802">
        <w:tc>
          <w:tcPr>
            <w:tcW w:w="808" w:type="pct"/>
            <w:shd w:val="clear" w:color="000000" w:fill="005DAA"/>
            <w:vAlign w:val="center"/>
            <w:hideMark/>
          </w:tcPr>
          <w:p w:rsidR="00D96172" w:rsidRPr="00D96172" w:rsidRDefault="00D96172" w:rsidP="001D7858">
            <w:pPr>
              <w:spacing w:after="0"/>
              <w:jc w:val="center"/>
              <w:rPr>
                <w:rFonts w:ascii="Calibri" w:eastAsia="Times New Roman" w:hAnsi="Calibri" w:cs="Times New Roman"/>
                <w:b/>
                <w:bCs/>
                <w:color w:val="FFFFFF"/>
              </w:rPr>
            </w:pPr>
            <w:r w:rsidRPr="00D96172">
              <w:rPr>
                <w:rFonts w:ascii="Calibri" w:eastAsia="Times New Roman" w:hAnsi="Calibri" w:cs="Times New Roman"/>
                <w:b/>
                <w:bCs/>
                <w:color w:val="FFFFFF"/>
              </w:rPr>
              <w:t>Measure</w:t>
            </w:r>
          </w:p>
        </w:tc>
        <w:tc>
          <w:tcPr>
            <w:tcW w:w="799" w:type="pct"/>
            <w:shd w:val="clear" w:color="000000" w:fill="005DAA"/>
            <w:vAlign w:val="center"/>
            <w:hideMark/>
          </w:tcPr>
          <w:p w:rsidR="00D96172" w:rsidRPr="00D96172" w:rsidRDefault="00D96172" w:rsidP="001D7858">
            <w:pPr>
              <w:spacing w:after="0"/>
              <w:jc w:val="center"/>
              <w:rPr>
                <w:rFonts w:ascii="Calibri" w:eastAsia="Times New Roman" w:hAnsi="Calibri" w:cs="Times New Roman"/>
                <w:b/>
                <w:bCs/>
                <w:color w:val="FFFFFF"/>
              </w:rPr>
            </w:pPr>
            <w:r w:rsidRPr="00D96172">
              <w:rPr>
                <w:rFonts w:ascii="Calibri" w:eastAsia="Times New Roman" w:hAnsi="Calibri" w:cs="Times New Roman"/>
                <w:b/>
                <w:bCs/>
                <w:color w:val="FFFFFF"/>
              </w:rPr>
              <w:t>Gross Model Savings (CCF)</w:t>
            </w:r>
          </w:p>
        </w:tc>
        <w:tc>
          <w:tcPr>
            <w:tcW w:w="751" w:type="pct"/>
            <w:shd w:val="clear" w:color="000000" w:fill="005DAA"/>
            <w:vAlign w:val="center"/>
            <w:hideMark/>
          </w:tcPr>
          <w:p w:rsidR="00D96172" w:rsidRPr="00D96172" w:rsidRDefault="00D96172" w:rsidP="001D7858">
            <w:pPr>
              <w:spacing w:after="0"/>
              <w:jc w:val="center"/>
              <w:rPr>
                <w:rFonts w:ascii="Calibri" w:eastAsia="Times New Roman" w:hAnsi="Calibri" w:cs="Times New Roman"/>
                <w:b/>
                <w:bCs/>
                <w:color w:val="FFFFFF"/>
              </w:rPr>
            </w:pPr>
            <w:r w:rsidRPr="00D96172">
              <w:rPr>
                <w:rFonts w:ascii="Calibri" w:eastAsia="Times New Roman" w:hAnsi="Calibri" w:cs="Times New Roman"/>
                <w:b/>
                <w:bCs/>
                <w:color w:val="FFFFFF"/>
              </w:rPr>
              <w:t xml:space="preserve">Reported </w:t>
            </w:r>
            <w:r w:rsidRPr="00CF5867">
              <w:rPr>
                <w:rFonts w:ascii="Calibri" w:eastAsia="Times New Roman" w:hAnsi="Calibri" w:cs="Times New Roman"/>
                <w:b/>
                <w:bCs/>
                <w:i/>
                <w:color w:val="FFFFFF"/>
              </w:rPr>
              <w:t>Ex Ante</w:t>
            </w:r>
            <w:r w:rsidRPr="00D96172">
              <w:rPr>
                <w:rFonts w:ascii="Calibri" w:eastAsia="Times New Roman" w:hAnsi="Calibri" w:cs="Times New Roman"/>
                <w:b/>
                <w:bCs/>
                <w:color w:val="FFFFFF"/>
              </w:rPr>
              <w:t xml:space="preserve"> Savings (CCF)</w:t>
            </w:r>
          </w:p>
        </w:tc>
        <w:tc>
          <w:tcPr>
            <w:tcW w:w="658" w:type="pct"/>
            <w:shd w:val="clear" w:color="000000" w:fill="005DAA"/>
            <w:vAlign w:val="center"/>
            <w:hideMark/>
          </w:tcPr>
          <w:p w:rsidR="00D96172" w:rsidRPr="00D96172" w:rsidRDefault="00D96172" w:rsidP="001D7858">
            <w:pPr>
              <w:spacing w:after="0"/>
              <w:jc w:val="center"/>
              <w:rPr>
                <w:rFonts w:ascii="Calibri" w:eastAsia="Times New Roman" w:hAnsi="Calibri" w:cs="Times New Roman"/>
                <w:b/>
                <w:bCs/>
                <w:color w:val="FFFFFF"/>
              </w:rPr>
            </w:pPr>
            <w:r w:rsidRPr="00D96172">
              <w:rPr>
                <w:rFonts w:ascii="Calibri" w:eastAsia="Times New Roman" w:hAnsi="Calibri" w:cs="Times New Roman"/>
                <w:b/>
                <w:bCs/>
                <w:color w:val="FFFFFF"/>
              </w:rPr>
              <w:t>Realization Rate</w:t>
            </w:r>
          </w:p>
        </w:tc>
        <w:tc>
          <w:tcPr>
            <w:tcW w:w="940" w:type="pct"/>
            <w:shd w:val="clear" w:color="000000" w:fill="005DAA"/>
            <w:vAlign w:val="center"/>
            <w:hideMark/>
          </w:tcPr>
          <w:p w:rsidR="00D96172" w:rsidRPr="00D96172" w:rsidRDefault="00D96172" w:rsidP="001D7858">
            <w:pPr>
              <w:spacing w:after="0"/>
              <w:jc w:val="center"/>
              <w:rPr>
                <w:rFonts w:ascii="Calibri" w:eastAsia="Times New Roman" w:hAnsi="Calibri" w:cs="Times New Roman"/>
                <w:b/>
                <w:bCs/>
                <w:color w:val="FFFFFF"/>
              </w:rPr>
            </w:pPr>
            <w:r w:rsidRPr="00D96172">
              <w:rPr>
                <w:rFonts w:ascii="Calibri" w:eastAsia="Times New Roman" w:hAnsi="Calibri" w:cs="Times New Roman"/>
                <w:b/>
                <w:bCs/>
                <w:color w:val="FFFFFF"/>
              </w:rPr>
              <w:t>Model Savings as Percent of Pre-Usage</w:t>
            </w:r>
          </w:p>
        </w:tc>
        <w:tc>
          <w:tcPr>
            <w:tcW w:w="1043" w:type="pct"/>
            <w:shd w:val="clear" w:color="000000" w:fill="005DAA"/>
            <w:vAlign w:val="center"/>
            <w:hideMark/>
          </w:tcPr>
          <w:p w:rsidR="00D96172" w:rsidRPr="00D96172" w:rsidRDefault="00D96172" w:rsidP="001D7858">
            <w:pPr>
              <w:spacing w:after="0"/>
              <w:jc w:val="center"/>
              <w:rPr>
                <w:rFonts w:ascii="Calibri" w:eastAsia="Times New Roman" w:hAnsi="Calibri" w:cs="Times New Roman"/>
                <w:b/>
                <w:bCs/>
                <w:color w:val="FFFFFF"/>
              </w:rPr>
            </w:pPr>
            <w:r w:rsidRPr="00D96172">
              <w:rPr>
                <w:rFonts w:ascii="Calibri" w:eastAsia="Times New Roman" w:hAnsi="Calibri" w:cs="Times New Roman"/>
                <w:b/>
                <w:bCs/>
                <w:color w:val="FFFFFF"/>
              </w:rPr>
              <w:t xml:space="preserve">Reported </w:t>
            </w:r>
            <w:r w:rsidRPr="00CF5867">
              <w:rPr>
                <w:rFonts w:ascii="Calibri" w:eastAsia="Times New Roman" w:hAnsi="Calibri" w:cs="Times New Roman"/>
                <w:b/>
                <w:bCs/>
                <w:i/>
                <w:color w:val="FFFFFF"/>
              </w:rPr>
              <w:t>Ex Ante</w:t>
            </w:r>
            <w:r w:rsidRPr="00D96172">
              <w:rPr>
                <w:rFonts w:ascii="Calibri" w:eastAsia="Times New Roman" w:hAnsi="Calibri" w:cs="Times New Roman"/>
                <w:b/>
                <w:bCs/>
                <w:color w:val="FFFFFF"/>
              </w:rPr>
              <w:t xml:space="preserve"> Savings as Percent of Pre-Usage</w:t>
            </w:r>
          </w:p>
        </w:tc>
      </w:tr>
      <w:tr w:rsidR="00D96172" w:rsidRPr="00D96172" w:rsidTr="00196802">
        <w:tc>
          <w:tcPr>
            <w:tcW w:w="808" w:type="pct"/>
            <w:shd w:val="clear" w:color="auto" w:fill="auto"/>
            <w:vAlign w:val="center"/>
            <w:hideMark/>
          </w:tcPr>
          <w:p w:rsidR="00D96172" w:rsidRPr="00D96172" w:rsidRDefault="00D96172" w:rsidP="001D7858">
            <w:pPr>
              <w:spacing w:after="0"/>
              <w:rPr>
                <w:rFonts w:ascii="Calibri" w:eastAsia="Times New Roman" w:hAnsi="Calibri" w:cs="Times New Roman"/>
                <w:color w:val="000000"/>
                <w:sz w:val="20"/>
                <w:szCs w:val="20"/>
              </w:rPr>
            </w:pPr>
            <w:r w:rsidRPr="00D96172">
              <w:rPr>
                <w:rFonts w:ascii="Calibri" w:eastAsia="Times New Roman" w:hAnsi="Calibri" w:cs="Times New Roman"/>
                <w:color w:val="000000"/>
                <w:sz w:val="20"/>
                <w:szCs w:val="20"/>
              </w:rPr>
              <w:t>Heating System Replacement</w:t>
            </w:r>
          </w:p>
        </w:tc>
        <w:tc>
          <w:tcPr>
            <w:tcW w:w="799" w:type="pct"/>
            <w:shd w:val="clear" w:color="auto" w:fill="auto"/>
            <w:vAlign w:val="center"/>
            <w:hideMark/>
          </w:tcPr>
          <w:p w:rsidR="00D96172" w:rsidRPr="00D96172" w:rsidRDefault="00D96172" w:rsidP="001D7858">
            <w:pPr>
              <w:spacing w:after="0"/>
              <w:jc w:val="right"/>
              <w:rPr>
                <w:rFonts w:ascii="Calibri" w:eastAsia="Times New Roman" w:hAnsi="Calibri" w:cs="Times New Roman"/>
                <w:color w:val="000000"/>
                <w:sz w:val="20"/>
                <w:szCs w:val="20"/>
              </w:rPr>
            </w:pPr>
            <w:r w:rsidRPr="00D96172">
              <w:rPr>
                <w:rFonts w:ascii="Calibri" w:eastAsia="Times New Roman" w:hAnsi="Calibri" w:cs="Times New Roman"/>
                <w:color w:val="000000"/>
                <w:sz w:val="20"/>
                <w:szCs w:val="20"/>
              </w:rPr>
              <w:t>107</w:t>
            </w:r>
          </w:p>
        </w:tc>
        <w:tc>
          <w:tcPr>
            <w:tcW w:w="751" w:type="pct"/>
            <w:shd w:val="clear" w:color="auto" w:fill="auto"/>
            <w:vAlign w:val="center"/>
            <w:hideMark/>
          </w:tcPr>
          <w:p w:rsidR="00D96172" w:rsidRPr="00D96172" w:rsidRDefault="00D96172" w:rsidP="001D7858">
            <w:pPr>
              <w:spacing w:after="0"/>
              <w:jc w:val="right"/>
              <w:rPr>
                <w:rFonts w:ascii="Calibri" w:eastAsia="Times New Roman" w:hAnsi="Calibri" w:cs="Times New Roman"/>
                <w:color w:val="000000"/>
                <w:sz w:val="20"/>
                <w:szCs w:val="20"/>
              </w:rPr>
            </w:pPr>
            <w:r w:rsidRPr="00D96172">
              <w:rPr>
                <w:rFonts w:ascii="Calibri" w:eastAsia="Times New Roman" w:hAnsi="Calibri" w:cs="Times New Roman"/>
                <w:color w:val="000000"/>
                <w:sz w:val="20"/>
                <w:szCs w:val="20"/>
              </w:rPr>
              <w:t>128</w:t>
            </w:r>
          </w:p>
        </w:tc>
        <w:tc>
          <w:tcPr>
            <w:tcW w:w="658" w:type="pct"/>
            <w:shd w:val="clear" w:color="auto" w:fill="auto"/>
            <w:vAlign w:val="center"/>
            <w:hideMark/>
          </w:tcPr>
          <w:p w:rsidR="00D96172" w:rsidRPr="00D96172" w:rsidRDefault="00D96172" w:rsidP="001D7858">
            <w:pPr>
              <w:spacing w:after="0"/>
              <w:jc w:val="right"/>
              <w:rPr>
                <w:rFonts w:ascii="Calibri" w:eastAsia="Times New Roman" w:hAnsi="Calibri" w:cs="Times New Roman"/>
                <w:color w:val="000000"/>
                <w:sz w:val="20"/>
                <w:szCs w:val="20"/>
              </w:rPr>
            </w:pPr>
            <w:r w:rsidRPr="00D96172">
              <w:rPr>
                <w:rFonts w:ascii="Calibri" w:eastAsia="Times New Roman" w:hAnsi="Calibri" w:cs="Times New Roman"/>
                <w:color w:val="000000"/>
                <w:sz w:val="20"/>
                <w:szCs w:val="20"/>
              </w:rPr>
              <w:t>84%</w:t>
            </w:r>
          </w:p>
        </w:tc>
        <w:tc>
          <w:tcPr>
            <w:tcW w:w="940" w:type="pct"/>
            <w:shd w:val="clear" w:color="auto" w:fill="auto"/>
            <w:vAlign w:val="center"/>
            <w:hideMark/>
          </w:tcPr>
          <w:p w:rsidR="00D96172" w:rsidRPr="00D96172" w:rsidRDefault="00D96172" w:rsidP="001D7858">
            <w:pPr>
              <w:spacing w:after="0"/>
              <w:jc w:val="right"/>
              <w:rPr>
                <w:rFonts w:ascii="Calibri" w:eastAsia="Times New Roman" w:hAnsi="Calibri" w:cs="Times New Roman"/>
                <w:color w:val="000000"/>
                <w:sz w:val="20"/>
                <w:szCs w:val="20"/>
              </w:rPr>
            </w:pPr>
            <w:r w:rsidRPr="00D96172">
              <w:rPr>
                <w:rFonts w:ascii="Calibri" w:eastAsia="Times New Roman" w:hAnsi="Calibri" w:cs="Times New Roman"/>
                <w:color w:val="000000"/>
                <w:sz w:val="20"/>
                <w:szCs w:val="20"/>
              </w:rPr>
              <w:t>16%</w:t>
            </w:r>
          </w:p>
        </w:tc>
        <w:tc>
          <w:tcPr>
            <w:tcW w:w="1043" w:type="pct"/>
            <w:shd w:val="clear" w:color="auto" w:fill="auto"/>
            <w:vAlign w:val="center"/>
            <w:hideMark/>
          </w:tcPr>
          <w:p w:rsidR="00D96172" w:rsidRPr="00D96172" w:rsidRDefault="00D96172" w:rsidP="001D7858">
            <w:pPr>
              <w:spacing w:after="0"/>
              <w:jc w:val="right"/>
              <w:rPr>
                <w:rFonts w:ascii="Calibri" w:eastAsia="Times New Roman" w:hAnsi="Calibri" w:cs="Times New Roman"/>
                <w:color w:val="000000"/>
                <w:sz w:val="20"/>
                <w:szCs w:val="20"/>
              </w:rPr>
            </w:pPr>
            <w:r w:rsidRPr="00D96172">
              <w:rPr>
                <w:rFonts w:ascii="Calibri" w:eastAsia="Times New Roman" w:hAnsi="Calibri" w:cs="Times New Roman"/>
                <w:color w:val="000000"/>
                <w:sz w:val="20"/>
                <w:szCs w:val="20"/>
              </w:rPr>
              <w:t>19%</w:t>
            </w:r>
          </w:p>
        </w:tc>
      </w:tr>
    </w:tbl>
    <w:p w:rsidR="00D96172" w:rsidRPr="00D96172" w:rsidRDefault="00D96172" w:rsidP="00F24022">
      <w:pPr>
        <w:pStyle w:val="NormalAfterTablesandFigures"/>
      </w:pPr>
    </w:p>
    <w:p w:rsidR="00AF07EA" w:rsidRDefault="00AF07EA" w:rsidP="00AF07EA">
      <w:pPr>
        <w:pStyle w:val="Heading3"/>
      </w:pPr>
      <w:r>
        <w:t>Energy Savings: Oil/Propane</w:t>
      </w:r>
    </w:p>
    <w:p w:rsidR="00225302" w:rsidRDefault="005C2163" w:rsidP="00225302">
      <w:r>
        <w:fldChar w:fldCharType="begin"/>
      </w:r>
      <w:r w:rsidR="00225302">
        <w:instrText xml:space="preserve"> REF _Ref388797854 \h </w:instrText>
      </w:r>
      <w:r>
        <w:fldChar w:fldCharType="separate"/>
      </w:r>
      <w:r w:rsidR="00CD20CF">
        <w:t xml:space="preserve">Table </w:t>
      </w:r>
      <w:r w:rsidR="00CD20CF">
        <w:rPr>
          <w:noProof/>
        </w:rPr>
        <w:t>69</w:t>
      </w:r>
      <w:r>
        <w:fldChar w:fldCharType="end"/>
      </w:r>
      <w:r w:rsidR="00225302">
        <w:t xml:space="preserve"> presents estimates for oil and propane savings associated with shell, duct sealing, and DHW measures. As discussed in the Methodology, evaluated gross savings derived through the gas analyses </w:t>
      </w:r>
      <w:r w:rsidR="001C6B05">
        <w:t>were</w:t>
      </w:r>
      <w:r w:rsidR="00225302">
        <w:t xml:space="preserve"> scaled using conversion factors consistent with the PSD to estimate oil and propane impacts by measure. </w:t>
      </w:r>
      <w:r w:rsidR="001C6B05">
        <w:t>The previous section discussed the a</w:t>
      </w:r>
      <w:r w:rsidR="00225302">
        <w:t xml:space="preserve">nalytical methods used to calculate gas savings specific to each measure. </w:t>
      </w:r>
    </w:p>
    <w:p w:rsidR="00225302" w:rsidRDefault="00225302" w:rsidP="00225302">
      <w:pPr>
        <w:pStyle w:val="Caption"/>
      </w:pPr>
      <w:bookmarkStart w:id="120" w:name="_Ref388797854"/>
      <w:r>
        <w:t xml:space="preserve">Table </w:t>
      </w:r>
      <w:r w:rsidR="002506E1">
        <w:fldChar w:fldCharType="begin"/>
      </w:r>
      <w:r w:rsidR="002506E1">
        <w:instrText xml:space="preserve"> SEQ Table \* ARABIC </w:instrText>
      </w:r>
      <w:r w:rsidR="002506E1">
        <w:fldChar w:fldCharType="separate"/>
      </w:r>
      <w:r w:rsidR="00CD20CF">
        <w:rPr>
          <w:noProof/>
        </w:rPr>
        <w:t>69</w:t>
      </w:r>
      <w:r w:rsidR="002506E1">
        <w:rPr>
          <w:noProof/>
        </w:rPr>
        <w:fldChar w:fldCharType="end"/>
      </w:r>
      <w:bookmarkEnd w:id="120"/>
      <w:r>
        <w:t>. HES-IE Oil and Propane—Evaluated Savings</w:t>
      </w:r>
      <w:r w:rsidRPr="007B0830">
        <w:t xml:space="preserve"> </w:t>
      </w:r>
      <w:r>
        <w:t>for Shell and Duct Measures</w:t>
      </w:r>
    </w:p>
    <w:tbl>
      <w:tblPr>
        <w:tblW w:w="5000" w:type="pct"/>
        <w:tblLook w:val="04A0" w:firstRow="1" w:lastRow="0" w:firstColumn="1" w:lastColumn="0" w:noHBand="0" w:noVBand="1"/>
      </w:tblPr>
      <w:tblGrid>
        <w:gridCol w:w="1185"/>
        <w:gridCol w:w="1467"/>
        <w:gridCol w:w="1201"/>
        <w:gridCol w:w="1519"/>
        <w:gridCol w:w="1345"/>
        <w:gridCol w:w="1518"/>
        <w:gridCol w:w="1341"/>
      </w:tblGrid>
      <w:tr w:rsidR="00BB24BD" w:rsidRPr="00BB24BD" w:rsidTr="0045399A">
        <w:tc>
          <w:tcPr>
            <w:tcW w:w="609" w:type="pct"/>
            <w:vMerge w:val="restar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BB24BD" w:rsidRPr="00BB24BD" w:rsidRDefault="00BB24BD" w:rsidP="0045399A">
            <w:pPr>
              <w:spacing w:after="0"/>
              <w:jc w:val="center"/>
              <w:rPr>
                <w:rFonts w:ascii="Calibri" w:eastAsia="Times New Roman" w:hAnsi="Calibri" w:cs="Times New Roman"/>
                <w:b/>
                <w:bCs/>
                <w:color w:val="FFFFFF"/>
              </w:rPr>
            </w:pPr>
            <w:r w:rsidRPr="00BB24BD">
              <w:rPr>
                <w:rFonts w:ascii="Calibri" w:eastAsia="Times New Roman" w:hAnsi="Calibri" w:cs="Times New Roman"/>
                <w:b/>
                <w:bCs/>
                <w:color w:val="FFFFFF"/>
              </w:rPr>
              <w:t>Category</w:t>
            </w:r>
          </w:p>
        </w:tc>
        <w:tc>
          <w:tcPr>
            <w:tcW w:w="771" w:type="pct"/>
            <w:vMerge w:val="restar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BB24BD" w:rsidRPr="00BB24BD" w:rsidRDefault="00BB24BD" w:rsidP="0045399A">
            <w:pPr>
              <w:spacing w:after="0"/>
              <w:jc w:val="center"/>
              <w:rPr>
                <w:rFonts w:ascii="Calibri" w:eastAsia="Times New Roman" w:hAnsi="Calibri" w:cs="Times New Roman"/>
                <w:b/>
                <w:bCs/>
                <w:color w:val="FFFFFF"/>
              </w:rPr>
            </w:pPr>
            <w:r w:rsidRPr="00BB24BD">
              <w:rPr>
                <w:rFonts w:ascii="Calibri" w:eastAsia="Times New Roman" w:hAnsi="Calibri" w:cs="Times New Roman"/>
                <w:b/>
                <w:bCs/>
                <w:color w:val="FFFFFF"/>
              </w:rPr>
              <w:t>Measures</w:t>
            </w:r>
          </w:p>
        </w:tc>
        <w:tc>
          <w:tcPr>
            <w:tcW w:w="618" w:type="pct"/>
            <w:vMerge w:val="restar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BB24BD" w:rsidRPr="00BB24BD" w:rsidRDefault="00BB24BD" w:rsidP="0045399A">
            <w:pPr>
              <w:spacing w:after="0"/>
              <w:jc w:val="center"/>
              <w:rPr>
                <w:rFonts w:ascii="Calibri" w:eastAsia="Times New Roman" w:hAnsi="Calibri" w:cs="Times New Roman"/>
                <w:b/>
                <w:bCs/>
                <w:color w:val="FFFFFF"/>
              </w:rPr>
            </w:pPr>
            <w:r w:rsidRPr="00BB24BD">
              <w:rPr>
                <w:rFonts w:ascii="Calibri" w:eastAsia="Times New Roman" w:hAnsi="Calibri" w:cs="Times New Roman"/>
                <w:b/>
                <w:bCs/>
                <w:color w:val="FFFFFF"/>
              </w:rPr>
              <w:t>Average Evaluated Gross Savings (CCF)</w:t>
            </w:r>
          </w:p>
        </w:tc>
        <w:tc>
          <w:tcPr>
            <w:tcW w:w="1502" w:type="pct"/>
            <w:gridSpan w:val="2"/>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BB24BD" w:rsidRPr="00BB24BD" w:rsidRDefault="00BB24BD" w:rsidP="0045399A">
            <w:pPr>
              <w:spacing w:after="0"/>
              <w:jc w:val="center"/>
              <w:rPr>
                <w:rFonts w:ascii="Calibri" w:eastAsia="Times New Roman" w:hAnsi="Calibri" w:cs="Times New Roman"/>
                <w:b/>
                <w:bCs/>
                <w:color w:val="FFFFFF"/>
              </w:rPr>
            </w:pPr>
            <w:r w:rsidRPr="00BB24BD">
              <w:rPr>
                <w:rFonts w:ascii="Calibri" w:eastAsia="Times New Roman" w:hAnsi="Calibri" w:cs="Times New Roman"/>
                <w:b/>
                <w:bCs/>
                <w:color w:val="FFFFFF"/>
              </w:rPr>
              <w:t>Oil</w:t>
            </w:r>
          </w:p>
        </w:tc>
        <w:tc>
          <w:tcPr>
            <w:tcW w:w="1501" w:type="pct"/>
            <w:gridSpan w:val="2"/>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BB24BD" w:rsidRPr="00BB24BD" w:rsidRDefault="00BB24BD" w:rsidP="0045399A">
            <w:pPr>
              <w:spacing w:after="0"/>
              <w:jc w:val="center"/>
              <w:rPr>
                <w:rFonts w:ascii="Calibri" w:eastAsia="Times New Roman" w:hAnsi="Calibri" w:cs="Times New Roman"/>
                <w:b/>
                <w:bCs/>
                <w:color w:val="FFFFFF"/>
              </w:rPr>
            </w:pPr>
            <w:r w:rsidRPr="00BB24BD">
              <w:rPr>
                <w:rFonts w:ascii="Calibri" w:eastAsia="Times New Roman" w:hAnsi="Calibri" w:cs="Times New Roman"/>
                <w:b/>
                <w:bCs/>
                <w:color w:val="FFFFFF"/>
              </w:rPr>
              <w:t>Propane</w:t>
            </w:r>
          </w:p>
        </w:tc>
      </w:tr>
      <w:tr w:rsidR="00BB24BD" w:rsidRPr="00BB24BD" w:rsidTr="0045399A">
        <w:tc>
          <w:tcPr>
            <w:tcW w:w="609" w:type="pct"/>
            <w:vMerge/>
            <w:tcBorders>
              <w:top w:val="single" w:sz="4" w:space="0" w:color="BFBFBF"/>
              <w:left w:val="single" w:sz="4" w:space="0" w:color="BFBFBF"/>
              <w:bottom w:val="single" w:sz="4" w:space="0" w:color="BFBFBF"/>
              <w:right w:val="single" w:sz="4" w:space="0" w:color="BFBFBF"/>
            </w:tcBorders>
            <w:vAlign w:val="center"/>
            <w:hideMark/>
          </w:tcPr>
          <w:p w:rsidR="00BB24BD" w:rsidRPr="00BB24BD" w:rsidRDefault="00BB24BD" w:rsidP="0045399A">
            <w:pPr>
              <w:spacing w:after="0"/>
              <w:jc w:val="center"/>
              <w:rPr>
                <w:rFonts w:ascii="Calibri" w:eastAsia="Times New Roman" w:hAnsi="Calibri" w:cs="Times New Roman"/>
                <w:b/>
                <w:bCs/>
                <w:color w:val="FFFFFF"/>
              </w:rPr>
            </w:pPr>
          </w:p>
        </w:tc>
        <w:tc>
          <w:tcPr>
            <w:tcW w:w="771" w:type="pct"/>
            <w:vMerge/>
            <w:tcBorders>
              <w:top w:val="single" w:sz="4" w:space="0" w:color="BFBFBF"/>
              <w:left w:val="single" w:sz="4" w:space="0" w:color="BFBFBF"/>
              <w:bottom w:val="single" w:sz="4" w:space="0" w:color="BFBFBF"/>
              <w:right w:val="single" w:sz="4" w:space="0" w:color="BFBFBF"/>
            </w:tcBorders>
            <w:vAlign w:val="center"/>
            <w:hideMark/>
          </w:tcPr>
          <w:p w:rsidR="00BB24BD" w:rsidRPr="00BB24BD" w:rsidRDefault="00BB24BD" w:rsidP="0045399A">
            <w:pPr>
              <w:spacing w:after="0"/>
              <w:jc w:val="center"/>
              <w:rPr>
                <w:rFonts w:ascii="Calibri" w:eastAsia="Times New Roman" w:hAnsi="Calibri" w:cs="Times New Roman"/>
                <w:b/>
                <w:bCs/>
                <w:color w:val="FFFFFF"/>
              </w:rPr>
            </w:pPr>
          </w:p>
        </w:tc>
        <w:tc>
          <w:tcPr>
            <w:tcW w:w="618" w:type="pct"/>
            <w:vMerge/>
            <w:tcBorders>
              <w:top w:val="single" w:sz="4" w:space="0" w:color="BFBFBF"/>
              <w:left w:val="single" w:sz="4" w:space="0" w:color="BFBFBF"/>
              <w:bottom w:val="single" w:sz="4" w:space="0" w:color="BFBFBF"/>
              <w:right w:val="single" w:sz="4" w:space="0" w:color="BFBFBF"/>
            </w:tcBorders>
            <w:vAlign w:val="center"/>
            <w:hideMark/>
          </w:tcPr>
          <w:p w:rsidR="00BB24BD" w:rsidRPr="00BB24BD" w:rsidRDefault="00BB24BD" w:rsidP="0045399A">
            <w:pPr>
              <w:spacing w:after="0"/>
              <w:jc w:val="center"/>
              <w:rPr>
                <w:rFonts w:ascii="Calibri" w:eastAsia="Times New Roman" w:hAnsi="Calibri" w:cs="Times New Roman"/>
                <w:b/>
                <w:bCs/>
                <w:color w:val="FFFFFF"/>
              </w:rPr>
            </w:pPr>
          </w:p>
        </w:tc>
        <w:tc>
          <w:tcPr>
            <w:tcW w:w="801"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BB24BD" w:rsidRPr="00BB24BD" w:rsidRDefault="00BB24BD" w:rsidP="0045399A">
            <w:pPr>
              <w:spacing w:after="0"/>
              <w:jc w:val="center"/>
              <w:rPr>
                <w:rFonts w:ascii="Calibri" w:eastAsia="Times New Roman" w:hAnsi="Calibri" w:cs="Times New Roman"/>
                <w:b/>
                <w:bCs/>
                <w:color w:val="FFFFFF"/>
              </w:rPr>
            </w:pPr>
            <w:r w:rsidRPr="00BB24BD">
              <w:rPr>
                <w:rFonts w:ascii="Calibri" w:eastAsia="Times New Roman" w:hAnsi="Calibri" w:cs="Times New Roman"/>
                <w:b/>
                <w:bCs/>
                <w:color w:val="FFFFFF"/>
              </w:rPr>
              <w:t xml:space="preserve">Conversion Factor </w:t>
            </w:r>
            <w:r w:rsidRPr="00BB24BD">
              <w:rPr>
                <w:rFonts w:ascii="Calibri" w:eastAsia="Times New Roman" w:hAnsi="Calibri" w:cs="Times New Roman"/>
                <w:b/>
                <w:bCs/>
                <w:color w:val="FFFFFF"/>
              </w:rPr>
              <w:br/>
              <w:t>(gallons/CCF)</w:t>
            </w:r>
          </w:p>
        </w:tc>
        <w:tc>
          <w:tcPr>
            <w:tcW w:w="701"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BB24BD" w:rsidRPr="00BB24BD" w:rsidRDefault="00BB24BD" w:rsidP="0045399A">
            <w:pPr>
              <w:spacing w:after="0"/>
              <w:jc w:val="center"/>
              <w:rPr>
                <w:rFonts w:ascii="Calibri" w:eastAsia="Times New Roman" w:hAnsi="Calibri" w:cs="Times New Roman"/>
                <w:b/>
                <w:bCs/>
                <w:color w:val="FFFFFF"/>
              </w:rPr>
            </w:pPr>
            <w:r w:rsidRPr="00BB24BD">
              <w:rPr>
                <w:rFonts w:ascii="Calibri" w:eastAsia="Times New Roman" w:hAnsi="Calibri" w:cs="Times New Roman"/>
                <w:b/>
                <w:bCs/>
                <w:color w:val="FFFFFF"/>
              </w:rPr>
              <w:t>Oil Savings per Participant (Gallons)</w:t>
            </w:r>
            <w:r w:rsidR="00573DAD">
              <w:rPr>
                <w:rFonts w:ascii="Calibri" w:eastAsia="Times New Roman" w:hAnsi="Calibri" w:cs="Times New Roman"/>
                <w:b/>
                <w:bCs/>
                <w:color w:val="FFFFFF"/>
              </w:rPr>
              <w:t>**</w:t>
            </w:r>
          </w:p>
        </w:tc>
        <w:tc>
          <w:tcPr>
            <w:tcW w:w="801"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BB24BD" w:rsidRPr="00BB24BD" w:rsidRDefault="00BB24BD" w:rsidP="0045399A">
            <w:pPr>
              <w:spacing w:after="0"/>
              <w:jc w:val="center"/>
              <w:rPr>
                <w:rFonts w:ascii="Calibri" w:eastAsia="Times New Roman" w:hAnsi="Calibri" w:cs="Times New Roman"/>
                <w:b/>
                <w:bCs/>
                <w:color w:val="FFFFFF"/>
              </w:rPr>
            </w:pPr>
            <w:r w:rsidRPr="00BB24BD">
              <w:rPr>
                <w:rFonts w:ascii="Calibri" w:eastAsia="Times New Roman" w:hAnsi="Calibri" w:cs="Times New Roman"/>
                <w:b/>
                <w:bCs/>
                <w:color w:val="FFFFFF"/>
              </w:rPr>
              <w:t xml:space="preserve">Conversion Factor </w:t>
            </w:r>
            <w:r w:rsidRPr="00BB24BD">
              <w:rPr>
                <w:rFonts w:ascii="Calibri" w:eastAsia="Times New Roman" w:hAnsi="Calibri" w:cs="Times New Roman"/>
                <w:b/>
                <w:bCs/>
                <w:color w:val="FFFFFF"/>
              </w:rPr>
              <w:br/>
              <w:t>(gallons/CCF)</w:t>
            </w:r>
          </w:p>
        </w:tc>
        <w:tc>
          <w:tcPr>
            <w:tcW w:w="700" w:type="pct"/>
            <w:tcBorders>
              <w:top w:val="single" w:sz="4" w:space="0" w:color="BFBFBF"/>
              <w:left w:val="single" w:sz="4" w:space="0" w:color="BFBFBF"/>
              <w:bottom w:val="single" w:sz="4" w:space="0" w:color="BFBFBF"/>
              <w:right w:val="single" w:sz="4" w:space="0" w:color="BFBFBF"/>
            </w:tcBorders>
            <w:shd w:val="clear" w:color="000000" w:fill="005DAA"/>
            <w:vAlign w:val="center"/>
            <w:hideMark/>
          </w:tcPr>
          <w:p w:rsidR="00BB24BD" w:rsidRPr="00BB24BD" w:rsidRDefault="00BB24BD" w:rsidP="0045399A">
            <w:pPr>
              <w:spacing w:after="0"/>
              <w:jc w:val="center"/>
              <w:rPr>
                <w:rFonts w:ascii="Calibri" w:eastAsia="Times New Roman" w:hAnsi="Calibri" w:cs="Times New Roman"/>
                <w:b/>
                <w:bCs/>
                <w:color w:val="FFFFFF"/>
              </w:rPr>
            </w:pPr>
            <w:r w:rsidRPr="00BB24BD">
              <w:rPr>
                <w:rFonts w:ascii="Calibri" w:eastAsia="Times New Roman" w:hAnsi="Calibri" w:cs="Times New Roman"/>
                <w:b/>
                <w:bCs/>
                <w:color w:val="FFFFFF"/>
              </w:rPr>
              <w:t>Propane Savings per Participant (Gallons)</w:t>
            </w:r>
          </w:p>
        </w:tc>
      </w:tr>
      <w:tr w:rsidR="00BB24BD" w:rsidRPr="00BB24BD" w:rsidTr="0045399A">
        <w:tc>
          <w:tcPr>
            <w:tcW w:w="609" w:type="pct"/>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Shell and Duct</w:t>
            </w:r>
            <w:r>
              <w:rPr>
                <w:rFonts w:ascii="Calibri" w:eastAsia="Times New Roman" w:hAnsi="Calibri" w:cs="Times New Roman"/>
                <w:color w:val="000000"/>
                <w:sz w:val="20"/>
                <w:szCs w:val="20"/>
              </w:rPr>
              <w:t>*</w:t>
            </w:r>
          </w:p>
        </w:tc>
        <w:tc>
          <w:tcPr>
            <w:tcW w:w="771"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Air Sealing</w:t>
            </w:r>
          </w:p>
        </w:tc>
        <w:tc>
          <w:tcPr>
            <w:tcW w:w="61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A06349" w:rsidP="0045399A">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36</w:t>
            </w:r>
          </w:p>
        </w:tc>
        <w:tc>
          <w:tcPr>
            <w:tcW w:w="801" w:type="pct"/>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jc w:val="center"/>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0.7419</w:t>
            </w:r>
          </w:p>
        </w:tc>
        <w:tc>
          <w:tcPr>
            <w:tcW w:w="701"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0B1333" w:rsidRDefault="00BB24BD" w:rsidP="000B1333">
            <w:pPr>
              <w:spacing w:after="0"/>
              <w:jc w:val="right"/>
              <w:rPr>
                <w:rFonts w:ascii="Calibri" w:eastAsia="Times New Roman" w:hAnsi="Calibri" w:cs="Times New Roman"/>
                <w:color w:val="000000"/>
                <w:sz w:val="20"/>
                <w:szCs w:val="20"/>
              </w:rPr>
            </w:pPr>
            <w:r w:rsidRPr="000B1333">
              <w:rPr>
                <w:rFonts w:ascii="Calibri" w:eastAsia="Times New Roman" w:hAnsi="Calibri" w:cs="Times New Roman"/>
                <w:color w:val="000000"/>
                <w:sz w:val="20"/>
                <w:szCs w:val="20"/>
              </w:rPr>
              <w:t>2</w:t>
            </w:r>
            <w:r w:rsidR="000B1333" w:rsidRPr="000B1333">
              <w:rPr>
                <w:rFonts w:ascii="Calibri" w:eastAsia="Times New Roman" w:hAnsi="Calibri" w:cs="Times New Roman"/>
                <w:color w:val="000000"/>
                <w:sz w:val="20"/>
                <w:szCs w:val="20"/>
              </w:rPr>
              <w:t>6</w:t>
            </w:r>
          </w:p>
        </w:tc>
        <w:tc>
          <w:tcPr>
            <w:tcW w:w="801" w:type="pct"/>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0B1333" w:rsidRDefault="00BB24BD" w:rsidP="0045399A">
            <w:pPr>
              <w:spacing w:after="0"/>
              <w:jc w:val="center"/>
              <w:rPr>
                <w:rFonts w:ascii="Calibri" w:eastAsia="Times New Roman" w:hAnsi="Calibri" w:cs="Times New Roman"/>
                <w:color w:val="000000"/>
                <w:sz w:val="20"/>
                <w:szCs w:val="20"/>
              </w:rPr>
            </w:pPr>
            <w:r w:rsidRPr="000B1333">
              <w:rPr>
                <w:rFonts w:ascii="Calibri" w:eastAsia="Times New Roman" w:hAnsi="Calibri" w:cs="Times New Roman"/>
                <w:color w:val="000000"/>
                <w:sz w:val="20"/>
                <w:szCs w:val="20"/>
              </w:rPr>
              <w:t>1.1267</w:t>
            </w:r>
          </w:p>
        </w:tc>
        <w:tc>
          <w:tcPr>
            <w:tcW w:w="70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0B1333" w:rsidRDefault="00BB24BD" w:rsidP="000B1333">
            <w:pPr>
              <w:spacing w:after="0"/>
              <w:jc w:val="right"/>
              <w:rPr>
                <w:rFonts w:ascii="Calibri" w:eastAsia="Times New Roman" w:hAnsi="Calibri" w:cs="Times New Roman"/>
                <w:color w:val="000000"/>
                <w:sz w:val="20"/>
                <w:szCs w:val="20"/>
              </w:rPr>
            </w:pPr>
            <w:r w:rsidRPr="000B1333">
              <w:rPr>
                <w:rFonts w:ascii="Calibri" w:eastAsia="Times New Roman" w:hAnsi="Calibri" w:cs="Times New Roman"/>
                <w:color w:val="000000"/>
                <w:sz w:val="20"/>
                <w:szCs w:val="20"/>
              </w:rPr>
              <w:t>4</w:t>
            </w:r>
            <w:r w:rsidR="000B1333" w:rsidRPr="000B1333">
              <w:rPr>
                <w:rFonts w:ascii="Calibri" w:eastAsia="Times New Roman" w:hAnsi="Calibri" w:cs="Times New Roman"/>
                <w:color w:val="000000"/>
                <w:sz w:val="20"/>
                <w:szCs w:val="20"/>
              </w:rPr>
              <w:t>1</w:t>
            </w:r>
          </w:p>
        </w:tc>
      </w:tr>
      <w:tr w:rsidR="00BB24BD" w:rsidRPr="00BB24BD" w:rsidTr="0045399A">
        <w:tc>
          <w:tcPr>
            <w:tcW w:w="609" w:type="pct"/>
            <w:vMerge/>
            <w:tcBorders>
              <w:top w:val="single" w:sz="4" w:space="0" w:color="BFBFBF"/>
              <w:left w:val="single" w:sz="4" w:space="0" w:color="BFBFBF"/>
              <w:bottom w:val="single" w:sz="4" w:space="0" w:color="BFBFBF"/>
              <w:right w:val="single" w:sz="4" w:space="0" w:color="BFBFBF"/>
            </w:tcBorders>
            <w:vAlign w:val="center"/>
            <w:hideMark/>
          </w:tcPr>
          <w:p w:rsidR="00BB24BD" w:rsidRPr="00BB24BD" w:rsidRDefault="00BB24BD" w:rsidP="0045399A">
            <w:pPr>
              <w:spacing w:after="0"/>
              <w:rPr>
                <w:rFonts w:ascii="Calibri" w:eastAsia="Times New Roman" w:hAnsi="Calibri" w:cs="Times New Roman"/>
                <w:color w:val="000000"/>
                <w:sz w:val="20"/>
                <w:szCs w:val="20"/>
              </w:rPr>
            </w:pPr>
          </w:p>
        </w:tc>
        <w:tc>
          <w:tcPr>
            <w:tcW w:w="771"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Attic Insulation</w:t>
            </w:r>
          </w:p>
        </w:tc>
        <w:tc>
          <w:tcPr>
            <w:tcW w:w="61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jc w:val="right"/>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139</w:t>
            </w:r>
          </w:p>
        </w:tc>
        <w:tc>
          <w:tcPr>
            <w:tcW w:w="801" w:type="pct"/>
            <w:vMerge/>
            <w:tcBorders>
              <w:top w:val="single" w:sz="4" w:space="0" w:color="BFBFBF"/>
              <w:left w:val="single" w:sz="4" w:space="0" w:color="BFBFBF"/>
              <w:bottom w:val="single" w:sz="4" w:space="0" w:color="BFBFBF"/>
              <w:right w:val="single" w:sz="4" w:space="0" w:color="BFBFBF"/>
            </w:tcBorders>
            <w:vAlign w:val="center"/>
            <w:hideMark/>
          </w:tcPr>
          <w:p w:rsidR="00BB24BD" w:rsidRPr="00BB24BD" w:rsidRDefault="00BB24BD" w:rsidP="0045399A">
            <w:pPr>
              <w:spacing w:after="0"/>
              <w:rPr>
                <w:rFonts w:ascii="Calibri" w:eastAsia="Times New Roman" w:hAnsi="Calibri" w:cs="Times New Roman"/>
                <w:color w:val="000000"/>
                <w:sz w:val="20"/>
                <w:szCs w:val="20"/>
              </w:rPr>
            </w:pPr>
          </w:p>
        </w:tc>
        <w:tc>
          <w:tcPr>
            <w:tcW w:w="701"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573DAD" w:rsidP="000B133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w:t>
            </w:r>
            <w:r w:rsidR="000B1333">
              <w:rPr>
                <w:rFonts w:ascii="Calibri" w:eastAsia="Times New Roman" w:hAnsi="Calibri" w:cs="Times New Roman"/>
                <w:color w:val="000000"/>
                <w:sz w:val="20"/>
                <w:szCs w:val="20"/>
              </w:rPr>
              <w:t>0</w:t>
            </w:r>
          </w:p>
        </w:tc>
        <w:tc>
          <w:tcPr>
            <w:tcW w:w="801" w:type="pct"/>
            <w:vMerge/>
            <w:tcBorders>
              <w:top w:val="single" w:sz="4" w:space="0" w:color="BFBFBF"/>
              <w:left w:val="single" w:sz="4" w:space="0" w:color="BFBFBF"/>
              <w:bottom w:val="single" w:sz="4" w:space="0" w:color="BFBFBF"/>
              <w:right w:val="single" w:sz="4" w:space="0" w:color="BFBFBF"/>
            </w:tcBorders>
            <w:vAlign w:val="center"/>
            <w:hideMark/>
          </w:tcPr>
          <w:p w:rsidR="00BB24BD" w:rsidRPr="00BB24BD" w:rsidRDefault="00BB24BD" w:rsidP="0045399A">
            <w:pPr>
              <w:spacing w:after="0"/>
              <w:rPr>
                <w:rFonts w:ascii="Calibri" w:eastAsia="Times New Roman" w:hAnsi="Calibri" w:cs="Times New Roman"/>
                <w:color w:val="000000"/>
                <w:sz w:val="20"/>
                <w:szCs w:val="20"/>
              </w:rPr>
            </w:pPr>
          </w:p>
        </w:tc>
        <w:tc>
          <w:tcPr>
            <w:tcW w:w="70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jc w:val="right"/>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156</w:t>
            </w:r>
          </w:p>
        </w:tc>
      </w:tr>
      <w:tr w:rsidR="00BB24BD" w:rsidRPr="00BB24BD" w:rsidTr="0045399A">
        <w:tc>
          <w:tcPr>
            <w:tcW w:w="609" w:type="pct"/>
            <w:vMerge/>
            <w:tcBorders>
              <w:top w:val="single" w:sz="4" w:space="0" w:color="BFBFBF"/>
              <w:left w:val="single" w:sz="4" w:space="0" w:color="BFBFBF"/>
              <w:bottom w:val="single" w:sz="4" w:space="0" w:color="BFBFBF"/>
              <w:right w:val="single" w:sz="4" w:space="0" w:color="BFBFBF"/>
            </w:tcBorders>
            <w:vAlign w:val="center"/>
            <w:hideMark/>
          </w:tcPr>
          <w:p w:rsidR="00BB24BD" w:rsidRPr="00BB24BD" w:rsidRDefault="00BB24BD" w:rsidP="0045399A">
            <w:pPr>
              <w:spacing w:after="0"/>
              <w:rPr>
                <w:rFonts w:ascii="Calibri" w:eastAsia="Times New Roman" w:hAnsi="Calibri" w:cs="Times New Roman"/>
                <w:color w:val="000000"/>
                <w:sz w:val="20"/>
                <w:szCs w:val="20"/>
              </w:rPr>
            </w:pPr>
          </w:p>
        </w:tc>
        <w:tc>
          <w:tcPr>
            <w:tcW w:w="771"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Wall Insulation</w:t>
            </w:r>
          </w:p>
        </w:tc>
        <w:tc>
          <w:tcPr>
            <w:tcW w:w="61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A06349" w:rsidP="0045399A">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96</w:t>
            </w:r>
          </w:p>
        </w:tc>
        <w:tc>
          <w:tcPr>
            <w:tcW w:w="801" w:type="pct"/>
            <w:vMerge/>
            <w:tcBorders>
              <w:top w:val="single" w:sz="4" w:space="0" w:color="BFBFBF"/>
              <w:left w:val="single" w:sz="4" w:space="0" w:color="BFBFBF"/>
              <w:bottom w:val="single" w:sz="4" w:space="0" w:color="BFBFBF"/>
              <w:right w:val="single" w:sz="4" w:space="0" w:color="BFBFBF"/>
            </w:tcBorders>
            <w:vAlign w:val="center"/>
            <w:hideMark/>
          </w:tcPr>
          <w:p w:rsidR="00BB24BD" w:rsidRPr="00BB24BD" w:rsidRDefault="00BB24BD" w:rsidP="0045399A">
            <w:pPr>
              <w:spacing w:after="0"/>
              <w:rPr>
                <w:rFonts w:ascii="Calibri" w:eastAsia="Times New Roman" w:hAnsi="Calibri" w:cs="Times New Roman"/>
                <w:color w:val="000000"/>
                <w:sz w:val="20"/>
                <w:szCs w:val="20"/>
              </w:rPr>
            </w:pPr>
          </w:p>
        </w:tc>
        <w:tc>
          <w:tcPr>
            <w:tcW w:w="701"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0B1333" w:rsidP="0045399A">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70</w:t>
            </w:r>
          </w:p>
        </w:tc>
        <w:tc>
          <w:tcPr>
            <w:tcW w:w="801" w:type="pct"/>
            <w:vMerge/>
            <w:tcBorders>
              <w:top w:val="single" w:sz="4" w:space="0" w:color="BFBFBF"/>
              <w:left w:val="single" w:sz="4" w:space="0" w:color="BFBFBF"/>
              <w:bottom w:val="single" w:sz="4" w:space="0" w:color="BFBFBF"/>
              <w:right w:val="single" w:sz="4" w:space="0" w:color="BFBFBF"/>
            </w:tcBorders>
            <w:vAlign w:val="center"/>
            <w:hideMark/>
          </w:tcPr>
          <w:p w:rsidR="00BB24BD" w:rsidRPr="00BB24BD" w:rsidRDefault="00BB24BD" w:rsidP="0045399A">
            <w:pPr>
              <w:spacing w:after="0"/>
              <w:rPr>
                <w:rFonts w:ascii="Calibri" w:eastAsia="Times New Roman" w:hAnsi="Calibri" w:cs="Times New Roman"/>
                <w:color w:val="000000"/>
                <w:sz w:val="20"/>
                <w:szCs w:val="20"/>
              </w:rPr>
            </w:pPr>
          </w:p>
        </w:tc>
        <w:tc>
          <w:tcPr>
            <w:tcW w:w="70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0B1333" w:rsidP="0045399A">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109</w:t>
            </w:r>
          </w:p>
        </w:tc>
      </w:tr>
      <w:tr w:rsidR="00BB24BD" w:rsidRPr="00BB24BD" w:rsidTr="0045399A">
        <w:tc>
          <w:tcPr>
            <w:tcW w:w="609" w:type="pct"/>
            <w:vMerge/>
            <w:tcBorders>
              <w:top w:val="single" w:sz="4" w:space="0" w:color="BFBFBF"/>
              <w:left w:val="single" w:sz="4" w:space="0" w:color="BFBFBF"/>
              <w:bottom w:val="single" w:sz="4" w:space="0" w:color="BFBFBF"/>
              <w:right w:val="single" w:sz="4" w:space="0" w:color="BFBFBF"/>
            </w:tcBorders>
            <w:vAlign w:val="center"/>
            <w:hideMark/>
          </w:tcPr>
          <w:p w:rsidR="00BB24BD" w:rsidRPr="00BB24BD" w:rsidRDefault="00BB24BD" w:rsidP="0045399A">
            <w:pPr>
              <w:spacing w:after="0"/>
              <w:rPr>
                <w:rFonts w:ascii="Calibri" w:eastAsia="Times New Roman" w:hAnsi="Calibri" w:cs="Times New Roman"/>
                <w:color w:val="000000"/>
                <w:sz w:val="20"/>
                <w:szCs w:val="20"/>
              </w:rPr>
            </w:pPr>
          </w:p>
        </w:tc>
        <w:tc>
          <w:tcPr>
            <w:tcW w:w="771"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Duct Sealing</w:t>
            </w:r>
          </w:p>
        </w:tc>
        <w:tc>
          <w:tcPr>
            <w:tcW w:w="61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jc w:val="right"/>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24</w:t>
            </w:r>
          </w:p>
        </w:tc>
        <w:tc>
          <w:tcPr>
            <w:tcW w:w="801" w:type="pct"/>
            <w:vMerge/>
            <w:tcBorders>
              <w:top w:val="single" w:sz="4" w:space="0" w:color="BFBFBF"/>
              <w:left w:val="single" w:sz="4" w:space="0" w:color="BFBFBF"/>
              <w:bottom w:val="single" w:sz="4" w:space="0" w:color="BFBFBF"/>
              <w:right w:val="single" w:sz="4" w:space="0" w:color="BFBFBF"/>
            </w:tcBorders>
            <w:vAlign w:val="center"/>
            <w:hideMark/>
          </w:tcPr>
          <w:p w:rsidR="00BB24BD" w:rsidRPr="00BB24BD" w:rsidRDefault="00BB24BD" w:rsidP="0045399A">
            <w:pPr>
              <w:spacing w:after="0"/>
              <w:rPr>
                <w:rFonts w:ascii="Calibri" w:eastAsia="Times New Roman" w:hAnsi="Calibri" w:cs="Times New Roman"/>
                <w:color w:val="000000"/>
                <w:sz w:val="20"/>
                <w:szCs w:val="20"/>
              </w:rPr>
            </w:pPr>
          </w:p>
        </w:tc>
        <w:tc>
          <w:tcPr>
            <w:tcW w:w="701"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573DAD" w:rsidP="0045399A">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17</w:t>
            </w:r>
          </w:p>
        </w:tc>
        <w:tc>
          <w:tcPr>
            <w:tcW w:w="801" w:type="pct"/>
            <w:vMerge/>
            <w:tcBorders>
              <w:top w:val="single" w:sz="4" w:space="0" w:color="BFBFBF"/>
              <w:left w:val="single" w:sz="4" w:space="0" w:color="BFBFBF"/>
              <w:bottom w:val="single" w:sz="4" w:space="0" w:color="BFBFBF"/>
              <w:right w:val="single" w:sz="4" w:space="0" w:color="BFBFBF"/>
            </w:tcBorders>
            <w:vAlign w:val="center"/>
            <w:hideMark/>
          </w:tcPr>
          <w:p w:rsidR="00BB24BD" w:rsidRPr="00BB24BD" w:rsidRDefault="00BB24BD" w:rsidP="0045399A">
            <w:pPr>
              <w:spacing w:after="0"/>
              <w:rPr>
                <w:rFonts w:ascii="Calibri" w:eastAsia="Times New Roman" w:hAnsi="Calibri" w:cs="Times New Roman"/>
                <w:color w:val="000000"/>
                <w:sz w:val="20"/>
                <w:szCs w:val="20"/>
              </w:rPr>
            </w:pPr>
          </w:p>
        </w:tc>
        <w:tc>
          <w:tcPr>
            <w:tcW w:w="70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jc w:val="right"/>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27</w:t>
            </w:r>
          </w:p>
        </w:tc>
      </w:tr>
      <w:tr w:rsidR="00BB24BD" w:rsidRPr="00BB24BD" w:rsidTr="0045399A">
        <w:tc>
          <w:tcPr>
            <w:tcW w:w="609" w:type="pct"/>
            <w:vMerge/>
            <w:tcBorders>
              <w:top w:val="single" w:sz="4" w:space="0" w:color="BFBFBF"/>
              <w:left w:val="single" w:sz="4" w:space="0" w:color="BFBFBF"/>
              <w:bottom w:val="single" w:sz="4" w:space="0" w:color="BFBFBF"/>
              <w:right w:val="single" w:sz="4" w:space="0" w:color="BFBFBF"/>
            </w:tcBorders>
            <w:vAlign w:val="center"/>
            <w:hideMark/>
          </w:tcPr>
          <w:p w:rsidR="00BB24BD" w:rsidRPr="00BB24BD" w:rsidRDefault="00BB24BD" w:rsidP="0045399A">
            <w:pPr>
              <w:spacing w:after="0"/>
              <w:rPr>
                <w:rFonts w:ascii="Calibri" w:eastAsia="Times New Roman" w:hAnsi="Calibri" w:cs="Times New Roman"/>
                <w:color w:val="000000"/>
                <w:sz w:val="20"/>
                <w:szCs w:val="20"/>
              </w:rPr>
            </w:pPr>
          </w:p>
        </w:tc>
        <w:tc>
          <w:tcPr>
            <w:tcW w:w="771"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Windows</w:t>
            </w:r>
          </w:p>
        </w:tc>
        <w:tc>
          <w:tcPr>
            <w:tcW w:w="61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jc w:val="right"/>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23</w:t>
            </w:r>
          </w:p>
        </w:tc>
        <w:tc>
          <w:tcPr>
            <w:tcW w:w="801" w:type="pct"/>
            <w:vMerge/>
            <w:tcBorders>
              <w:top w:val="single" w:sz="4" w:space="0" w:color="BFBFBF"/>
              <w:left w:val="single" w:sz="4" w:space="0" w:color="BFBFBF"/>
              <w:bottom w:val="single" w:sz="4" w:space="0" w:color="BFBFBF"/>
              <w:right w:val="single" w:sz="4" w:space="0" w:color="BFBFBF"/>
            </w:tcBorders>
            <w:vAlign w:val="center"/>
            <w:hideMark/>
          </w:tcPr>
          <w:p w:rsidR="00BB24BD" w:rsidRPr="00BB24BD" w:rsidRDefault="00BB24BD" w:rsidP="0045399A">
            <w:pPr>
              <w:spacing w:after="0"/>
              <w:rPr>
                <w:rFonts w:ascii="Calibri" w:eastAsia="Times New Roman" w:hAnsi="Calibri" w:cs="Times New Roman"/>
                <w:color w:val="000000"/>
                <w:sz w:val="20"/>
                <w:szCs w:val="20"/>
              </w:rPr>
            </w:pPr>
          </w:p>
        </w:tc>
        <w:tc>
          <w:tcPr>
            <w:tcW w:w="701"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573DAD" w:rsidP="0045399A">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17</w:t>
            </w:r>
          </w:p>
        </w:tc>
        <w:tc>
          <w:tcPr>
            <w:tcW w:w="801" w:type="pct"/>
            <w:vMerge/>
            <w:tcBorders>
              <w:top w:val="single" w:sz="4" w:space="0" w:color="BFBFBF"/>
              <w:left w:val="single" w:sz="4" w:space="0" w:color="BFBFBF"/>
              <w:bottom w:val="single" w:sz="4" w:space="0" w:color="BFBFBF"/>
              <w:right w:val="single" w:sz="4" w:space="0" w:color="BFBFBF"/>
            </w:tcBorders>
            <w:vAlign w:val="center"/>
            <w:hideMark/>
          </w:tcPr>
          <w:p w:rsidR="00BB24BD" w:rsidRPr="00BB24BD" w:rsidRDefault="00BB24BD" w:rsidP="0045399A">
            <w:pPr>
              <w:spacing w:after="0"/>
              <w:rPr>
                <w:rFonts w:ascii="Calibri" w:eastAsia="Times New Roman" w:hAnsi="Calibri" w:cs="Times New Roman"/>
                <w:color w:val="000000"/>
                <w:sz w:val="20"/>
                <w:szCs w:val="20"/>
              </w:rPr>
            </w:pPr>
          </w:p>
        </w:tc>
        <w:tc>
          <w:tcPr>
            <w:tcW w:w="70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jc w:val="right"/>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26</w:t>
            </w:r>
          </w:p>
        </w:tc>
      </w:tr>
      <w:tr w:rsidR="00BB24BD" w:rsidRPr="00BB24BD" w:rsidTr="0045399A">
        <w:tc>
          <w:tcPr>
            <w:tcW w:w="609" w:type="pct"/>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DHW</w:t>
            </w:r>
          </w:p>
        </w:tc>
        <w:tc>
          <w:tcPr>
            <w:tcW w:w="771"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Showerhead</w:t>
            </w:r>
          </w:p>
        </w:tc>
        <w:tc>
          <w:tcPr>
            <w:tcW w:w="61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jc w:val="right"/>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7.4</w:t>
            </w:r>
          </w:p>
        </w:tc>
        <w:tc>
          <w:tcPr>
            <w:tcW w:w="801" w:type="pct"/>
            <w:vMerge/>
            <w:tcBorders>
              <w:top w:val="single" w:sz="4" w:space="0" w:color="BFBFBF"/>
              <w:left w:val="single" w:sz="4" w:space="0" w:color="BFBFBF"/>
              <w:bottom w:val="single" w:sz="4" w:space="0" w:color="BFBFBF"/>
              <w:right w:val="single" w:sz="4" w:space="0" w:color="BFBFBF"/>
            </w:tcBorders>
            <w:vAlign w:val="center"/>
            <w:hideMark/>
          </w:tcPr>
          <w:p w:rsidR="00BB24BD" w:rsidRPr="00BB24BD" w:rsidRDefault="00BB24BD" w:rsidP="0045399A">
            <w:pPr>
              <w:spacing w:after="0"/>
              <w:rPr>
                <w:rFonts w:ascii="Calibri" w:eastAsia="Times New Roman" w:hAnsi="Calibri" w:cs="Times New Roman"/>
                <w:color w:val="000000"/>
                <w:sz w:val="20"/>
                <w:szCs w:val="20"/>
              </w:rPr>
            </w:pPr>
          </w:p>
        </w:tc>
        <w:tc>
          <w:tcPr>
            <w:tcW w:w="701"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jc w:val="right"/>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5.5</w:t>
            </w:r>
          </w:p>
        </w:tc>
        <w:tc>
          <w:tcPr>
            <w:tcW w:w="801" w:type="pct"/>
            <w:vMerge/>
            <w:tcBorders>
              <w:top w:val="single" w:sz="4" w:space="0" w:color="BFBFBF"/>
              <w:left w:val="single" w:sz="4" w:space="0" w:color="BFBFBF"/>
              <w:bottom w:val="single" w:sz="4" w:space="0" w:color="BFBFBF"/>
              <w:right w:val="single" w:sz="4" w:space="0" w:color="BFBFBF"/>
            </w:tcBorders>
            <w:vAlign w:val="center"/>
            <w:hideMark/>
          </w:tcPr>
          <w:p w:rsidR="00BB24BD" w:rsidRPr="00BB24BD" w:rsidRDefault="00BB24BD" w:rsidP="0045399A">
            <w:pPr>
              <w:spacing w:after="0"/>
              <w:rPr>
                <w:rFonts w:ascii="Calibri" w:eastAsia="Times New Roman" w:hAnsi="Calibri" w:cs="Times New Roman"/>
                <w:color w:val="000000"/>
                <w:sz w:val="20"/>
                <w:szCs w:val="20"/>
              </w:rPr>
            </w:pPr>
          </w:p>
        </w:tc>
        <w:tc>
          <w:tcPr>
            <w:tcW w:w="70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jc w:val="right"/>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8.4</w:t>
            </w:r>
          </w:p>
        </w:tc>
      </w:tr>
      <w:tr w:rsidR="00BB24BD" w:rsidRPr="00BB24BD" w:rsidTr="0045399A">
        <w:tc>
          <w:tcPr>
            <w:tcW w:w="609" w:type="pct"/>
            <w:vMerge/>
            <w:tcBorders>
              <w:top w:val="single" w:sz="4" w:space="0" w:color="BFBFBF"/>
              <w:left w:val="single" w:sz="4" w:space="0" w:color="BFBFBF"/>
              <w:bottom w:val="single" w:sz="4" w:space="0" w:color="BFBFBF"/>
              <w:right w:val="single" w:sz="4" w:space="0" w:color="BFBFBF"/>
            </w:tcBorders>
            <w:vAlign w:val="center"/>
            <w:hideMark/>
          </w:tcPr>
          <w:p w:rsidR="00BB24BD" w:rsidRPr="00BB24BD" w:rsidRDefault="00BB24BD" w:rsidP="0045399A">
            <w:pPr>
              <w:spacing w:after="0"/>
              <w:rPr>
                <w:rFonts w:ascii="Calibri" w:eastAsia="Times New Roman" w:hAnsi="Calibri" w:cs="Times New Roman"/>
                <w:color w:val="000000"/>
                <w:sz w:val="20"/>
                <w:szCs w:val="20"/>
              </w:rPr>
            </w:pPr>
          </w:p>
        </w:tc>
        <w:tc>
          <w:tcPr>
            <w:tcW w:w="771"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Faucet Aerators</w:t>
            </w:r>
          </w:p>
        </w:tc>
        <w:tc>
          <w:tcPr>
            <w:tcW w:w="61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jc w:val="right"/>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3.0</w:t>
            </w:r>
          </w:p>
        </w:tc>
        <w:tc>
          <w:tcPr>
            <w:tcW w:w="801" w:type="pct"/>
            <w:vMerge/>
            <w:tcBorders>
              <w:top w:val="single" w:sz="4" w:space="0" w:color="BFBFBF"/>
              <w:left w:val="single" w:sz="4" w:space="0" w:color="BFBFBF"/>
              <w:bottom w:val="single" w:sz="4" w:space="0" w:color="BFBFBF"/>
              <w:right w:val="single" w:sz="4" w:space="0" w:color="BFBFBF"/>
            </w:tcBorders>
            <w:vAlign w:val="center"/>
            <w:hideMark/>
          </w:tcPr>
          <w:p w:rsidR="00BB24BD" w:rsidRPr="00BB24BD" w:rsidRDefault="00BB24BD" w:rsidP="0045399A">
            <w:pPr>
              <w:spacing w:after="0"/>
              <w:rPr>
                <w:rFonts w:ascii="Calibri" w:eastAsia="Times New Roman" w:hAnsi="Calibri" w:cs="Times New Roman"/>
                <w:color w:val="000000"/>
                <w:sz w:val="20"/>
                <w:szCs w:val="20"/>
              </w:rPr>
            </w:pPr>
          </w:p>
        </w:tc>
        <w:tc>
          <w:tcPr>
            <w:tcW w:w="701"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jc w:val="right"/>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2.2</w:t>
            </w:r>
          </w:p>
        </w:tc>
        <w:tc>
          <w:tcPr>
            <w:tcW w:w="801" w:type="pct"/>
            <w:vMerge/>
            <w:tcBorders>
              <w:top w:val="single" w:sz="4" w:space="0" w:color="BFBFBF"/>
              <w:left w:val="single" w:sz="4" w:space="0" w:color="BFBFBF"/>
              <w:bottom w:val="single" w:sz="4" w:space="0" w:color="BFBFBF"/>
              <w:right w:val="single" w:sz="4" w:space="0" w:color="BFBFBF"/>
            </w:tcBorders>
            <w:vAlign w:val="center"/>
            <w:hideMark/>
          </w:tcPr>
          <w:p w:rsidR="00BB24BD" w:rsidRPr="00BB24BD" w:rsidRDefault="00BB24BD" w:rsidP="0045399A">
            <w:pPr>
              <w:spacing w:after="0"/>
              <w:rPr>
                <w:rFonts w:ascii="Calibri" w:eastAsia="Times New Roman" w:hAnsi="Calibri" w:cs="Times New Roman"/>
                <w:color w:val="000000"/>
                <w:sz w:val="20"/>
                <w:szCs w:val="20"/>
              </w:rPr>
            </w:pPr>
          </w:p>
        </w:tc>
        <w:tc>
          <w:tcPr>
            <w:tcW w:w="70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jc w:val="right"/>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3.4</w:t>
            </w:r>
          </w:p>
        </w:tc>
      </w:tr>
      <w:tr w:rsidR="00BB24BD" w:rsidRPr="00BB24BD" w:rsidTr="0045399A">
        <w:tc>
          <w:tcPr>
            <w:tcW w:w="609" w:type="pct"/>
            <w:vMerge/>
            <w:tcBorders>
              <w:top w:val="single" w:sz="4" w:space="0" w:color="BFBFBF"/>
              <w:left w:val="single" w:sz="4" w:space="0" w:color="BFBFBF"/>
              <w:bottom w:val="single" w:sz="4" w:space="0" w:color="BFBFBF"/>
              <w:right w:val="single" w:sz="4" w:space="0" w:color="BFBFBF"/>
            </w:tcBorders>
            <w:vAlign w:val="center"/>
            <w:hideMark/>
          </w:tcPr>
          <w:p w:rsidR="00BB24BD" w:rsidRPr="00BB24BD" w:rsidRDefault="00BB24BD" w:rsidP="0045399A">
            <w:pPr>
              <w:spacing w:after="0"/>
              <w:rPr>
                <w:rFonts w:ascii="Calibri" w:eastAsia="Times New Roman" w:hAnsi="Calibri" w:cs="Times New Roman"/>
                <w:color w:val="000000"/>
                <w:sz w:val="20"/>
                <w:szCs w:val="20"/>
              </w:rPr>
            </w:pPr>
          </w:p>
        </w:tc>
        <w:tc>
          <w:tcPr>
            <w:tcW w:w="771"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Pipe Insulation</w:t>
            </w:r>
          </w:p>
        </w:tc>
        <w:tc>
          <w:tcPr>
            <w:tcW w:w="61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jc w:val="right"/>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3.0</w:t>
            </w:r>
          </w:p>
        </w:tc>
        <w:tc>
          <w:tcPr>
            <w:tcW w:w="801" w:type="pct"/>
            <w:vMerge/>
            <w:tcBorders>
              <w:top w:val="single" w:sz="4" w:space="0" w:color="BFBFBF"/>
              <w:left w:val="single" w:sz="4" w:space="0" w:color="BFBFBF"/>
              <w:bottom w:val="single" w:sz="4" w:space="0" w:color="BFBFBF"/>
              <w:right w:val="single" w:sz="4" w:space="0" w:color="BFBFBF"/>
            </w:tcBorders>
            <w:vAlign w:val="center"/>
            <w:hideMark/>
          </w:tcPr>
          <w:p w:rsidR="00BB24BD" w:rsidRPr="00BB24BD" w:rsidRDefault="00BB24BD" w:rsidP="0045399A">
            <w:pPr>
              <w:spacing w:after="0"/>
              <w:rPr>
                <w:rFonts w:ascii="Calibri" w:eastAsia="Times New Roman" w:hAnsi="Calibri" w:cs="Times New Roman"/>
                <w:color w:val="000000"/>
                <w:sz w:val="20"/>
                <w:szCs w:val="20"/>
              </w:rPr>
            </w:pPr>
          </w:p>
        </w:tc>
        <w:tc>
          <w:tcPr>
            <w:tcW w:w="701"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jc w:val="right"/>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2.2</w:t>
            </w:r>
          </w:p>
        </w:tc>
        <w:tc>
          <w:tcPr>
            <w:tcW w:w="801" w:type="pct"/>
            <w:vMerge/>
            <w:tcBorders>
              <w:top w:val="single" w:sz="4" w:space="0" w:color="BFBFBF"/>
              <w:left w:val="single" w:sz="4" w:space="0" w:color="BFBFBF"/>
              <w:bottom w:val="single" w:sz="4" w:space="0" w:color="BFBFBF"/>
              <w:right w:val="single" w:sz="4" w:space="0" w:color="BFBFBF"/>
            </w:tcBorders>
            <w:vAlign w:val="center"/>
            <w:hideMark/>
          </w:tcPr>
          <w:p w:rsidR="00BB24BD" w:rsidRPr="00BB24BD" w:rsidRDefault="00BB24BD" w:rsidP="0045399A">
            <w:pPr>
              <w:spacing w:after="0"/>
              <w:rPr>
                <w:rFonts w:ascii="Calibri" w:eastAsia="Times New Roman" w:hAnsi="Calibri" w:cs="Times New Roman"/>
                <w:color w:val="000000"/>
                <w:sz w:val="20"/>
                <w:szCs w:val="20"/>
              </w:rPr>
            </w:pPr>
          </w:p>
        </w:tc>
        <w:tc>
          <w:tcPr>
            <w:tcW w:w="70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jc w:val="right"/>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3.4</w:t>
            </w:r>
          </w:p>
        </w:tc>
      </w:tr>
      <w:tr w:rsidR="00BB24BD" w:rsidRPr="00BB24BD" w:rsidTr="0045399A">
        <w:tc>
          <w:tcPr>
            <w:tcW w:w="609" w:type="pct"/>
            <w:vMerge/>
            <w:tcBorders>
              <w:top w:val="single" w:sz="4" w:space="0" w:color="BFBFBF"/>
              <w:left w:val="single" w:sz="4" w:space="0" w:color="BFBFBF"/>
              <w:bottom w:val="single" w:sz="4" w:space="0" w:color="BFBFBF"/>
              <w:right w:val="single" w:sz="4" w:space="0" w:color="BFBFBF"/>
            </w:tcBorders>
            <w:vAlign w:val="center"/>
            <w:hideMark/>
          </w:tcPr>
          <w:p w:rsidR="00BB24BD" w:rsidRPr="00BB24BD" w:rsidRDefault="00BB24BD" w:rsidP="0045399A">
            <w:pPr>
              <w:spacing w:after="0"/>
              <w:rPr>
                <w:rFonts w:ascii="Calibri" w:eastAsia="Times New Roman" w:hAnsi="Calibri" w:cs="Times New Roman"/>
                <w:color w:val="000000"/>
                <w:sz w:val="20"/>
                <w:szCs w:val="20"/>
              </w:rPr>
            </w:pPr>
          </w:p>
        </w:tc>
        <w:tc>
          <w:tcPr>
            <w:tcW w:w="771"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Water Heater Temp Setback</w:t>
            </w:r>
          </w:p>
        </w:tc>
        <w:tc>
          <w:tcPr>
            <w:tcW w:w="61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jc w:val="right"/>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4.0</w:t>
            </w:r>
          </w:p>
        </w:tc>
        <w:tc>
          <w:tcPr>
            <w:tcW w:w="801" w:type="pct"/>
            <w:vMerge/>
            <w:tcBorders>
              <w:top w:val="single" w:sz="4" w:space="0" w:color="BFBFBF"/>
              <w:left w:val="single" w:sz="4" w:space="0" w:color="BFBFBF"/>
              <w:bottom w:val="single" w:sz="4" w:space="0" w:color="BFBFBF"/>
              <w:right w:val="single" w:sz="4" w:space="0" w:color="BFBFBF"/>
            </w:tcBorders>
            <w:vAlign w:val="center"/>
            <w:hideMark/>
          </w:tcPr>
          <w:p w:rsidR="00BB24BD" w:rsidRPr="00BB24BD" w:rsidRDefault="00BB24BD" w:rsidP="0045399A">
            <w:pPr>
              <w:spacing w:after="0"/>
              <w:rPr>
                <w:rFonts w:ascii="Calibri" w:eastAsia="Times New Roman" w:hAnsi="Calibri" w:cs="Times New Roman"/>
                <w:color w:val="000000"/>
                <w:sz w:val="20"/>
                <w:szCs w:val="20"/>
              </w:rPr>
            </w:pPr>
          </w:p>
        </w:tc>
        <w:tc>
          <w:tcPr>
            <w:tcW w:w="701"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jc w:val="right"/>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2.9</w:t>
            </w:r>
          </w:p>
        </w:tc>
        <w:tc>
          <w:tcPr>
            <w:tcW w:w="801" w:type="pct"/>
            <w:vMerge/>
            <w:tcBorders>
              <w:top w:val="single" w:sz="4" w:space="0" w:color="BFBFBF"/>
              <w:left w:val="single" w:sz="4" w:space="0" w:color="BFBFBF"/>
              <w:bottom w:val="single" w:sz="4" w:space="0" w:color="BFBFBF"/>
              <w:right w:val="single" w:sz="4" w:space="0" w:color="BFBFBF"/>
            </w:tcBorders>
            <w:vAlign w:val="center"/>
            <w:hideMark/>
          </w:tcPr>
          <w:p w:rsidR="00BB24BD" w:rsidRPr="00BB24BD" w:rsidRDefault="00BB24BD" w:rsidP="0045399A">
            <w:pPr>
              <w:spacing w:after="0"/>
              <w:rPr>
                <w:rFonts w:ascii="Calibri" w:eastAsia="Times New Roman" w:hAnsi="Calibri" w:cs="Times New Roman"/>
                <w:color w:val="000000"/>
                <w:sz w:val="20"/>
                <w:szCs w:val="20"/>
              </w:rPr>
            </w:pPr>
          </w:p>
        </w:tc>
        <w:tc>
          <w:tcPr>
            <w:tcW w:w="70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jc w:val="right"/>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4.5</w:t>
            </w:r>
          </w:p>
        </w:tc>
      </w:tr>
      <w:tr w:rsidR="00BB24BD" w:rsidRPr="00BB24BD" w:rsidTr="0045399A">
        <w:tc>
          <w:tcPr>
            <w:tcW w:w="609"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HVAC</w:t>
            </w:r>
          </w:p>
        </w:tc>
        <w:tc>
          <w:tcPr>
            <w:tcW w:w="771"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Heating System Replacement</w:t>
            </w:r>
          </w:p>
        </w:tc>
        <w:tc>
          <w:tcPr>
            <w:tcW w:w="61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jc w:val="right"/>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107</w:t>
            </w:r>
          </w:p>
        </w:tc>
        <w:tc>
          <w:tcPr>
            <w:tcW w:w="801" w:type="pct"/>
            <w:vMerge/>
            <w:tcBorders>
              <w:top w:val="single" w:sz="4" w:space="0" w:color="BFBFBF"/>
              <w:left w:val="single" w:sz="4" w:space="0" w:color="BFBFBF"/>
              <w:bottom w:val="single" w:sz="4" w:space="0" w:color="BFBFBF"/>
              <w:right w:val="single" w:sz="4" w:space="0" w:color="BFBFBF"/>
            </w:tcBorders>
            <w:vAlign w:val="center"/>
            <w:hideMark/>
          </w:tcPr>
          <w:p w:rsidR="00BB24BD" w:rsidRPr="00BB24BD" w:rsidRDefault="00BB24BD" w:rsidP="0045399A">
            <w:pPr>
              <w:spacing w:after="0"/>
              <w:rPr>
                <w:rFonts w:ascii="Calibri" w:eastAsia="Times New Roman" w:hAnsi="Calibri" w:cs="Times New Roman"/>
                <w:color w:val="000000"/>
                <w:sz w:val="20"/>
                <w:szCs w:val="20"/>
              </w:rPr>
            </w:pPr>
          </w:p>
        </w:tc>
        <w:tc>
          <w:tcPr>
            <w:tcW w:w="701"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573DAD" w:rsidP="000B1333">
            <w:pPr>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w:t>
            </w:r>
            <w:r w:rsidR="000B1333">
              <w:rPr>
                <w:rFonts w:ascii="Calibri" w:eastAsia="Times New Roman" w:hAnsi="Calibri" w:cs="Times New Roman"/>
                <w:color w:val="000000"/>
                <w:sz w:val="20"/>
                <w:szCs w:val="20"/>
              </w:rPr>
              <w:t>8</w:t>
            </w:r>
          </w:p>
        </w:tc>
        <w:tc>
          <w:tcPr>
            <w:tcW w:w="801" w:type="pct"/>
            <w:vMerge/>
            <w:tcBorders>
              <w:top w:val="single" w:sz="4" w:space="0" w:color="BFBFBF"/>
              <w:left w:val="single" w:sz="4" w:space="0" w:color="BFBFBF"/>
              <w:bottom w:val="single" w:sz="4" w:space="0" w:color="BFBFBF"/>
              <w:right w:val="single" w:sz="4" w:space="0" w:color="BFBFBF"/>
            </w:tcBorders>
            <w:vAlign w:val="center"/>
            <w:hideMark/>
          </w:tcPr>
          <w:p w:rsidR="00BB24BD" w:rsidRPr="00BB24BD" w:rsidRDefault="00BB24BD" w:rsidP="0045399A">
            <w:pPr>
              <w:spacing w:after="0"/>
              <w:rPr>
                <w:rFonts w:ascii="Calibri" w:eastAsia="Times New Roman" w:hAnsi="Calibri" w:cs="Times New Roman"/>
                <w:color w:val="000000"/>
                <w:sz w:val="20"/>
                <w:szCs w:val="20"/>
              </w:rPr>
            </w:pPr>
          </w:p>
        </w:tc>
        <w:tc>
          <w:tcPr>
            <w:tcW w:w="700"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BB24BD" w:rsidRPr="00BB24BD" w:rsidRDefault="00BB24BD" w:rsidP="0045399A">
            <w:pPr>
              <w:spacing w:after="0"/>
              <w:jc w:val="right"/>
              <w:rPr>
                <w:rFonts w:ascii="Calibri" w:eastAsia="Times New Roman" w:hAnsi="Calibri" w:cs="Times New Roman"/>
                <w:color w:val="000000"/>
                <w:sz w:val="20"/>
                <w:szCs w:val="20"/>
              </w:rPr>
            </w:pPr>
            <w:r w:rsidRPr="00BB24BD">
              <w:rPr>
                <w:rFonts w:ascii="Calibri" w:eastAsia="Times New Roman" w:hAnsi="Calibri" w:cs="Times New Roman"/>
                <w:color w:val="000000"/>
                <w:sz w:val="20"/>
                <w:szCs w:val="20"/>
              </w:rPr>
              <w:t>121</w:t>
            </w:r>
          </w:p>
        </w:tc>
      </w:tr>
      <w:tr w:rsidR="00573DAD" w:rsidRPr="00C46F61" w:rsidTr="0045399A">
        <w:trPr>
          <w:trHeight w:val="300"/>
        </w:trPr>
        <w:tc>
          <w:tcPr>
            <w:tcW w:w="5000" w:type="pct"/>
            <w:gridSpan w:val="7"/>
            <w:tcBorders>
              <w:top w:val="single" w:sz="4" w:space="0" w:color="BFBFBF"/>
              <w:left w:val="nil"/>
              <w:bottom w:val="nil"/>
              <w:right w:val="nil"/>
            </w:tcBorders>
            <w:shd w:val="clear" w:color="auto" w:fill="auto"/>
            <w:noWrap/>
            <w:vAlign w:val="center"/>
            <w:hideMark/>
          </w:tcPr>
          <w:p w:rsidR="00573DAD" w:rsidRPr="00C46F61" w:rsidRDefault="00573DAD" w:rsidP="00F24022">
            <w:pPr>
              <w:spacing w:after="0" w:line="240" w:lineRule="auto"/>
              <w:ind w:left="90" w:hanging="90"/>
              <w:rPr>
                <w:rFonts w:ascii="Calibri" w:eastAsia="Times New Roman" w:hAnsi="Calibri" w:cs="Times New Roman"/>
                <w:color w:val="000000"/>
                <w:sz w:val="20"/>
                <w:szCs w:val="20"/>
              </w:rPr>
            </w:pPr>
            <w:r w:rsidRPr="00C46F61">
              <w:rPr>
                <w:rFonts w:ascii="Calibri" w:eastAsia="Times New Roman" w:hAnsi="Calibri" w:cs="Times New Roman"/>
                <w:color w:val="000000"/>
                <w:sz w:val="20"/>
                <w:szCs w:val="20"/>
              </w:rPr>
              <w:t>*</w:t>
            </w:r>
            <w:r>
              <w:rPr>
                <w:rFonts w:ascii="Calibri" w:eastAsia="Times New Roman" w:hAnsi="Calibri" w:cs="Times New Roman"/>
                <w:color w:val="000000"/>
                <w:sz w:val="20"/>
                <w:szCs w:val="20"/>
              </w:rPr>
              <w:t xml:space="preserve">Measure savings </w:t>
            </w:r>
            <w:r w:rsidRPr="00365D20">
              <w:rPr>
                <w:rFonts w:ascii="Calibri" w:eastAsia="Times New Roman" w:hAnsi="Calibri" w:cs="Times New Roman"/>
                <w:color w:val="000000"/>
                <w:sz w:val="20"/>
                <w:szCs w:val="20"/>
              </w:rPr>
              <w:t>estimated using simulation models have been reweighted</w:t>
            </w:r>
            <w:r w:rsidR="005A3B14">
              <w:rPr>
                <w:rFonts w:ascii="Calibri" w:eastAsia="Times New Roman" w:hAnsi="Calibri" w:cs="Times New Roman"/>
                <w:color w:val="000000"/>
                <w:sz w:val="20"/>
                <w:szCs w:val="20"/>
              </w:rPr>
              <w:t>,</w:t>
            </w:r>
            <w:r w:rsidRPr="00365D20">
              <w:rPr>
                <w:rFonts w:ascii="Calibri" w:eastAsia="Times New Roman" w:hAnsi="Calibri" w:cs="Times New Roman"/>
                <w:color w:val="000000"/>
                <w:sz w:val="20"/>
                <w:szCs w:val="20"/>
              </w:rPr>
              <w:t xml:space="preserve"> based on the average distribution of building types for oil and propane-heated populations, respectively</w:t>
            </w:r>
            <w:r>
              <w:rPr>
                <w:rFonts w:ascii="Calibri" w:eastAsia="Times New Roman" w:hAnsi="Calibri" w:cs="Times New Roman"/>
                <w:color w:val="000000"/>
                <w:sz w:val="20"/>
                <w:szCs w:val="20"/>
              </w:rPr>
              <w:t>.</w:t>
            </w:r>
          </w:p>
        </w:tc>
      </w:tr>
      <w:tr w:rsidR="00573DAD" w:rsidRPr="00C46F61" w:rsidTr="002F1D9E">
        <w:trPr>
          <w:trHeight w:val="300"/>
        </w:trPr>
        <w:tc>
          <w:tcPr>
            <w:tcW w:w="5000" w:type="pct"/>
            <w:gridSpan w:val="7"/>
            <w:tcBorders>
              <w:top w:val="nil"/>
              <w:left w:val="nil"/>
              <w:bottom w:val="nil"/>
              <w:right w:val="nil"/>
            </w:tcBorders>
            <w:shd w:val="clear" w:color="auto" w:fill="auto"/>
            <w:noWrap/>
            <w:vAlign w:val="center"/>
            <w:hideMark/>
          </w:tcPr>
          <w:p w:rsidR="00573DAD" w:rsidRPr="00C46F61" w:rsidRDefault="00573DAD" w:rsidP="000B1333">
            <w:pPr>
              <w:spacing w:after="0" w:line="240" w:lineRule="auto"/>
              <w:ind w:left="180" w:hanging="180"/>
              <w:rPr>
                <w:rFonts w:ascii="Calibri" w:eastAsia="Times New Roman" w:hAnsi="Calibri" w:cs="Times New Roman"/>
                <w:color w:val="000000"/>
                <w:sz w:val="20"/>
                <w:szCs w:val="20"/>
              </w:rPr>
            </w:pPr>
            <w:r w:rsidRPr="00C46F61">
              <w:rPr>
                <w:rFonts w:ascii="Calibri" w:eastAsia="Times New Roman" w:hAnsi="Calibri" w:cs="Times New Roman"/>
                <w:color w:val="000000"/>
                <w:sz w:val="20"/>
                <w:szCs w:val="20"/>
              </w:rPr>
              <w:t>*</w:t>
            </w:r>
            <w:r>
              <w:rPr>
                <w:rFonts w:ascii="Calibri" w:eastAsia="Times New Roman" w:hAnsi="Calibri" w:cs="Times New Roman"/>
                <w:color w:val="000000"/>
                <w:sz w:val="20"/>
                <w:szCs w:val="20"/>
              </w:rPr>
              <w:t>*Due to differences in standard efficiencies between oil and natural gas heating systems (assuming</w:t>
            </w:r>
            <w:r w:rsidR="006401CF">
              <w:rPr>
                <w:rFonts w:ascii="Calibri" w:eastAsia="Times New Roman" w:hAnsi="Calibri" w:cs="Times New Roman"/>
                <w:color w:val="000000"/>
                <w:sz w:val="20"/>
                <w:szCs w:val="20"/>
              </w:rPr>
              <w:t xml:space="preserve"> </w:t>
            </w:r>
            <w:r>
              <w:rPr>
                <w:rFonts w:ascii="Calibri" w:eastAsia="Times New Roman" w:hAnsi="Calibri" w:cs="Times New Roman"/>
                <w:color w:val="000000"/>
                <w:sz w:val="20"/>
                <w:szCs w:val="20"/>
              </w:rPr>
              <w:t>baseline AFUE of 80 and 78, respectively), converted oil savings for shell, duct, and heating system replacement measures have been adjusted accordingly.</w:t>
            </w:r>
          </w:p>
        </w:tc>
      </w:tr>
    </w:tbl>
    <w:p w:rsidR="00BB24BD" w:rsidRPr="00BB24BD" w:rsidRDefault="00BB24BD" w:rsidP="00F24022">
      <w:pPr>
        <w:pStyle w:val="NormalAfterTablesandFigures"/>
      </w:pPr>
    </w:p>
    <w:p w:rsidR="001C38A5" w:rsidRDefault="001C38A5" w:rsidP="00EF2F58">
      <w:pPr>
        <w:jc w:val="center"/>
      </w:pPr>
    </w:p>
    <w:p w:rsidR="001C38A5" w:rsidRDefault="001C38A5" w:rsidP="00EF2F58">
      <w:pPr>
        <w:jc w:val="center"/>
        <w:sectPr w:rsidR="001C38A5">
          <w:footerReference w:type="even" r:id="rId32"/>
          <w:footerReference w:type="default" r:id="rId33"/>
          <w:pgSz w:w="12240" w:h="15840"/>
          <w:pgMar w:top="1440" w:right="1440" w:bottom="1440" w:left="1440" w:header="720" w:footer="720" w:gutter="0"/>
          <w:cols w:space="720"/>
          <w:docGrid w:linePitch="360"/>
        </w:sectPr>
      </w:pPr>
    </w:p>
    <w:p w:rsidR="003329CE" w:rsidRDefault="003329CE" w:rsidP="003329CE">
      <w:pPr>
        <w:pStyle w:val="Heading1"/>
      </w:pPr>
      <w:bookmarkStart w:id="121" w:name="_Toc389663849"/>
      <w:r>
        <w:lastRenderedPageBreak/>
        <w:t>HES-IE Subprogram</w:t>
      </w:r>
      <w:r w:rsidR="00DD62D1">
        <w:t xml:space="preserve">s 1 </w:t>
      </w:r>
      <w:r w:rsidR="00237DEE">
        <w:t>and</w:t>
      </w:r>
      <w:r w:rsidR="00DD62D1">
        <w:t xml:space="preserve"> 4</w:t>
      </w:r>
      <w:r w:rsidR="00237DEE">
        <w:t xml:space="preserve"> </w:t>
      </w:r>
      <w:r>
        <w:t>Analysis Findings</w:t>
      </w:r>
      <w:bookmarkEnd w:id="121"/>
    </w:p>
    <w:p w:rsidR="0000273D" w:rsidRPr="007D1DC8" w:rsidRDefault="0000273D" w:rsidP="0000273D">
      <w:pPr>
        <w:pStyle w:val="Heading2"/>
      </w:pPr>
      <w:bookmarkStart w:id="122" w:name="_Toc384193212"/>
      <w:bookmarkStart w:id="123" w:name="_Toc389663850"/>
      <w:r w:rsidRPr="007D1DC8">
        <w:t>Overall Results</w:t>
      </w:r>
      <w:bookmarkEnd w:id="122"/>
      <w:bookmarkEnd w:id="123"/>
    </w:p>
    <w:p w:rsidR="0000273D" w:rsidRPr="007D1DC8" w:rsidRDefault="0000273D" w:rsidP="0000273D">
      <w:pPr>
        <w:rPr>
          <w:lang w:eastAsia="ar-SA"/>
        </w:rPr>
      </w:pPr>
      <w:r w:rsidRPr="007D1DC8">
        <w:rPr>
          <w:lang w:eastAsia="ar-SA"/>
        </w:rPr>
        <w:t>This section presents evaluated savings estimates for the HES</w:t>
      </w:r>
      <w:r>
        <w:rPr>
          <w:lang w:eastAsia="ar-SA"/>
        </w:rPr>
        <w:t xml:space="preserve">-IE </w:t>
      </w:r>
      <w:r w:rsidR="004362A1">
        <w:rPr>
          <w:lang w:eastAsia="ar-SA"/>
        </w:rPr>
        <w:t>SP</w:t>
      </w:r>
      <w:r>
        <w:rPr>
          <w:lang w:eastAsia="ar-SA"/>
        </w:rPr>
        <w:t xml:space="preserve">1 and </w:t>
      </w:r>
      <w:r w:rsidR="002E016E">
        <w:rPr>
          <w:lang w:eastAsia="ar-SA"/>
        </w:rPr>
        <w:t>SP</w:t>
      </w:r>
      <w:r>
        <w:rPr>
          <w:lang w:eastAsia="ar-SA"/>
        </w:rPr>
        <w:t>4</w:t>
      </w:r>
      <w:r w:rsidRPr="007D1DC8">
        <w:rPr>
          <w:lang w:eastAsia="ar-SA"/>
        </w:rPr>
        <w:t>, covering electric</w:t>
      </w:r>
      <w:r w:rsidR="001C6D4C">
        <w:rPr>
          <w:lang w:eastAsia="ar-SA"/>
        </w:rPr>
        <w:t xml:space="preserve"> and</w:t>
      </w:r>
      <w:r w:rsidR="00A41FEC">
        <w:rPr>
          <w:lang w:eastAsia="ar-SA"/>
        </w:rPr>
        <w:t xml:space="preserve"> </w:t>
      </w:r>
      <w:r w:rsidRPr="007D1DC8">
        <w:rPr>
          <w:lang w:eastAsia="ar-SA"/>
        </w:rPr>
        <w:t>natural gas</w:t>
      </w:r>
      <w:r w:rsidR="001C6D4C">
        <w:rPr>
          <w:lang w:eastAsia="ar-SA"/>
        </w:rPr>
        <w:t xml:space="preserve"> impacts estimated using a whole-house billing analysis</w:t>
      </w:r>
      <w:r w:rsidRPr="007D1DC8">
        <w:rPr>
          <w:lang w:eastAsia="ar-SA"/>
        </w:rPr>
        <w:t xml:space="preserve">. The </w:t>
      </w:r>
      <w:r w:rsidR="0012068D">
        <w:rPr>
          <w:lang w:eastAsia="ar-SA"/>
        </w:rPr>
        <w:t xml:space="preserve">report groups </w:t>
      </w:r>
      <w:r w:rsidRPr="007D1DC8">
        <w:rPr>
          <w:lang w:eastAsia="ar-SA"/>
        </w:rPr>
        <w:t xml:space="preserve">results by fuel savings. </w:t>
      </w:r>
      <w:r w:rsidR="001C6D4C">
        <w:rPr>
          <w:lang w:eastAsia="ar-SA"/>
        </w:rPr>
        <w:t>S</w:t>
      </w:r>
      <w:r w:rsidRPr="007D1DC8">
        <w:rPr>
          <w:lang w:eastAsia="ar-SA"/>
        </w:rPr>
        <w:t xml:space="preserve">everal detailed tables help </w:t>
      </w:r>
      <w:r w:rsidR="00150AD4">
        <w:rPr>
          <w:lang w:eastAsia="ar-SA"/>
        </w:rPr>
        <w:t>present</w:t>
      </w:r>
      <w:r w:rsidR="00150AD4" w:rsidRPr="007D1DC8">
        <w:rPr>
          <w:lang w:eastAsia="ar-SA"/>
        </w:rPr>
        <w:t xml:space="preserve"> </w:t>
      </w:r>
      <w:r w:rsidRPr="007D1DC8">
        <w:rPr>
          <w:lang w:eastAsia="ar-SA"/>
        </w:rPr>
        <w:t>the evaluated impacts result</w:t>
      </w:r>
      <w:r w:rsidR="002A4335">
        <w:rPr>
          <w:lang w:eastAsia="ar-SA"/>
        </w:rPr>
        <w:t xml:space="preserve">ing from </w:t>
      </w:r>
      <w:r w:rsidRPr="007D1DC8">
        <w:rPr>
          <w:lang w:eastAsia="ar-SA"/>
        </w:rPr>
        <w:t xml:space="preserve">the billing analysis, including measure distributions and findings specific to distinct analysis samples included through modeling (e.g., by </w:t>
      </w:r>
      <w:r>
        <w:rPr>
          <w:lang w:eastAsia="ar-SA"/>
        </w:rPr>
        <w:t>household type</w:t>
      </w:r>
      <w:r w:rsidRPr="007D1DC8">
        <w:rPr>
          <w:lang w:eastAsia="ar-SA"/>
        </w:rPr>
        <w:t xml:space="preserve">, by building type). </w:t>
      </w:r>
    </w:p>
    <w:p w:rsidR="0000273D" w:rsidRPr="007D1DC8" w:rsidRDefault="002A4335" w:rsidP="0000273D">
      <w:pPr>
        <w:rPr>
          <w:lang w:eastAsia="ar-SA"/>
        </w:rPr>
      </w:pPr>
      <w:r>
        <w:rPr>
          <w:lang w:eastAsia="ar-SA"/>
        </w:rPr>
        <w:t>These results include w</w:t>
      </w:r>
      <w:r w:rsidR="0000273D" w:rsidRPr="007D1DC8">
        <w:rPr>
          <w:lang w:eastAsia="ar-SA"/>
        </w:rPr>
        <w:t xml:space="preserve">eather-normalized annual consumption in the pre-program period (PRENAC) to characterize average energy consumption of participant and comparison groups prior to program treatment. Additionally, consideration of program impacts in terms of savings as a percentage of pre-period usage (i.e., PRENAC) </w:t>
      </w:r>
      <w:r>
        <w:rPr>
          <w:lang w:eastAsia="ar-SA"/>
        </w:rPr>
        <w:t xml:space="preserve">provides </w:t>
      </w:r>
      <w:r w:rsidR="0000273D" w:rsidRPr="007D1DC8">
        <w:rPr>
          <w:lang w:eastAsia="ar-SA"/>
        </w:rPr>
        <w:t>a helpful metric for comparison purposes and for assessing the magnitude of program impacts</w:t>
      </w:r>
      <w:r>
        <w:rPr>
          <w:lang w:eastAsia="ar-SA"/>
        </w:rPr>
        <w:t xml:space="preserve"> as </w:t>
      </w:r>
      <w:r w:rsidR="0000273D" w:rsidRPr="007D1DC8">
        <w:rPr>
          <w:lang w:eastAsia="ar-SA"/>
        </w:rPr>
        <w:t>this ratio normalize</w:t>
      </w:r>
      <w:r>
        <w:rPr>
          <w:lang w:eastAsia="ar-SA"/>
        </w:rPr>
        <w:t>s</w:t>
      </w:r>
      <w:r w:rsidR="0000273D" w:rsidRPr="007D1DC8">
        <w:rPr>
          <w:lang w:eastAsia="ar-SA"/>
        </w:rPr>
        <w:t xml:space="preserve"> these savings relative to consumption levels.</w:t>
      </w:r>
    </w:p>
    <w:p w:rsidR="0000273D" w:rsidRPr="007D1DC8" w:rsidRDefault="0000273D" w:rsidP="0000273D">
      <w:pPr>
        <w:pStyle w:val="Heading3"/>
      </w:pPr>
      <w:r w:rsidRPr="007D1DC8">
        <w:t>Electric Savings</w:t>
      </w:r>
    </w:p>
    <w:p w:rsidR="0000273D" w:rsidRPr="007D1DC8" w:rsidRDefault="0000273D" w:rsidP="00E4596B">
      <w:pPr>
        <w:pStyle w:val="Heading4"/>
      </w:pPr>
      <w:r w:rsidRPr="007D1DC8">
        <w:t>Billing Analysis Results</w:t>
      </w:r>
    </w:p>
    <w:p w:rsidR="0000273D" w:rsidRPr="007D1DC8" w:rsidRDefault="002506E1" w:rsidP="00E4596B">
      <w:r>
        <w:fldChar w:fldCharType="begin"/>
      </w:r>
      <w:r>
        <w:instrText xml:space="preserve"> REF _Ref382747633 \h  \* MERGEFORMAT </w:instrText>
      </w:r>
      <w:r>
        <w:fldChar w:fldCharType="separate"/>
      </w:r>
      <w:r w:rsidR="00CD20CF" w:rsidRPr="007D1DC8">
        <w:t xml:space="preserve">Table </w:t>
      </w:r>
      <w:r w:rsidR="00CD20CF">
        <w:rPr>
          <w:noProof/>
        </w:rPr>
        <w:t>70</w:t>
      </w:r>
      <w:r>
        <w:fldChar w:fldCharType="end"/>
      </w:r>
      <w:r w:rsidR="0000273D" w:rsidRPr="007D1DC8">
        <w:t xml:space="preserve"> compares changes in energy consumption from the pre- to post-program periods for the participant and comparison groups</w:t>
      </w:r>
      <w:r w:rsidR="002A4335">
        <w:t>,</w:t>
      </w:r>
      <w:r w:rsidR="0000273D">
        <w:t xml:space="preserve"> by HES-IE subprogram</w:t>
      </w:r>
      <w:r w:rsidR="0000273D" w:rsidRPr="007D1DC8">
        <w:t xml:space="preserve">. </w:t>
      </w:r>
      <w:r w:rsidR="002A4335">
        <w:t>The table includes e</w:t>
      </w:r>
      <w:r w:rsidR="0000273D" w:rsidRPr="007D1DC8">
        <w:t xml:space="preserve">stimated adjusted gross savings, calculated based on the “percent of pre” approach discussed in the </w:t>
      </w:r>
      <w:r w:rsidR="002A4335">
        <w:t>Methodology</w:t>
      </w:r>
      <w:r w:rsidR="002E016E">
        <w:t xml:space="preserve"> </w:t>
      </w:r>
      <w:r w:rsidR="00150AD4">
        <w:t xml:space="preserve">section </w:t>
      </w:r>
      <w:r w:rsidR="002E016E">
        <w:t>in Volume 1</w:t>
      </w:r>
      <w:r w:rsidR="00573DAD">
        <w:t xml:space="preserve"> </w:t>
      </w:r>
      <w:r w:rsidR="002E016E">
        <w:t>of this report</w:t>
      </w:r>
      <w:r w:rsidR="0000273D" w:rsidRPr="007D1DC8">
        <w:t>.</w:t>
      </w:r>
    </w:p>
    <w:p w:rsidR="0000273D" w:rsidRPr="007D1DC8" w:rsidRDefault="0000273D" w:rsidP="0000273D">
      <w:pPr>
        <w:pStyle w:val="Caption"/>
      </w:pPr>
      <w:bookmarkStart w:id="124" w:name="_Ref382747633"/>
      <w:r w:rsidRPr="007D1DC8">
        <w:t xml:space="preserve">Table </w:t>
      </w:r>
      <w:r w:rsidR="002506E1">
        <w:fldChar w:fldCharType="begin"/>
      </w:r>
      <w:r w:rsidR="002506E1">
        <w:instrText xml:space="preserve"> SEQ Table \* ARABIC </w:instrText>
      </w:r>
      <w:r w:rsidR="002506E1">
        <w:fldChar w:fldCharType="separate"/>
      </w:r>
      <w:r w:rsidR="00CD20CF">
        <w:rPr>
          <w:noProof/>
        </w:rPr>
        <w:t>70</w:t>
      </w:r>
      <w:r w:rsidR="002506E1">
        <w:rPr>
          <w:noProof/>
        </w:rPr>
        <w:fldChar w:fldCharType="end"/>
      </w:r>
      <w:bookmarkEnd w:id="124"/>
      <w:r w:rsidRPr="007D1DC8">
        <w:t>. HES</w:t>
      </w:r>
      <w:r>
        <w:t xml:space="preserve">-IE SP1 and SP4 </w:t>
      </w:r>
      <w:r w:rsidRPr="007D1DC8">
        <w:t>Electric Billing Analysis: Savings Summary, Overall</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41"/>
        <w:gridCol w:w="1195"/>
        <w:gridCol w:w="674"/>
        <w:gridCol w:w="960"/>
        <w:gridCol w:w="1266"/>
        <w:gridCol w:w="1243"/>
        <w:gridCol w:w="1048"/>
        <w:gridCol w:w="897"/>
        <w:gridCol w:w="952"/>
      </w:tblGrid>
      <w:tr w:rsidR="0000273D" w:rsidRPr="00783F84" w:rsidTr="0095703C">
        <w:tc>
          <w:tcPr>
            <w:tcW w:w="700" w:type="pct"/>
            <w:shd w:val="clear" w:color="000000" w:fill="005DAA"/>
            <w:vAlign w:val="center"/>
          </w:tcPr>
          <w:p w:rsidR="0000273D" w:rsidRPr="00783F84" w:rsidRDefault="0000273D" w:rsidP="00242751">
            <w:pPr>
              <w:pStyle w:val="TableHeading-left"/>
              <w:keepNext/>
              <w:keepLines/>
              <w:jc w:val="center"/>
            </w:pPr>
            <w:r>
              <w:t>HES-IE Subprogram</w:t>
            </w:r>
          </w:p>
        </w:tc>
        <w:tc>
          <w:tcPr>
            <w:tcW w:w="624" w:type="pct"/>
            <w:shd w:val="clear" w:color="000000" w:fill="005DAA"/>
            <w:vAlign w:val="center"/>
            <w:hideMark/>
          </w:tcPr>
          <w:p w:rsidR="0000273D" w:rsidRPr="00783F84" w:rsidRDefault="0000273D" w:rsidP="00242751">
            <w:pPr>
              <w:pStyle w:val="TableHeading-left"/>
              <w:keepNext/>
              <w:keepLines/>
              <w:jc w:val="center"/>
            </w:pPr>
            <w:r w:rsidRPr="00783F84">
              <w:t>Group</w:t>
            </w:r>
          </w:p>
        </w:tc>
        <w:tc>
          <w:tcPr>
            <w:tcW w:w="352" w:type="pct"/>
            <w:shd w:val="clear" w:color="000000" w:fill="005DAA"/>
            <w:vAlign w:val="center"/>
            <w:hideMark/>
          </w:tcPr>
          <w:p w:rsidR="0000273D" w:rsidRPr="00783F84" w:rsidRDefault="0000273D" w:rsidP="00242751">
            <w:pPr>
              <w:pStyle w:val="TableHeading-centered"/>
              <w:keepNext/>
              <w:keepLines/>
            </w:pPr>
            <w:r w:rsidRPr="00783F84">
              <w:t>n</w:t>
            </w:r>
          </w:p>
        </w:tc>
        <w:tc>
          <w:tcPr>
            <w:tcW w:w="501" w:type="pct"/>
            <w:shd w:val="clear" w:color="000000" w:fill="005DAA"/>
            <w:vAlign w:val="center"/>
            <w:hideMark/>
          </w:tcPr>
          <w:p w:rsidR="0000273D" w:rsidRPr="00783F84" w:rsidRDefault="0000273D" w:rsidP="00242751">
            <w:pPr>
              <w:pStyle w:val="TableHeading-centered"/>
              <w:keepNext/>
              <w:keepLines/>
            </w:pPr>
            <w:r w:rsidRPr="00783F84">
              <w:t>PRENAC</w:t>
            </w:r>
          </w:p>
        </w:tc>
        <w:tc>
          <w:tcPr>
            <w:tcW w:w="661" w:type="pct"/>
            <w:shd w:val="clear" w:color="000000" w:fill="005DAA"/>
            <w:vAlign w:val="center"/>
            <w:hideMark/>
          </w:tcPr>
          <w:p w:rsidR="0000273D" w:rsidRPr="00783F84" w:rsidRDefault="0000273D" w:rsidP="00242751">
            <w:pPr>
              <w:pStyle w:val="TableHeading-centered"/>
              <w:keepNext/>
              <w:keepLines/>
            </w:pPr>
            <w:r w:rsidRPr="00783F84">
              <w:t>Model Savings (kWh)</w:t>
            </w:r>
          </w:p>
        </w:tc>
        <w:tc>
          <w:tcPr>
            <w:tcW w:w="649" w:type="pct"/>
            <w:shd w:val="clear" w:color="000000" w:fill="005DAA"/>
            <w:vAlign w:val="center"/>
            <w:hideMark/>
          </w:tcPr>
          <w:p w:rsidR="0000273D" w:rsidRPr="00783F84" w:rsidRDefault="0000273D" w:rsidP="00242751">
            <w:pPr>
              <w:pStyle w:val="TableHeading-centered"/>
              <w:keepNext/>
              <w:keepLines/>
            </w:pPr>
            <w:r w:rsidRPr="00783F84">
              <w:t>Savings as Percentage of Pre-Usage</w:t>
            </w:r>
          </w:p>
        </w:tc>
        <w:tc>
          <w:tcPr>
            <w:tcW w:w="547" w:type="pct"/>
            <w:shd w:val="clear" w:color="000000" w:fill="005DAA"/>
            <w:vAlign w:val="center"/>
            <w:hideMark/>
          </w:tcPr>
          <w:p w:rsidR="0000273D" w:rsidRPr="00783F84" w:rsidRDefault="0000273D" w:rsidP="00242751">
            <w:pPr>
              <w:pStyle w:val="TableHeading-centered"/>
              <w:keepNext/>
              <w:keepLines/>
            </w:pPr>
            <w:r w:rsidRPr="00783F84">
              <w:t>Relative Precision at</w:t>
            </w:r>
            <w:r w:rsidR="002953AD">
              <w:t xml:space="preserve"> </w:t>
            </w:r>
            <w:r w:rsidRPr="00783F84">
              <w:t>90%</w:t>
            </w:r>
          </w:p>
        </w:tc>
        <w:tc>
          <w:tcPr>
            <w:tcW w:w="468" w:type="pct"/>
            <w:shd w:val="clear" w:color="000000" w:fill="005DAA"/>
            <w:vAlign w:val="center"/>
            <w:hideMark/>
          </w:tcPr>
          <w:p w:rsidR="0000273D" w:rsidRPr="00783F84" w:rsidRDefault="0000273D" w:rsidP="00242751">
            <w:pPr>
              <w:pStyle w:val="TableHeading-centered"/>
              <w:keepNext/>
              <w:keepLines/>
            </w:pPr>
            <w:r w:rsidRPr="00783F84">
              <w:t>Savings Lower 90% (kWh)</w:t>
            </w:r>
          </w:p>
        </w:tc>
        <w:tc>
          <w:tcPr>
            <w:tcW w:w="497" w:type="pct"/>
            <w:shd w:val="clear" w:color="000000" w:fill="005DAA"/>
            <w:vAlign w:val="center"/>
            <w:hideMark/>
          </w:tcPr>
          <w:p w:rsidR="0000273D" w:rsidRPr="00783F84" w:rsidRDefault="0000273D" w:rsidP="00242751">
            <w:pPr>
              <w:pStyle w:val="TableHeading-centered"/>
              <w:keepNext/>
              <w:keepLines/>
            </w:pPr>
            <w:r w:rsidRPr="00783F84">
              <w:t>Savings Upper 90% (kWh)</w:t>
            </w:r>
          </w:p>
        </w:tc>
      </w:tr>
      <w:tr w:rsidR="0000273D" w:rsidRPr="00783F84" w:rsidTr="0095703C">
        <w:tc>
          <w:tcPr>
            <w:tcW w:w="700" w:type="pct"/>
            <w:vMerge w:val="restart"/>
            <w:vAlign w:val="center"/>
          </w:tcPr>
          <w:p w:rsidR="0000273D" w:rsidRPr="00783F84" w:rsidRDefault="0000273D" w:rsidP="0095703C">
            <w:pPr>
              <w:pStyle w:val="TableRow-left"/>
              <w:keepNext/>
              <w:keepLines/>
            </w:pPr>
            <w:r>
              <w:t>SP1</w:t>
            </w:r>
            <w:r w:rsidR="0095703C">
              <w:t>*</w:t>
            </w:r>
          </w:p>
        </w:tc>
        <w:tc>
          <w:tcPr>
            <w:tcW w:w="624" w:type="pct"/>
            <w:shd w:val="clear" w:color="auto" w:fill="auto"/>
            <w:vAlign w:val="center"/>
          </w:tcPr>
          <w:p w:rsidR="0000273D" w:rsidRPr="00783F84" w:rsidRDefault="0000273D" w:rsidP="00242751">
            <w:pPr>
              <w:pStyle w:val="TableRow-left"/>
              <w:keepNext/>
              <w:keepLines/>
            </w:pPr>
            <w:r w:rsidRPr="00783F84">
              <w:t>Participant</w:t>
            </w:r>
          </w:p>
        </w:tc>
        <w:tc>
          <w:tcPr>
            <w:tcW w:w="352"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1,348</w:t>
            </w:r>
          </w:p>
        </w:tc>
        <w:tc>
          <w:tcPr>
            <w:tcW w:w="501"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8,708</w:t>
            </w:r>
          </w:p>
        </w:tc>
        <w:tc>
          <w:tcPr>
            <w:tcW w:w="661"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765</w:t>
            </w:r>
          </w:p>
        </w:tc>
        <w:tc>
          <w:tcPr>
            <w:tcW w:w="649"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9%</w:t>
            </w:r>
          </w:p>
        </w:tc>
        <w:tc>
          <w:tcPr>
            <w:tcW w:w="547" w:type="pct"/>
            <w:shd w:val="clear" w:color="auto" w:fill="auto"/>
            <w:vAlign w:val="center"/>
          </w:tcPr>
          <w:p w:rsidR="0000273D" w:rsidRDefault="0000273D" w:rsidP="00242751">
            <w:pPr>
              <w:spacing w:after="0"/>
              <w:jc w:val="right"/>
              <w:rPr>
                <w:rFonts w:ascii="Calibri" w:hAnsi="Calibri"/>
                <w:color w:val="000000"/>
                <w:sz w:val="20"/>
                <w:szCs w:val="20"/>
              </w:rPr>
            </w:pPr>
            <w:r>
              <w:t>±</w:t>
            </w:r>
            <w:r>
              <w:rPr>
                <w:rFonts w:ascii="Calibri" w:hAnsi="Calibri"/>
                <w:color w:val="000000"/>
                <w:sz w:val="20"/>
                <w:szCs w:val="20"/>
              </w:rPr>
              <w:t>7%</w:t>
            </w:r>
          </w:p>
        </w:tc>
        <w:tc>
          <w:tcPr>
            <w:tcW w:w="468"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711</w:t>
            </w:r>
          </w:p>
        </w:tc>
        <w:tc>
          <w:tcPr>
            <w:tcW w:w="497"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819</w:t>
            </w:r>
          </w:p>
        </w:tc>
      </w:tr>
      <w:tr w:rsidR="0000273D" w:rsidRPr="00783F84" w:rsidTr="0095703C">
        <w:tc>
          <w:tcPr>
            <w:tcW w:w="700" w:type="pct"/>
            <w:vMerge/>
            <w:vAlign w:val="center"/>
          </w:tcPr>
          <w:p w:rsidR="0000273D" w:rsidRPr="00783F84" w:rsidRDefault="0000273D" w:rsidP="00242751">
            <w:pPr>
              <w:pStyle w:val="TableRow-left"/>
              <w:keepNext/>
              <w:keepLines/>
            </w:pPr>
          </w:p>
        </w:tc>
        <w:tc>
          <w:tcPr>
            <w:tcW w:w="624" w:type="pct"/>
            <w:shd w:val="clear" w:color="auto" w:fill="auto"/>
            <w:vAlign w:val="center"/>
          </w:tcPr>
          <w:p w:rsidR="0000273D" w:rsidRPr="00783F84" w:rsidRDefault="0000273D" w:rsidP="00242751">
            <w:pPr>
              <w:pStyle w:val="TableRow-left"/>
              <w:keepNext/>
              <w:keepLines/>
            </w:pPr>
            <w:r w:rsidRPr="00783F84">
              <w:t>Comparison</w:t>
            </w:r>
          </w:p>
        </w:tc>
        <w:tc>
          <w:tcPr>
            <w:tcW w:w="352"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197</w:t>
            </w:r>
          </w:p>
        </w:tc>
        <w:tc>
          <w:tcPr>
            <w:tcW w:w="501"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8,841</w:t>
            </w:r>
          </w:p>
        </w:tc>
        <w:tc>
          <w:tcPr>
            <w:tcW w:w="661"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-314</w:t>
            </w:r>
          </w:p>
        </w:tc>
        <w:tc>
          <w:tcPr>
            <w:tcW w:w="649"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-4%</w:t>
            </w:r>
          </w:p>
        </w:tc>
        <w:tc>
          <w:tcPr>
            <w:tcW w:w="547" w:type="pct"/>
            <w:shd w:val="clear" w:color="auto" w:fill="auto"/>
            <w:vAlign w:val="center"/>
          </w:tcPr>
          <w:p w:rsidR="0000273D" w:rsidRDefault="0000273D" w:rsidP="00242751">
            <w:pPr>
              <w:spacing w:after="0"/>
              <w:jc w:val="right"/>
              <w:rPr>
                <w:rFonts w:ascii="Calibri" w:hAnsi="Calibri"/>
                <w:color w:val="000000"/>
                <w:sz w:val="20"/>
                <w:szCs w:val="20"/>
              </w:rPr>
            </w:pPr>
            <w:r>
              <w:t>±</w:t>
            </w:r>
            <w:r>
              <w:rPr>
                <w:rFonts w:ascii="Calibri" w:hAnsi="Calibri"/>
                <w:color w:val="000000"/>
                <w:sz w:val="20"/>
                <w:szCs w:val="20"/>
              </w:rPr>
              <w:t>-66%</w:t>
            </w:r>
          </w:p>
        </w:tc>
        <w:tc>
          <w:tcPr>
            <w:tcW w:w="468"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-522</w:t>
            </w:r>
          </w:p>
        </w:tc>
        <w:tc>
          <w:tcPr>
            <w:tcW w:w="497"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-107</w:t>
            </w:r>
          </w:p>
        </w:tc>
      </w:tr>
      <w:tr w:rsidR="0000273D" w:rsidRPr="00783F84" w:rsidTr="0095703C">
        <w:tc>
          <w:tcPr>
            <w:tcW w:w="700" w:type="pct"/>
            <w:vMerge/>
            <w:vAlign w:val="center"/>
          </w:tcPr>
          <w:p w:rsidR="0000273D" w:rsidRPr="00783F84" w:rsidRDefault="0000273D" w:rsidP="00242751">
            <w:pPr>
              <w:pStyle w:val="TableRow-left"/>
              <w:keepNext/>
              <w:keepLines/>
            </w:pPr>
          </w:p>
        </w:tc>
        <w:tc>
          <w:tcPr>
            <w:tcW w:w="624" w:type="pct"/>
            <w:shd w:val="clear" w:color="auto" w:fill="auto"/>
            <w:vAlign w:val="center"/>
          </w:tcPr>
          <w:p w:rsidR="0000273D" w:rsidRPr="00783F84" w:rsidRDefault="0000273D" w:rsidP="00242751">
            <w:pPr>
              <w:pStyle w:val="TableRow-left"/>
              <w:keepNext/>
              <w:keepLines/>
            </w:pPr>
            <w:r w:rsidRPr="00783F84">
              <w:t>Adjusted gross</w:t>
            </w:r>
          </w:p>
        </w:tc>
        <w:tc>
          <w:tcPr>
            <w:tcW w:w="352"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1,348</w:t>
            </w:r>
          </w:p>
        </w:tc>
        <w:tc>
          <w:tcPr>
            <w:tcW w:w="501"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8,708</w:t>
            </w:r>
          </w:p>
        </w:tc>
        <w:tc>
          <w:tcPr>
            <w:tcW w:w="661"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1,074</w:t>
            </w:r>
          </w:p>
        </w:tc>
        <w:tc>
          <w:tcPr>
            <w:tcW w:w="649"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12%</w:t>
            </w:r>
          </w:p>
        </w:tc>
        <w:tc>
          <w:tcPr>
            <w:tcW w:w="547" w:type="pct"/>
            <w:shd w:val="clear" w:color="auto" w:fill="auto"/>
            <w:vAlign w:val="center"/>
          </w:tcPr>
          <w:p w:rsidR="0000273D" w:rsidRDefault="0000273D" w:rsidP="00242751">
            <w:pPr>
              <w:spacing w:after="0"/>
              <w:jc w:val="right"/>
              <w:rPr>
                <w:rFonts w:ascii="Calibri" w:hAnsi="Calibri"/>
                <w:color w:val="000000"/>
                <w:sz w:val="20"/>
                <w:szCs w:val="20"/>
              </w:rPr>
            </w:pPr>
            <w:r>
              <w:t>±</w:t>
            </w:r>
            <w:r>
              <w:rPr>
                <w:rFonts w:ascii="Calibri" w:hAnsi="Calibri"/>
                <w:color w:val="000000"/>
                <w:sz w:val="20"/>
                <w:szCs w:val="20"/>
              </w:rPr>
              <w:t>20%</w:t>
            </w:r>
          </w:p>
        </w:tc>
        <w:tc>
          <w:tcPr>
            <w:tcW w:w="468"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860</w:t>
            </w:r>
          </w:p>
        </w:tc>
        <w:tc>
          <w:tcPr>
            <w:tcW w:w="497"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1,289</w:t>
            </w:r>
          </w:p>
        </w:tc>
      </w:tr>
      <w:tr w:rsidR="0000273D" w:rsidRPr="00783F84" w:rsidTr="0095703C">
        <w:tc>
          <w:tcPr>
            <w:tcW w:w="700" w:type="pct"/>
            <w:vMerge w:val="restart"/>
            <w:vAlign w:val="center"/>
          </w:tcPr>
          <w:p w:rsidR="0000273D" w:rsidRPr="00783F84" w:rsidRDefault="0000273D" w:rsidP="00242751">
            <w:pPr>
              <w:pStyle w:val="TableRow-left"/>
              <w:keepNext/>
              <w:keepLines/>
            </w:pPr>
            <w:r>
              <w:t>SP4</w:t>
            </w:r>
          </w:p>
        </w:tc>
        <w:tc>
          <w:tcPr>
            <w:tcW w:w="624" w:type="pct"/>
            <w:shd w:val="clear" w:color="auto" w:fill="auto"/>
            <w:vAlign w:val="center"/>
            <w:hideMark/>
          </w:tcPr>
          <w:p w:rsidR="0000273D" w:rsidRPr="00783F84" w:rsidRDefault="0000273D" w:rsidP="00242751">
            <w:pPr>
              <w:pStyle w:val="TableRow-left"/>
              <w:keepNext/>
              <w:keepLines/>
            </w:pPr>
            <w:r w:rsidRPr="00783F84">
              <w:t>Participant</w:t>
            </w:r>
          </w:p>
        </w:tc>
        <w:tc>
          <w:tcPr>
            <w:tcW w:w="352"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2,670</w:t>
            </w:r>
          </w:p>
        </w:tc>
        <w:tc>
          <w:tcPr>
            <w:tcW w:w="501"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6,617</w:t>
            </w:r>
          </w:p>
        </w:tc>
        <w:tc>
          <w:tcPr>
            <w:tcW w:w="661"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458</w:t>
            </w:r>
          </w:p>
        </w:tc>
        <w:tc>
          <w:tcPr>
            <w:tcW w:w="649"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7%</w:t>
            </w:r>
          </w:p>
        </w:tc>
        <w:tc>
          <w:tcPr>
            <w:tcW w:w="547" w:type="pct"/>
            <w:shd w:val="clear" w:color="auto" w:fill="auto"/>
            <w:vAlign w:val="center"/>
          </w:tcPr>
          <w:p w:rsidR="0000273D" w:rsidRDefault="0000273D" w:rsidP="00242751">
            <w:pPr>
              <w:spacing w:after="0"/>
              <w:jc w:val="right"/>
              <w:rPr>
                <w:rFonts w:ascii="Calibri" w:hAnsi="Calibri"/>
                <w:color w:val="000000"/>
                <w:sz w:val="20"/>
                <w:szCs w:val="20"/>
              </w:rPr>
            </w:pPr>
            <w:r>
              <w:t>±</w:t>
            </w:r>
            <w:r>
              <w:rPr>
                <w:rFonts w:ascii="Calibri" w:hAnsi="Calibri"/>
                <w:color w:val="000000"/>
                <w:sz w:val="20"/>
                <w:szCs w:val="20"/>
              </w:rPr>
              <w:t>7%</w:t>
            </w:r>
          </w:p>
        </w:tc>
        <w:tc>
          <w:tcPr>
            <w:tcW w:w="468"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426</w:t>
            </w:r>
          </w:p>
        </w:tc>
        <w:tc>
          <w:tcPr>
            <w:tcW w:w="497"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491</w:t>
            </w:r>
          </w:p>
        </w:tc>
      </w:tr>
      <w:tr w:rsidR="0000273D" w:rsidRPr="00783F84" w:rsidTr="0095703C">
        <w:tc>
          <w:tcPr>
            <w:tcW w:w="700" w:type="pct"/>
            <w:vMerge/>
          </w:tcPr>
          <w:p w:rsidR="0000273D" w:rsidRPr="00783F84" w:rsidRDefault="0000273D" w:rsidP="00242751">
            <w:pPr>
              <w:pStyle w:val="TableRow-left"/>
              <w:keepNext/>
              <w:keepLines/>
            </w:pPr>
          </w:p>
        </w:tc>
        <w:tc>
          <w:tcPr>
            <w:tcW w:w="624" w:type="pct"/>
            <w:shd w:val="clear" w:color="auto" w:fill="auto"/>
            <w:vAlign w:val="center"/>
            <w:hideMark/>
          </w:tcPr>
          <w:p w:rsidR="0000273D" w:rsidRPr="00783F84" w:rsidRDefault="0000273D" w:rsidP="00242751">
            <w:pPr>
              <w:pStyle w:val="TableRow-left"/>
              <w:keepNext/>
              <w:keepLines/>
            </w:pPr>
            <w:r w:rsidRPr="00783F84">
              <w:t>Comparison</w:t>
            </w:r>
          </w:p>
        </w:tc>
        <w:tc>
          <w:tcPr>
            <w:tcW w:w="352"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256</w:t>
            </w:r>
          </w:p>
        </w:tc>
        <w:tc>
          <w:tcPr>
            <w:tcW w:w="501"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6,181</w:t>
            </w:r>
          </w:p>
        </w:tc>
        <w:tc>
          <w:tcPr>
            <w:tcW w:w="661"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-160</w:t>
            </w:r>
          </w:p>
        </w:tc>
        <w:tc>
          <w:tcPr>
            <w:tcW w:w="649"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-3%</w:t>
            </w:r>
          </w:p>
        </w:tc>
        <w:tc>
          <w:tcPr>
            <w:tcW w:w="547" w:type="pct"/>
            <w:shd w:val="clear" w:color="auto" w:fill="auto"/>
            <w:vAlign w:val="center"/>
          </w:tcPr>
          <w:p w:rsidR="0000273D" w:rsidRDefault="0000273D" w:rsidP="00242751">
            <w:pPr>
              <w:spacing w:after="0"/>
              <w:jc w:val="right"/>
              <w:rPr>
                <w:rFonts w:ascii="Calibri" w:hAnsi="Calibri"/>
                <w:color w:val="000000"/>
                <w:sz w:val="20"/>
                <w:szCs w:val="20"/>
              </w:rPr>
            </w:pPr>
            <w:r>
              <w:t>±</w:t>
            </w:r>
            <w:r>
              <w:rPr>
                <w:rFonts w:ascii="Calibri" w:hAnsi="Calibri"/>
                <w:color w:val="000000"/>
                <w:sz w:val="20"/>
                <w:szCs w:val="20"/>
              </w:rPr>
              <w:t>-87%</w:t>
            </w:r>
          </w:p>
        </w:tc>
        <w:tc>
          <w:tcPr>
            <w:tcW w:w="468"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-298</w:t>
            </w:r>
          </w:p>
        </w:tc>
        <w:tc>
          <w:tcPr>
            <w:tcW w:w="497"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-21</w:t>
            </w:r>
          </w:p>
        </w:tc>
      </w:tr>
      <w:tr w:rsidR="0000273D" w:rsidRPr="00783F84" w:rsidTr="0095703C">
        <w:tc>
          <w:tcPr>
            <w:tcW w:w="700" w:type="pct"/>
            <w:vMerge/>
          </w:tcPr>
          <w:p w:rsidR="0000273D" w:rsidRPr="00783F84" w:rsidRDefault="0000273D" w:rsidP="00242751">
            <w:pPr>
              <w:pStyle w:val="TableRow-left"/>
              <w:keepNext/>
              <w:keepLines/>
            </w:pPr>
          </w:p>
        </w:tc>
        <w:tc>
          <w:tcPr>
            <w:tcW w:w="624" w:type="pct"/>
            <w:shd w:val="clear" w:color="auto" w:fill="auto"/>
            <w:vAlign w:val="center"/>
            <w:hideMark/>
          </w:tcPr>
          <w:p w:rsidR="0000273D" w:rsidRPr="00783F84" w:rsidRDefault="0000273D" w:rsidP="00242751">
            <w:pPr>
              <w:pStyle w:val="TableRow-left"/>
              <w:keepNext/>
              <w:keepLines/>
            </w:pPr>
            <w:r w:rsidRPr="00783F84">
              <w:t>Adjusted gross</w:t>
            </w:r>
          </w:p>
        </w:tc>
        <w:tc>
          <w:tcPr>
            <w:tcW w:w="352"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2,670</w:t>
            </w:r>
          </w:p>
        </w:tc>
        <w:tc>
          <w:tcPr>
            <w:tcW w:w="501"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6,617</w:t>
            </w:r>
          </w:p>
        </w:tc>
        <w:tc>
          <w:tcPr>
            <w:tcW w:w="661"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629</w:t>
            </w:r>
          </w:p>
        </w:tc>
        <w:tc>
          <w:tcPr>
            <w:tcW w:w="649"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10%</w:t>
            </w:r>
          </w:p>
        </w:tc>
        <w:tc>
          <w:tcPr>
            <w:tcW w:w="547" w:type="pct"/>
            <w:shd w:val="clear" w:color="auto" w:fill="auto"/>
            <w:vAlign w:val="center"/>
          </w:tcPr>
          <w:p w:rsidR="0000273D" w:rsidRDefault="0000273D" w:rsidP="00242751">
            <w:pPr>
              <w:spacing w:after="0"/>
              <w:jc w:val="right"/>
              <w:rPr>
                <w:rFonts w:ascii="Calibri" w:hAnsi="Calibri"/>
                <w:color w:val="000000"/>
                <w:sz w:val="20"/>
                <w:szCs w:val="20"/>
              </w:rPr>
            </w:pPr>
            <w:r>
              <w:t>±</w:t>
            </w:r>
            <w:r>
              <w:rPr>
                <w:rFonts w:ascii="Calibri" w:hAnsi="Calibri"/>
                <w:color w:val="000000"/>
                <w:sz w:val="20"/>
                <w:szCs w:val="20"/>
              </w:rPr>
              <w:t>23%</w:t>
            </w:r>
          </w:p>
        </w:tc>
        <w:tc>
          <w:tcPr>
            <w:tcW w:w="468"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487</w:t>
            </w:r>
          </w:p>
        </w:tc>
        <w:tc>
          <w:tcPr>
            <w:tcW w:w="497" w:type="pct"/>
            <w:shd w:val="clear" w:color="auto" w:fill="auto"/>
            <w:vAlign w:val="center"/>
          </w:tcPr>
          <w:p w:rsidR="0000273D" w:rsidRDefault="0000273D" w:rsidP="00242751">
            <w:pPr>
              <w:spacing w:after="0"/>
              <w:jc w:val="right"/>
              <w:rPr>
                <w:rFonts w:ascii="Calibri" w:hAnsi="Calibri"/>
                <w:color w:val="000000"/>
                <w:sz w:val="20"/>
                <w:szCs w:val="20"/>
              </w:rPr>
            </w:pPr>
            <w:r>
              <w:rPr>
                <w:rFonts w:ascii="Calibri" w:hAnsi="Calibri"/>
                <w:color w:val="000000"/>
                <w:sz w:val="20"/>
                <w:szCs w:val="20"/>
              </w:rPr>
              <w:t>772</w:t>
            </w:r>
          </w:p>
        </w:tc>
      </w:tr>
    </w:tbl>
    <w:p w:rsidR="0095703C" w:rsidRPr="00DC6DEF" w:rsidRDefault="0095703C" w:rsidP="0039536B">
      <w:pPr>
        <w:pStyle w:val="NormalAfterTablesandFigures"/>
        <w:ind w:left="90" w:hanging="90"/>
        <w:rPr>
          <w:sz w:val="20"/>
          <w:szCs w:val="20"/>
          <w:highlight w:val="yellow"/>
        </w:rPr>
      </w:pPr>
      <w:r>
        <w:rPr>
          <w:rFonts w:ascii="Calibri" w:eastAsia="Times New Roman" w:hAnsi="Calibri" w:cs="Times New Roman"/>
          <w:color w:val="000000"/>
          <w:sz w:val="20"/>
          <w:szCs w:val="20"/>
        </w:rPr>
        <w:t>*Savings estimated for SP1 include impacts associated with measure installations funded through non-utility sources (e.g., DOE), as part of WAP.</w:t>
      </w:r>
    </w:p>
    <w:p w:rsidR="0000273D" w:rsidRPr="00783F84" w:rsidRDefault="0000273D" w:rsidP="0000273D">
      <w:pPr>
        <w:pStyle w:val="NormalAfterTablesandFigures"/>
        <w:rPr>
          <w:highlight w:val="yellow"/>
        </w:rPr>
      </w:pPr>
    </w:p>
    <w:p w:rsidR="0000273D" w:rsidRPr="007D1DC8" w:rsidRDefault="0000273D" w:rsidP="00E4596B">
      <w:r w:rsidRPr="007D1DC8">
        <w:t>Participants achieved estimated gross energy savings of</w:t>
      </w:r>
      <w:r>
        <w:t xml:space="preserve"> 765 kWh for SP1 and 458 kWh for SP4</w:t>
      </w:r>
      <w:r w:rsidRPr="007D1DC8">
        <w:t>. A</w:t>
      </w:r>
      <w:r>
        <w:t>n</w:t>
      </w:r>
      <w:r w:rsidRPr="007D1DC8">
        <w:t xml:space="preserve"> </w:t>
      </w:r>
      <w:r>
        <w:t>increase</w:t>
      </w:r>
      <w:r w:rsidRPr="007D1DC8">
        <w:t xml:space="preserve"> in electric usage</w:t>
      </w:r>
      <w:r w:rsidR="002A4335">
        <w:t>,</w:t>
      </w:r>
      <w:r w:rsidRPr="007D1DC8">
        <w:t xml:space="preserve"> detected in the comparison group</w:t>
      </w:r>
      <w:r>
        <w:t>s</w:t>
      </w:r>
      <w:r w:rsidR="002A4335">
        <w:t>,</w:t>
      </w:r>
      <w:r w:rsidRPr="007D1DC8">
        <w:t xml:space="preserve"> resulted in an adjusted gross savings estimate of </w:t>
      </w:r>
      <w:r>
        <w:t>1,074 kWh for SP1 and 629 kWh for SP4</w:t>
      </w:r>
      <w:r w:rsidRPr="007D1DC8">
        <w:t>.</w:t>
      </w:r>
    </w:p>
    <w:p w:rsidR="0000273D" w:rsidRPr="007128C6" w:rsidRDefault="002506E1" w:rsidP="00E4596B">
      <w:r>
        <w:lastRenderedPageBreak/>
        <w:fldChar w:fldCharType="begin"/>
      </w:r>
      <w:r>
        <w:instrText xml:space="preserve"> REF _Ref382842009 \h  \* MERGEFORMAT </w:instrText>
      </w:r>
      <w:r>
        <w:fldChar w:fldCharType="separate"/>
      </w:r>
      <w:r w:rsidR="00CD20CF" w:rsidRPr="007128C6">
        <w:t xml:space="preserve">Table </w:t>
      </w:r>
      <w:r w:rsidR="00CD20CF">
        <w:rPr>
          <w:noProof/>
        </w:rPr>
        <w:t>71</w:t>
      </w:r>
      <w:r>
        <w:fldChar w:fldCharType="end"/>
      </w:r>
      <w:r w:rsidR="0000273D" w:rsidRPr="007128C6">
        <w:t xml:space="preserve"> shows the frequency distribution of measure installations </w:t>
      </w:r>
      <w:r w:rsidR="005A3B14">
        <w:t xml:space="preserve">from </w:t>
      </w:r>
      <w:r w:rsidR="0000273D" w:rsidRPr="007128C6">
        <w:t xml:space="preserve">the analysis sample of participants, by </w:t>
      </w:r>
      <w:r w:rsidR="0000273D">
        <w:t>HES-IE subprogram</w:t>
      </w:r>
      <w:r w:rsidR="0000273D" w:rsidRPr="007128C6">
        <w:t xml:space="preserve">, along with the average reported savings per measure type. The Evaluation Team stresses that the measures did not serve as model inputs. </w:t>
      </w:r>
      <w:r w:rsidR="002A4335">
        <w:t>Rather</w:t>
      </w:r>
      <w:r w:rsidR="0000273D" w:rsidRPr="007128C6">
        <w:t xml:space="preserve">, the listing of measures and their </w:t>
      </w:r>
      <w:r w:rsidR="0000273D" w:rsidRPr="007128C6">
        <w:rPr>
          <w:i/>
        </w:rPr>
        <w:t xml:space="preserve">ex ante </w:t>
      </w:r>
      <w:r w:rsidR="0000273D" w:rsidRPr="007128C6">
        <w:t>per-unit savings estimates provide</w:t>
      </w:r>
      <w:r w:rsidR="002A4335">
        <w:t>d</w:t>
      </w:r>
      <w:r w:rsidR="0000273D" w:rsidRPr="007128C6">
        <w:t xml:space="preserve"> </w:t>
      </w:r>
      <w:r w:rsidR="005A3B14">
        <w:t xml:space="preserve">a </w:t>
      </w:r>
      <w:r w:rsidR="0000273D" w:rsidRPr="007128C6">
        <w:t xml:space="preserve">context for understanding the </w:t>
      </w:r>
      <w:r w:rsidR="005A3B14">
        <w:br/>
      </w:r>
      <w:r w:rsidR="0000273D" w:rsidRPr="007128C6">
        <w:t>model results.</w:t>
      </w:r>
    </w:p>
    <w:p w:rsidR="0000273D" w:rsidRPr="007128C6" w:rsidRDefault="0000273D" w:rsidP="0000273D">
      <w:pPr>
        <w:pStyle w:val="Caption"/>
      </w:pPr>
      <w:bookmarkStart w:id="125" w:name="_Ref382842009"/>
      <w:r w:rsidRPr="007128C6">
        <w:t xml:space="preserve">Table </w:t>
      </w:r>
      <w:r w:rsidR="002506E1">
        <w:fldChar w:fldCharType="begin"/>
      </w:r>
      <w:r w:rsidR="002506E1">
        <w:instrText xml:space="preserve"> SEQ Table \* ARABIC </w:instrText>
      </w:r>
      <w:r w:rsidR="002506E1">
        <w:fldChar w:fldCharType="separate"/>
      </w:r>
      <w:r w:rsidR="00CD20CF">
        <w:rPr>
          <w:noProof/>
        </w:rPr>
        <w:t>71</w:t>
      </w:r>
      <w:r w:rsidR="002506E1">
        <w:rPr>
          <w:noProof/>
        </w:rPr>
        <w:fldChar w:fldCharType="end"/>
      </w:r>
      <w:bookmarkEnd w:id="125"/>
      <w:r w:rsidRPr="007128C6">
        <w:t>. HES</w:t>
      </w:r>
      <w:r>
        <w:t>-IE SP1 and SP4</w:t>
      </w:r>
      <w:r w:rsidRPr="007128C6">
        <w:t xml:space="preserve"> Electric Analysis: Measure Distribution of Final Model Sample</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68"/>
        <w:gridCol w:w="2072"/>
        <w:gridCol w:w="1528"/>
        <w:gridCol w:w="1532"/>
        <w:gridCol w:w="1620"/>
        <w:gridCol w:w="1456"/>
      </w:tblGrid>
      <w:tr w:rsidR="0000273D" w:rsidRPr="00B4133D" w:rsidTr="00242751">
        <w:tc>
          <w:tcPr>
            <w:tcW w:w="714" w:type="pct"/>
            <w:vMerge w:val="restart"/>
            <w:shd w:val="clear" w:color="000000" w:fill="005DAA"/>
            <w:vAlign w:val="center"/>
            <w:hideMark/>
          </w:tcPr>
          <w:p w:rsidR="0000273D" w:rsidRPr="00B4133D" w:rsidRDefault="0000273D" w:rsidP="00242751">
            <w:pPr>
              <w:spacing w:after="0"/>
              <w:jc w:val="center"/>
              <w:rPr>
                <w:rFonts w:ascii="Calibri" w:eastAsia="Times New Roman" w:hAnsi="Calibri" w:cs="Times New Roman"/>
                <w:b/>
                <w:bCs/>
                <w:color w:val="FFFFFF"/>
              </w:rPr>
            </w:pPr>
            <w:r w:rsidRPr="00B4133D">
              <w:rPr>
                <w:rFonts w:ascii="Calibri" w:eastAsia="Times New Roman" w:hAnsi="Calibri" w:cs="Times New Roman"/>
                <w:b/>
                <w:bCs/>
                <w:color w:val="FFFFFF"/>
              </w:rPr>
              <w:t>Category</w:t>
            </w:r>
          </w:p>
        </w:tc>
        <w:tc>
          <w:tcPr>
            <w:tcW w:w="1082" w:type="pct"/>
            <w:vMerge w:val="restart"/>
            <w:shd w:val="clear" w:color="000000" w:fill="005DAA"/>
            <w:vAlign w:val="center"/>
            <w:hideMark/>
          </w:tcPr>
          <w:p w:rsidR="0000273D" w:rsidRPr="00B4133D" w:rsidRDefault="0000273D" w:rsidP="00242751">
            <w:pPr>
              <w:spacing w:after="0"/>
              <w:jc w:val="center"/>
              <w:rPr>
                <w:rFonts w:ascii="Calibri" w:eastAsia="Times New Roman" w:hAnsi="Calibri" w:cs="Times New Roman"/>
                <w:b/>
                <w:bCs/>
                <w:color w:val="FFFFFF"/>
              </w:rPr>
            </w:pPr>
            <w:r w:rsidRPr="00B4133D">
              <w:rPr>
                <w:rFonts w:ascii="Calibri" w:eastAsia="Times New Roman" w:hAnsi="Calibri" w:cs="Times New Roman"/>
                <w:b/>
                <w:bCs/>
                <w:color w:val="FFFFFF"/>
              </w:rPr>
              <w:t>Measure</w:t>
            </w:r>
          </w:p>
        </w:tc>
        <w:tc>
          <w:tcPr>
            <w:tcW w:w="1598" w:type="pct"/>
            <w:gridSpan w:val="2"/>
            <w:shd w:val="clear" w:color="000000" w:fill="005DAA"/>
            <w:vAlign w:val="center"/>
            <w:hideMark/>
          </w:tcPr>
          <w:p w:rsidR="0000273D" w:rsidRPr="00B4133D" w:rsidRDefault="0000273D" w:rsidP="00242751">
            <w:pPr>
              <w:spacing w:after="0"/>
              <w:jc w:val="center"/>
              <w:rPr>
                <w:rFonts w:ascii="Calibri" w:eastAsia="Times New Roman" w:hAnsi="Calibri" w:cs="Times New Roman"/>
                <w:b/>
                <w:bCs/>
                <w:color w:val="FFFFFF"/>
              </w:rPr>
            </w:pPr>
            <w:r w:rsidRPr="00B4133D">
              <w:rPr>
                <w:rFonts w:ascii="Calibri" w:eastAsia="Times New Roman" w:hAnsi="Calibri" w:cs="Times New Roman"/>
                <w:b/>
                <w:bCs/>
                <w:color w:val="FFFFFF"/>
              </w:rPr>
              <w:t>Percentage of Sample</w:t>
            </w:r>
          </w:p>
        </w:tc>
        <w:tc>
          <w:tcPr>
            <w:tcW w:w="1606" w:type="pct"/>
            <w:gridSpan w:val="2"/>
            <w:shd w:val="clear" w:color="000000" w:fill="005DAA"/>
            <w:vAlign w:val="center"/>
            <w:hideMark/>
          </w:tcPr>
          <w:p w:rsidR="0000273D" w:rsidRPr="00B4133D" w:rsidRDefault="0000273D" w:rsidP="00242751">
            <w:pPr>
              <w:spacing w:after="0"/>
              <w:jc w:val="center"/>
              <w:rPr>
                <w:rFonts w:ascii="Calibri" w:eastAsia="Times New Roman" w:hAnsi="Calibri" w:cs="Times New Roman"/>
                <w:b/>
                <w:bCs/>
                <w:color w:val="FFFFFF"/>
              </w:rPr>
            </w:pPr>
            <w:r w:rsidRPr="00B4133D">
              <w:rPr>
                <w:rFonts w:ascii="Calibri" w:eastAsia="Times New Roman" w:hAnsi="Calibri" w:cs="Times New Roman"/>
                <w:b/>
                <w:bCs/>
                <w:color w:val="FFFFFF"/>
              </w:rPr>
              <w:t xml:space="preserve">Average </w:t>
            </w:r>
            <w:r w:rsidRPr="00B4133D">
              <w:rPr>
                <w:rFonts w:ascii="Calibri" w:eastAsia="Times New Roman" w:hAnsi="Calibri" w:cs="Times New Roman"/>
                <w:b/>
                <w:bCs/>
                <w:i/>
                <w:iCs/>
                <w:color w:val="FFFFFF"/>
              </w:rPr>
              <w:t>Ex Ante</w:t>
            </w:r>
            <w:r w:rsidRPr="00B4133D">
              <w:rPr>
                <w:rFonts w:ascii="Calibri" w:eastAsia="Times New Roman" w:hAnsi="Calibri" w:cs="Times New Roman"/>
                <w:b/>
                <w:bCs/>
                <w:color w:val="FFFFFF"/>
              </w:rPr>
              <w:t xml:space="preserve"> Savings by Measure (kWh per Participant)</w:t>
            </w:r>
          </w:p>
        </w:tc>
      </w:tr>
      <w:tr w:rsidR="0000273D" w:rsidRPr="00B4133D" w:rsidTr="00242751">
        <w:tc>
          <w:tcPr>
            <w:tcW w:w="714" w:type="pct"/>
            <w:vMerge/>
            <w:vAlign w:val="center"/>
            <w:hideMark/>
          </w:tcPr>
          <w:p w:rsidR="0000273D" w:rsidRPr="00B4133D" w:rsidRDefault="0000273D" w:rsidP="00242751">
            <w:pPr>
              <w:spacing w:after="0"/>
              <w:jc w:val="center"/>
              <w:rPr>
                <w:rFonts w:ascii="Calibri" w:eastAsia="Times New Roman" w:hAnsi="Calibri" w:cs="Times New Roman"/>
                <w:b/>
                <w:bCs/>
                <w:color w:val="FFFFFF"/>
              </w:rPr>
            </w:pPr>
          </w:p>
        </w:tc>
        <w:tc>
          <w:tcPr>
            <w:tcW w:w="1082" w:type="pct"/>
            <w:vMerge/>
            <w:vAlign w:val="center"/>
            <w:hideMark/>
          </w:tcPr>
          <w:p w:rsidR="0000273D" w:rsidRPr="00B4133D" w:rsidRDefault="0000273D" w:rsidP="00242751">
            <w:pPr>
              <w:spacing w:after="0"/>
              <w:jc w:val="center"/>
              <w:rPr>
                <w:rFonts w:ascii="Calibri" w:eastAsia="Times New Roman" w:hAnsi="Calibri" w:cs="Times New Roman"/>
                <w:b/>
                <w:bCs/>
                <w:color w:val="FFFFFF"/>
              </w:rPr>
            </w:pPr>
          </w:p>
        </w:tc>
        <w:tc>
          <w:tcPr>
            <w:tcW w:w="798" w:type="pct"/>
            <w:shd w:val="clear" w:color="000000" w:fill="005DAA"/>
            <w:vAlign w:val="center"/>
            <w:hideMark/>
          </w:tcPr>
          <w:p w:rsidR="0000273D" w:rsidRPr="00B4133D" w:rsidRDefault="0000273D" w:rsidP="00242751">
            <w:pPr>
              <w:spacing w:after="0"/>
              <w:jc w:val="center"/>
              <w:rPr>
                <w:rFonts w:ascii="Calibri" w:eastAsia="Times New Roman" w:hAnsi="Calibri" w:cs="Times New Roman"/>
                <w:b/>
                <w:bCs/>
                <w:color w:val="FFFFFF"/>
              </w:rPr>
            </w:pPr>
            <w:r w:rsidRPr="00B4133D">
              <w:rPr>
                <w:rFonts w:ascii="Calibri" w:eastAsia="Times New Roman" w:hAnsi="Calibri" w:cs="Times New Roman"/>
                <w:b/>
                <w:bCs/>
                <w:color w:val="FFFFFF"/>
              </w:rPr>
              <w:t>SP1</w:t>
            </w:r>
          </w:p>
        </w:tc>
        <w:tc>
          <w:tcPr>
            <w:tcW w:w="800" w:type="pct"/>
            <w:shd w:val="clear" w:color="000000" w:fill="005DAA"/>
            <w:vAlign w:val="center"/>
            <w:hideMark/>
          </w:tcPr>
          <w:p w:rsidR="0000273D" w:rsidRPr="00B4133D" w:rsidRDefault="0000273D" w:rsidP="00242751">
            <w:pPr>
              <w:spacing w:after="0"/>
              <w:jc w:val="center"/>
              <w:rPr>
                <w:rFonts w:ascii="Calibri" w:eastAsia="Times New Roman" w:hAnsi="Calibri" w:cs="Times New Roman"/>
                <w:b/>
                <w:bCs/>
                <w:color w:val="FFFFFF"/>
              </w:rPr>
            </w:pPr>
            <w:r w:rsidRPr="00B4133D">
              <w:rPr>
                <w:rFonts w:ascii="Calibri" w:eastAsia="Times New Roman" w:hAnsi="Calibri" w:cs="Times New Roman"/>
                <w:b/>
                <w:bCs/>
                <w:color w:val="FFFFFF"/>
              </w:rPr>
              <w:t>SP4</w:t>
            </w:r>
            <w:r>
              <w:rPr>
                <w:rFonts w:ascii="Calibri" w:eastAsia="Times New Roman" w:hAnsi="Calibri" w:cs="Times New Roman"/>
                <w:b/>
                <w:bCs/>
                <w:color w:val="FFFFFF"/>
              </w:rPr>
              <w:t>**</w:t>
            </w:r>
          </w:p>
        </w:tc>
        <w:tc>
          <w:tcPr>
            <w:tcW w:w="846" w:type="pct"/>
            <w:shd w:val="clear" w:color="000000" w:fill="005DAA"/>
            <w:vAlign w:val="center"/>
            <w:hideMark/>
          </w:tcPr>
          <w:p w:rsidR="0000273D" w:rsidRPr="00B4133D" w:rsidRDefault="0000273D" w:rsidP="00242751">
            <w:pPr>
              <w:spacing w:after="0"/>
              <w:jc w:val="center"/>
              <w:rPr>
                <w:rFonts w:ascii="Calibri" w:eastAsia="Times New Roman" w:hAnsi="Calibri" w:cs="Times New Roman"/>
                <w:b/>
                <w:bCs/>
                <w:color w:val="FFFFFF"/>
              </w:rPr>
            </w:pPr>
            <w:r w:rsidRPr="00B4133D">
              <w:rPr>
                <w:rFonts w:ascii="Calibri" w:eastAsia="Times New Roman" w:hAnsi="Calibri" w:cs="Times New Roman"/>
                <w:b/>
                <w:bCs/>
                <w:color w:val="FFFFFF"/>
              </w:rPr>
              <w:t>SP1</w:t>
            </w:r>
          </w:p>
        </w:tc>
        <w:tc>
          <w:tcPr>
            <w:tcW w:w="760" w:type="pct"/>
            <w:shd w:val="clear" w:color="000000" w:fill="005DAA"/>
            <w:vAlign w:val="center"/>
            <w:hideMark/>
          </w:tcPr>
          <w:p w:rsidR="0000273D" w:rsidRPr="00B4133D" w:rsidRDefault="0000273D" w:rsidP="00242751">
            <w:pPr>
              <w:spacing w:after="0"/>
              <w:jc w:val="center"/>
              <w:rPr>
                <w:rFonts w:ascii="Calibri" w:eastAsia="Times New Roman" w:hAnsi="Calibri" w:cs="Times New Roman"/>
                <w:b/>
                <w:bCs/>
                <w:color w:val="FFFFFF"/>
              </w:rPr>
            </w:pPr>
            <w:r w:rsidRPr="00B4133D">
              <w:rPr>
                <w:rFonts w:ascii="Calibri" w:eastAsia="Times New Roman" w:hAnsi="Calibri" w:cs="Times New Roman"/>
                <w:b/>
                <w:bCs/>
                <w:color w:val="FFFFFF"/>
              </w:rPr>
              <w:t>SP4</w:t>
            </w:r>
            <w:r>
              <w:rPr>
                <w:rFonts w:ascii="Calibri" w:eastAsia="Times New Roman" w:hAnsi="Calibri" w:cs="Times New Roman"/>
                <w:b/>
                <w:bCs/>
                <w:color w:val="FFFFFF"/>
              </w:rPr>
              <w:t>**</w:t>
            </w:r>
          </w:p>
        </w:tc>
      </w:tr>
      <w:tr w:rsidR="0000273D" w:rsidRPr="00B4133D" w:rsidTr="00242751">
        <w:tc>
          <w:tcPr>
            <w:tcW w:w="714" w:type="pct"/>
            <w:shd w:val="clear" w:color="auto" w:fill="auto"/>
            <w:vAlign w:val="center"/>
            <w:hideMark/>
          </w:tcPr>
          <w:p w:rsidR="0000273D" w:rsidRPr="00DC6DEF" w:rsidRDefault="0000273D" w:rsidP="00242751">
            <w:pPr>
              <w:spacing w:after="0"/>
              <w:rPr>
                <w:rFonts w:eastAsia="Times New Roman" w:cs="Times New Roman"/>
                <w:color w:val="000000"/>
                <w:sz w:val="20"/>
                <w:szCs w:val="20"/>
              </w:rPr>
            </w:pPr>
            <w:r w:rsidRPr="00DC6DEF">
              <w:rPr>
                <w:rFonts w:eastAsia="Times New Roman" w:cs="Times New Roman"/>
                <w:color w:val="000000"/>
                <w:sz w:val="20"/>
                <w:szCs w:val="20"/>
              </w:rPr>
              <w:t>Lighting</w:t>
            </w:r>
          </w:p>
        </w:tc>
        <w:tc>
          <w:tcPr>
            <w:tcW w:w="1082" w:type="pct"/>
            <w:shd w:val="clear" w:color="auto" w:fill="auto"/>
            <w:vAlign w:val="center"/>
            <w:hideMark/>
          </w:tcPr>
          <w:p w:rsidR="0000273D" w:rsidRPr="00DC6DEF" w:rsidRDefault="0000273D" w:rsidP="00242751">
            <w:pPr>
              <w:spacing w:after="0"/>
              <w:rPr>
                <w:rFonts w:eastAsia="Times New Roman" w:cs="Times New Roman"/>
                <w:color w:val="000000"/>
                <w:sz w:val="20"/>
                <w:szCs w:val="20"/>
              </w:rPr>
            </w:pPr>
            <w:r w:rsidRPr="00DC6DEF">
              <w:rPr>
                <w:rFonts w:eastAsia="Times New Roman" w:cs="Times New Roman"/>
                <w:color w:val="000000"/>
                <w:sz w:val="20"/>
                <w:szCs w:val="20"/>
              </w:rPr>
              <w:t>Lighting</w:t>
            </w:r>
          </w:p>
        </w:tc>
        <w:tc>
          <w:tcPr>
            <w:tcW w:w="798"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93%</w:t>
            </w:r>
          </w:p>
        </w:tc>
        <w:tc>
          <w:tcPr>
            <w:tcW w:w="800"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96%</w:t>
            </w:r>
          </w:p>
        </w:tc>
        <w:tc>
          <w:tcPr>
            <w:tcW w:w="846"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712</w:t>
            </w:r>
          </w:p>
        </w:tc>
        <w:tc>
          <w:tcPr>
            <w:tcW w:w="760"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403</w:t>
            </w:r>
          </w:p>
        </w:tc>
      </w:tr>
      <w:tr w:rsidR="0000273D" w:rsidRPr="00B4133D" w:rsidTr="00242751">
        <w:tc>
          <w:tcPr>
            <w:tcW w:w="714" w:type="pct"/>
            <w:vMerge w:val="restart"/>
            <w:shd w:val="clear" w:color="auto" w:fill="auto"/>
            <w:vAlign w:val="center"/>
            <w:hideMark/>
          </w:tcPr>
          <w:p w:rsidR="0000273D" w:rsidRPr="00DC6DEF" w:rsidRDefault="0000273D" w:rsidP="00242751">
            <w:pPr>
              <w:spacing w:after="0"/>
              <w:rPr>
                <w:rFonts w:eastAsia="Times New Roman" w:cs="Times New Roman"/>
                <w:color w:val="000000"/>
                <w:sz w:val="20"/>
                <w:szCs w:val="20"/>
              </w:rPr>
            </w:pPr>
            <w:r w:rsidRPr="00DC6DEF">
              <w:rPr>
                <w:rFonts w:eastAsia="Times New Roman" w:cs="Times New Roman"/>
                <w:color w:val="000000"/>
                <w:sz w:val="20"/>
                <w:szCs w:val="20"/>
              </w:rPr>
              <w:t>Water Heat</w:t>
            </w:r>
          </w:p>
        </w:tc>
        <w:tc>
          <w:tcPr>
            <w:tcW w:w="1082" w:type="pct"/>
            <w:shd w:val="clear" w:color="auto" w:fill="auto"/>
            <w:vAlign w:val="center"/>
            <w:hideMark/>
          </w:tcPr>
          <w:p w:rsidR="0000273D" w:rsidRPr="00DC6DEF" w:rsidRDefault="0000273D" w:rsidP="00242751">
            <w:pPr>
              <w:spacing w:after="0"/>
              <w:rPr>
                <w:rFonts w:eastAsia="Times New Roman" w:cs="Times New Roman"/>
                <w:color w:val="000000"/>
                <w:sz w:val="20"/>
                <w:szCs w:val="20"/>
              </w:rPr>
            </w:pPr>
            <w:r w:rsidRPr="00DC6DEF">
              <w:rPr>
                <w:rFonts w:eastAsia="Times New Roman" w:cs="Times New Roman"/>
                <w:color w:val="000000"/>
                <w:sz w:val="20"/>
                <w:szCs w:val="20"/>
              </w:rPr>
              <w:t>DHW Bundle*</w:t>
            </w:r>
          </w:p>
        </w:tc>
        <w:tc>
          <w:tcPr>
            <w:tcW w:w="798"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26%</w:t>
            </w:r>
          </w:p>
        </w:tc>
        <w:tc>
          <w:tcPr>
            <w:tcW w:w="800"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77%</w:t>
            </w:r>
          </w:p>
        </w:tc>
        <w:tc>
          <w:tcPr>
            <w:tcW w:w="846"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793</w:t>
            </w:r>
          </w:p>
        </w:tc>
        <w:tc>
          <w:tcPr>
            <w:tcW w:w="760"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812</w:t>
            </w:r>
          </w:p>
        </w:tc>
      </w:tr>
      <w:tr w:rsidR="0000273D" w:rsidRPr="00B4133D" w:rsidTr="00242751">
        <w:tc>
          <w:tcPr>
            <w:tcW w:w="714" w:type="pct"/>
            <w:vMerge/>
            <w:vAlign w:val="center"/>
            <w:hideMark/>
          </w:tcPr>
          <w:p w:rsidR="0000273D" w:rsidRPr="00DC6DEF" w:rsidRDefault="0000273D" w:rsidP="00242751">
            <w:pPr>
              <w:spacing w:after="0"/>
              <w:rPr>
                <w:rFonts w:eastAsia="Times New Roman" w:cs="Times New Roman"/>
                <w:color w:val="000000"/>
                <w:sz w:val="20"/>
                <w:szCs w:val="20"/>
              </w:rPr>
            </w:pPr>
          </w:p>
        </w:tc>
        <w:tc>
          <w:tcPr>
            <w:tcW w:w="1082" w:type="pct"/>
            <w:shd w:val="clear" w:color="auto" w:fill="auto"/>
            <w:vAlign w:val="center"/>
            <w:hideMark/>
          </w:tcPr>
          <w:p w:rsidR="0000273D" w:rsidRPr="00DC6DEF" w:rsidRDefault="0000273D" w:rsidP="00242751">
            <w:pPr>
              <w:spacing w:after="0"/>
              <w:rPr>
                <w:rFonts w:eastAsia="Times New Roman" w:cs="Times New Roman"/>
                <w:color w:val="000000"/>
                <w:sz w:val="20"/>
                <w:szCs w:val="20"/>
              </w:rPr>
            </w:pPr>
            <w:r w:rsidRPr="00DC6DEF">
              <w:rPr>
                <w:rFonts w:eastAsia="Times New Roman" w:cs="Times New Roman"/>
                <w:color w:val="000000"/>
                <w:sz w:val="20"/>
                <w:szCs w:val="20"/>
              </w:rPr>
              <w:t>Pipe Insulation</w:t>
            </w:r>
          </w:p>
        </w:tc>
        <w:tc>
          <w:tcPr>
            <w:tcW w:w="798"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4%</w:t>
            </w:r>
          </w:p>
        </w:tc>
        <w:tc>
          <w:tcPr>
            <w:tcW w:w="800"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&lt;1%</w:t>
            </w:r>
          </w:p>
        </w:tc>
        <w:tc>
          <w:tcPr>
            <w:tcW w:w="846"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115</w:t>
            </w:r>
          </w:p>
        </w:tc>
        <w:tc>
          <w:tcPr>
            <w:tcW w:w="760"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62</w:t>
            </w:r>
          </w:p>
        </w:tc>
      </w:tr>
      <w:tr w:rsidR="0000273D" w:rsidRPr="00B4133D" w:rsidTr="00242751">
        <w:tc>
          <w:tcPr>
            <w:tcW w:w="714" w:type="pct"/>
            <w:vMerge/>
            <w:vAlign w:val="center"/>
            <w:hideMark/>
          </w:tcPr>
          <w:p w:rsidR="0000273D" w:rsidRPr="00DC6DEF" w:rsidRDefault="0000273D" w:rsidP="00242751">
            <w:pPr>
              <w:spacing w:after="0"/>
              <w:rPr>
                <w:rFonts w:eastAsia="Times New Roman" w:cs="Times New Roman"/>
                <w:color w:val="000000"/>
                <w:sz w:val="20"/>
                <w:szCs w:val="20"/>
              </w:rPr>
            </w:pPr>
          </w:p>
        </w:tc>
        <w:tc>
          <w:tcPr>
            <w:tcW w:w="1082" w:type="pct"/>
            <w:shd w:val="clear" w:color="auto" w:fill="auto"/>
            <w:vAlign w:val="center"/>
            <w:hideMark/>
          </w:tcPr>
          <w:p w:rsidR="0000273D" w:rsidRPr="00DC6DEF" w:rsidRDefault="0000273D" w:rsidP="00242751">
            <w:pPr>
              <w:spacing w:after="0"/>
              <w:rPr>
                <w:rFonts w:eastAsia="Times New Roman" w:cs="Times New Roman"/>
                <w:color w:val="000000"/>
                <w:sz w:val="20"/>
                <w:szCs w:val="20"/>
              </w:rPr>
            </w:pPr>
            <w:r w:rsidRPr="00DC6DEF">
              <w:rPr>
                <w:rFonts w:eastAsia="Times New Roman" w:cs="Times New Roman"/>
                <w:color w:val="000000"/>
                <w:sz w:val="20"/>
                <w:szCs w:val="20"/>
              </w:rPr>
              <w:t>Water Heater Setback</w:t>
            </w:r>
          </w:p>
        </w:tc>
        <w:tc>
          <w:tcPr>
            <w:tcW w:w="798"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5%</w:t>
            </w:r>
          </w:p>
        </w:tc>
        <w:tc>
          <w:tcPr>
            <w:tcW w:w="800"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&lt;1%</w:t>
            </w:r>
          </w:p>
        </w:tc>
        <w:tc>
          <w:tcPr>
            <w:tcW w:w="846"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86</w:t>
            </w:r>
          </w:p>
        </w:tc>
        <w:tc>
          <w:tcPr>
            <w:tcW w:w="760"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86</w:t>
            </w:r>
          </w:p>
        </w:tc>
      </w:tr>
      <w:tr w:rsidR="0000273D" w:rsidRPr="00B4133D" w:rsidTr="00242751">
        <w:tc>
          <w:tcPr>
            <w:tcW w:w="714" w:type="pct"/>
            <w:vMerge w:val="restart"/>
            <w:shd w:val="clear" w:color="auto" w:fill="auto"/>
            <w:vAlign w:val="center"/>
            <w:hideMark/>
          </w:tcPr>
          <w:p w:rsidR="0000273D" w:rsidRPr="00DC6DEF" w:rsidRDefault="0000273D" w:rsidP="00242751">
            <w:pPr>
              <w:spacing w:after="0"/>
              <w:rPr>
                <w:rFonts w:eastAsia="Times New Roman" w:cs="Times New Roman"/>
                <w:color w:val="000000"/>
                <w:sz w:val="20"/>
                <w:szCs w:val="20"/>
              </w:rPr>
            </w:pPr>
            <w:r w:rsidRPr="00DC6DEF">
              <w:rPr>
                <w:rFonts w:eastAsia="Times New Roman" w:cs="Times New Roman"/>
                <w:color w:val="000000"/>
                <w:sz w:val="20"/>
                <w:szCs w:val="20"/>
              </w:rPr>
              <w:t>Shell</w:t>
            </w:r>
          </w:p>
        </w:tc>
        <w:tc>
          <w:tcPr>
            <w:tcW w:w="1082" w:type="pct"/>
            <w:shd w:val="clear" w:color="auto" w:fill="auto"/>
            <w:vAlign w:val="center"/>
            <w:hideMark/>
          </w:tcPr>
          <w:p w:rsidR="0000273D" w:rsidRPr="00DC6DEF" w:rsidRDefault="0000273D" w:rsidP="00242751">
            <w:pPr>
              <w:spacing w:after="0"/>
              <w:rPr>
                <w:rFonts w:eastAsia="Times New Roman" w:cs="Times New Roman"/>
                <w:color w:val="000000"/>
                <w:sz w:val="20"/>
                <w:szCs w:val="20"/>
              </w:rPr>
            </w:pPr>
            <w:r w:rsidRPr="00DC6DEF">
              <w:rPr>
                <w:rFonts w:eastAsia="Times New Roman" w:cs="Times New Roman"/>
                <w:color w:val="000000"/>
                <w:sz w:val="20"/>
                <w:szCs w:val="20"/>
              </w:rPr>
              <w:t>Air Sealing</w:t>
            </w:r>
          </w:p>
        </w:tc>
        <w:tc>
          <w:tcPr>
            <w:tcW w:w="798"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7%</w:t>
            </w:r>
          </w:p>
        </w:tc>
        <w:tc>
          <w:tcPr>
            <w:tcW w:w="800" w:type="pct"/>
            <w:tcBorders>
              <w:bottom w:val="single" w:sz="4" w:space="0" w:color="BFBFBF"/>
            </w:tcBorders>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5%</w:t>
            </w:r>
          </w:p>
        </w:tc>
        <w:tc>
          <w:tcPr>
            <w:tcW w:w="846" w:type="pct"/>
            <w:tcBorders>
              <w:bottom w:val="single" w:sz="4" w:space="0" w:color="BFBFBF"/>
            </w:tcBorders>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1,635</w:t>
            </w:r>
          </w:p>
        </w:tc>
        <w:tc>
          <w:tcPr>
            <w:tcW w:w="760" w:type="pct"/>
            <w:tcBorders>
              <w:bottom w:val="single" w:sz="4" w:space="0" w:color="BFBFBF"/>
            </w:tcBorders>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604</w:t>
            </w:r>
          </w:p>
        </w:tc>
      </w:tr>
      <w:tr w:rsidR="00242751" w:rsidRPr="00B4133D" w:rsidTr="00242751">
        <w:tc>
          <w:tcPr>
            <w:tcW w:w="714" w:type="pct"/>
            <w:vMerge/>
            <w:vAlign w:val="center"/>
            <w:hideMark/>
          </w:tcPr>
          <w:p w:rsidR="0000273D" w:rsidRPr="00DC6DEF" w:rsidRDefault="0000273D" w:rsidP="00242751">
            <w:pPr>
              <w:spacing w:after="0"/>
              <w:rPr>
                <w:rFonts w:eastAsia="Times New Roman" w:cs="Times New Roman"/>
                <w:color w:val="000000"/>
                <w:sz w:val="20"/>
                <w:szCs w:val="20"/>
              </w:rPr>
            </w:pPr>
          </w:p>
        </w:tc>
        <w:tc>
          <w:tcPr>
            <w:tcW w:w="1082" w:type="pct"/>
            <w:shd w:val="clear" w:color="auto" w:fill="auto"/>
            <w:vAlign w:val="center"/>
            <w:hideMark/>
          </w:tcPr>
          <w:p w:rsidR="0000273D" w:rsidRPr="00DC6DEF" w:rsidRDefault="0000273D" w:rsidP="00242751">
            <w:pPr>
              <w:spacing w:after="0"/>
              <w:rPr>
                <w:rFonts w:eastAsia="Times New Roman" w:cs="Times New Roman"/>
                <w:color w:val="000000"/>
                <w:sz w:val="20"/>
                <w:szCs w:val="20"/>
              </w:rPr>
            </w:pPr>
            <w:r w:rsidRPr="00DC6DEF">
              <w:rPr>
                <w:rFonts w:eastAsia="Times New Roman" w:cs="Times New Roman"/>
                <w:color w:val="000000"/>
                <w:sz w:val="20"/>
                <w:szCs w:val="20"/>
              </w:rPr>
              <w:t>Attic Insulation</w:t>
            </w:r>
          </w:p>
        </w:tc>
        <w:tc>
          <w:tcPr>
            <w:tcW w:w="798"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2%</w:t>
            </w:r>
          </w:p>
        </w:tc>
        <w:tc>
          <w:tcPr>
            <w:tcW w:w="800"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n/a</w:t>
            </w:r>
          </w:p>
        </w:tc>
        <w:tc>
          <w:tcPr>
            <w:tcW w:w="846"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638</w:t>
            </w:r>
          </w:p>
        </w:tc>
        <w:tc>
          <w:tcPr>
            <w:tcW w:w="760"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n/a</w:t>
            </w:r>
          </w:p>
        </w:tc>
      </w:tr>
      <w:tr w:rsidR="00242751" w:rsidRPr="00B4133D" w:rsidTr="00242751">
        <w:tc>
          <w:tcPr>
            <w:tcW w:w="714" w:type="pct"/>
            <w:vMerge/>
            <w:vAlign w:val="center"/>
            <w:hideMark/>
          </w:tcPr>
          <w:p w:rsidR="0000273D" w:rsidRPr="00DC6DEF" w:rsidRDefault="0000273D" w:rsidP="00242751">
            <w:pPr>
              <w:spacing w:after="0"/>
              <w:rPr>
                <w:rFonts w:eastAsia="Times New Roman" w:cs="Times New Roman"/>
                <w:color w:val="000000"/>
                <w:sz w:val="20"/>
                <w:szCs w:val="20"/>
              </w:rPr>
            </w:pPr>
          </w:p>
        </w:tc>
        <w:tc>
          <w:tcPr>
            <w:tcW w:w="1082" w:type="pct"/>
            <w:shd w:val="clear" w:color="auto" w:fill="auto"/>
            <w:vAlign w:val="center"/>
            <w:hideMark/>
          </w:tcPr>
          <w:p w:rsidR="0000273D" w:rsidRPr="00DC6DEF" w:rsidRDefault="0000273D" w:rsidP="00242751">
            <w:pPr>
              <w:spacing w:after="0"/>
              <w:rPr>
                <w:rFonts w:eastAsia="Times New Roman" w:cs="Times New Roman"/>
                <w:color w:val="000000"/>
                <w:sz w:val="20"/>
                <w:szCs w:val="20"/>
              </w:rPr>
            </w:pPr>
            <w:r w:rsidRPr="00DC6DEF">
              <w:rPr>
                <w:rFonts w:eastAsia="Times New Roman" w:cs="Times New Roman"/>
                <w:color w:val="000000"/>
                <w:sz w:val="20"/>
                <w:szCs w:val="20"/>
              </w:rPr>
              <w:t>Wall Insulation</w:t>
            </w:r>
          </w:p>
        </w:tc>
        <w:tc>
          <w:tcPr>
            <w:tcW w:w="798"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&lt;1%</w:t>
            </w:r>
          </w:p>
        </w:tc>
        <w:tc>
          <w:tcPr>
            <w:tcW w:w="800"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n/a</w:t>
            </w:r>
          </w:p>
        </w:tc>
        <w:tc>
          <w:tcPr>
            <w:tcW w:w="846"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2,339</w:t>
            </w:r>
          </w:p>
        </w:tc>
        <w:tc>
          <w:tcPr>
            <w:tcW w:w="760"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n/a</w:t>
            </w:r>
          </w:p>
        </w:tc>
      </w:tr>
      <w:tr w:rsidR="00242751" w:rsidRPr="00B4133D" w:rsidTr="00242751">
        <w:tc>
          <w:tcPr>
            <w:tcW w:w="714" w:type="pct"/>
            <w:vMerge/>
            <w:vAlign w:val="center"/>
            <w:hideMark/>
          </w:tcPr>
          <w:p w:rsidR="0000273D" w:rsidRPr="00DC6DEF" w:rsidRDefault="0000273D" w:rsidP="00242751">
            <w:pPr>
              <w:spacing w:after="0"/>
              <w:rPr>
                <w:rFonts w:eastAsia="Times New Roman" w:cs="Times New Roman"/>
                <w:color w:val="000000"/>
                <w:sz w:val="20"/>
                <w:szCs w:val="20"/>
              </w:rPr>
            </w:pPr>
          </w:p>
        </w:tc>
        <w:tc>
          <w:tcPr>
            <w:tcW w:w="1082" w:type="pct"/>
            <w:shd w:val="clear" w:color="auto" w:fill="auto"/>
            <w:vAlign w:val="center"/>
            <w:hideMark/>
          </w:tcPr>
          <w:p w:rsidR="0000273D" w:rsidRPr="00DC6DEF" w:rsidRDefault="0000273D" w:rsidP="00242751">
            <w:pPr>
              <w:spacing w:after="0"/>
              <w:rPr>
                <w:rFonts w:eastAsia="Times New Roman" w:cs="Times New Roman"/>
                <w:color w:val="000000"/>
                <w:sz w:val="20"/>
                <w:szCs w:val="20"/>
              </w:rPr>
            </w:pPr>
            <w:r w:rsidRPr="00DC6DEF">
              <w:rPr>
                <w:rFonts w:eastAsia="Times New Roman" w:cs="Times New Roman"/>
                <w:color w:val="000000"/>
                <w:sz w:val="20"/>
                <w:szCs w:val="20"/>
              </w:rPr>
              <w:t>Windows</w:t>
            </w:r>
          </w:p>
        </w:tc>
        <w:tc>
          <w:tcPr>
            <w:tcW w:w="798"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&lt;1%</w:t>
            </w:r>
          </w:p>
        </w:tc>
        <w:tc>
          <w:tcPr>
            <w:tcW w:w="800"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n/a</w:t>
            </w:r>
          </w:p>
        </w:tc>
        <w:tc>
          <w:tcPr>
            <w:tcW w:w="846"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231</w:t>
            </w:r>
          </w:p>
        </w:tc>
        <w:tc>
          <w:tcPr>
            <w:tcW w:w="760"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n/a</w:t>
            </w:r>
          </w:p>
        </w:tc>
      </w:tr>
      <w:tr w:rsidR="0000273D" w:rsidRPr="00B4133D" w:rsidTr="00242751">
        <w:tc>
          <w:tcPr>
            <w:tcW w:w="714" w:type="pct"/>
            <w:shd w:val="clear" w:color="auto" w:fill="auto"/>
            <w:vAlign w:val="center"/>
            <w:hideMark/>
          </w:tcPr>
          <w:p w:rsidR="0000273D" w:rsidRPr="00DC6DEF" w:rsidRDefault="0000273D" w:rsidP="00242751">
            <w:pPr>
              <w:spacing w:after="0"/>
              <w:rPr>
                <w:rFonts w:eastAsia="Times New Roman" w:cs="Times New Roman"/>
                <w:color w:val="000000"/>
                <w:sz w:val="20"/>
                <w:szCs w:val="20"/>
              </w:rPr>
            </w:pPr>
            <w:r w:rsidRPr="00DC6DEF">
              <w:rPr>
                <w:rFonts w:eastAsia="Times New Roman" w:cs="Times New Roman"/>
                <w:color w:val="000000"/>
                <w:sz w:val="20"/>
                <w:szCs w:val="20"/>
              </w:rPr>
              <w:t>HVAC</w:t>
            </w:r>
          </w:p>
        </w:tc>
        <w:tc>
          <w:tcPr>
            <w:tcW w:w="1082" w:type="pct"/>
            <w:shd w:val="clear" w:color="auto" w:fill="auto"/>
            <w:vAlign w:val="center"/>
            <w:hideMark/>
          </w:tcPr>
          <w:p w:rsidR="0000273D" w:rsidRPr="00DC6DEF" w:rsidRDefault="0000273D" w:rsidP="00242751">
            <w:pPr>
              <w:spacing w:after="0"/>
              <w:rPr>
                <w:rFonts w:eastAsia="Times New Roman" w:cs="Times New Roman"/>
                <w:color w:val="000000"/>
                <w:sz w:val="20"/>
                <w:szCs w:val="20"/>
              </w:rPr>
            </w:pPr>
            <w:r w:rsidRPr="00DC6DEF">
              <w:rPr>
                <w:rFonts w:eastAsia="Times New Roman" w:cs="Times New Roman"/>
                <w:color w:val="000000"/>
                <w:sz w:val="20"/>
                <w:szCs w:val="20"/>
              </w:rPr>
              <w:t>Window AC</w:t>
            </w:r>
          </w:p>
        </w:tc>
        <w:tc>
          <w:tcPr>
            <w:tcW w:w="798"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&lt;1%</w:t>
            </w:r>
          </w:p>
        </w:tc>
        <w:tc>
          <w:tcPr>
            <w:tcW w:w="800"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&lt;1%</w:t>
            </w:r>
          </w:p>
        </w:tc>
        <w:tc>
          <w:tcPr>
            <w:tcW w:w="846"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56</w:t>
            </w:r>
          </w:p>
        </w:tc>
        <w:tc>
          <w:tcPr>
            <w:tcW w:w="760"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29</w:t>
            </w:r>
          </w:p>
        </w:tc>
      </w:tr>
      <w:tr w:rsidR="00242751" w:rsidRPr="00B4133D" w:rsidTr="00242751">
        <w:tc>
          <w:tcPr>
            <w:tcW w:w="714" w:type="pct"/>
            <w:vMerge w:val="restart"/>
            <w:shd w:val="clear" w:color="auto" w:fill="auto"/>
            <w:vAlign w:val="center"/>
            <w:hideMark/>
          </w:tcPr>
          <w:p w:rsidR="0000273D" w:rsidRPr="00DC6DEF" w:rsidRDefault="0000273D" w:rsidP="00242751">
            <w:pPr>
              <w:spacing w:after="0"/>
              <w:rPr>
                <w:rFonts w:eastAsia="Times New Roman" w:cs="Times New Roman"/>
                <w:color w:val="000000"/>
                <w:sz w:val="20"/>
                <w:szCs w:val="20"/>
              </w:rPr>
            </w:pPr>
            <w:r w:rsidRPr="00DC6DEF">
              <w:rPr>
                <w:rFonts w:eastAsia="Times New Roman" w:cs="Times New Roman"/>
                <w:color w:val="000000"/>
                <w:sz w:val="20"/>
                <w:szCs w:val="20"/>
              </w:rPr>
              <w:t>Appliances</w:t>
            </w:r>
          </w:p>
        </w:tc>
        <w:tc>
          <w:tcPr>
            <w:tcW w:w="1082" w:type="pct"/>
            <w:shd w:val="clear" w:color="auto" w:fill="auto"/>
            <w:vAlign w:val="center"/>
            <w:hideMark/>
          </w:tcPr>
          <w:p w:rsidR="0000273D" w:rsidRPr="00DC6DEF" w:rsidRDefault="0000273D" w:rsidP="00242751">
            <w:pPr>
              <w:spacing w:after="0"/>
              <w:rPr>
                <w:rFonts w:eastAsia="Times New Roman" w:cs="Times New Roman"/>
                <w:color w:val="000000"/>
                <w:sz w:val="20"/>
                <w:szCs w:val="20"/>
              </w:rPr>
            </w:pPr>
            <w:r w:rsidRPr="00DC6DEF">
              <w:rPr>
                <w:rFonts w:eastAsia="Times New Roman" w:cs="Times New Roman"/>
                <w:color w:val="000000"/>
                <w:sz w:val="20"/>
                <w:szCs w:val="20"/>
              </w:rPr>
              <w:t>Freezer</w:t>
            </w:r>
          </w:p>
        </w:tc>
        <w:tc>
          <w:tcPr>
            <w:tcW w:w="798"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5%</w:t>
            </w:r>
          </w:p>
        </w:tc>
        <w:tc>
          <w:tcPr>
            <w:tcW w:w="800"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n/a</w:t>
            </w:r>
          </w:p>
        </w:tc>
        <w:tc>
          <w:tcPr>
            <w:tcW w:w="846"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877</w:t>
            </w:r>
          </w:p>
        </w:tc>
        <w:tc>
          <w:tcPr>
            <w:tcW w:w="760"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n/a</w:t>
            </w:r>
          </w:p>
        </w:tc>
      </w:tr>
      <w:tr w:rsidR="0000273D" w:rsidRPr="00B4133D" w:rsidTr="00242751">
        <w:tc>
          <w:tcPr>
            <w:tcW w:w="714" w:type="pct"/>
            <w:vMerge/>
            <w:vAlign w:val="center"/>
            <w:hideMark/>
          </w:tcPr>
          <w:p w:rsidR="0000273D" w:rsidRPr="00DC6DEF" w:rsidRDefault="0000273D" w:rsidP="00242751">
            <w:pPr>
              <w:spacing w:after="0"/>
              <w:rPr>
                <w:rFonts w:eastAsia="Times New Roman" w:cs="Times New Roman"/>
                <w:color w:val="000000"/>
                <w:sz w:val="20"/>
                <w:szCs w:val="20"/>
              </w:rPr>
            </w:pPr>
          </w:p>
        </w:tc>
        <w:tc>
          <w:tcPr>
            <w:tcW w:w="1082" w:type="pct"/>
            <w:shd w:val="clear" w:color="auto" w:fill="auto"/>
            <w:vAlign w:val="center"/>
            <w:hideMark/>
          </w:tcPr>
          <w:p w:rsidR="0000273D" w:rsidRPr="00DC6DEF" w:rsidRDefault="0000273D" w:rsidP="00242751">
            <w:pPr>
              <w:spacing w:after="0"/>
              <w:rPr>
                <w:rFonts w:eastAsia="Times New Roman" w:cs="Times New Roman"/>
                <w:color w:val="000000"/>
                <w:sz w:val="20"/>
                <w:szCs w:val="20"/>
              </w:rPr>
            </w:pPr>
            <w:r w:rsidRPr="00DC6DEF">
              <w:rPr>
                <w:rFonts w:eastAsia="Times New Roman" w:cs="Times New Roman"/>
                <w:color w:val="000000"/>
                <w:sz w:val="20"/>
                <w:szCs w:val="20"/>
              </w:rPr>
              <w:t>Refrigerator</w:t>
            </w:r>
          </w:p>
        </w:tc>
        <w:tc>
          <w:tcPr>
            <w:tcW w:w="798"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23%</w:t>
            </w:r>
          </w:p>
        </w:tc>
        <w:tc>
          <w:tcPr>
            <w:tcW w:w="800"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4%</w:t>
            </w:r>
          </w:p>
        </w:tc>
        <w:tc>
          <w:tcPr>
            <w:tcW w:w="846"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985</w:t>
            </w:r>
          </w:p>
        </w:tc>
        <w:tc>
          <w:tcPr>
            <w:tcW w:w="760" w:type="pct"/>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806</w:t>
            </w:r>
          </w:p>
        </w:tc>
      </w:tr>
      <w:tr w:rsidR="00242751" w:rsidRPr="00B4133D" w:rsidTr="00242751">
        <w:tc>
          <w:tcPr>
            <w:tcW w:w="714" w:type="pct"/>
            <w:tcBorders>
              <w:bottom w:val="single" w:sz="4" w:space="0" w:color="BFBFBF"/>
            </w:tcBorders>
            <w:shd w:val="clear" w:color="auto" w:fill="auto"/>
            <w:vAlign w:val="center"/>
            <w:hideMark/>
          </w:tcPr>
          <w:p w:rsidR="0000273D" w:rsidRPr="00DC6DEF" w:rsidRDefault="0000273D" w:rsidP="00242751">
            <w:pPr>
              <w:spacing w:after="0"/>
              <w:rPr>
                <w:rFonts w:eastAsia="Times New Roman" w:cs="Times New Roman"/>
                <w:color w:val="000000"/>
                <w:sz w:val="20"/>
                <w:szCs w:val="20"/>
              </w:rPr>
            </w:pPr>
            <w:r w:rsidRPr="00DC6DEF">
              <w:rPr>
                <w:rFonts w:eastAsia="Times New Roman" w:cs="Times New Roman"/>
                <w:color w:val="000000"/>
                <w:sz w:val="20"/>
                <w:szCs w:val="20"/>
              </w:rPr>
              <w:t>Other</w:t>
            </w:r>
          </w:p>
        </w:tc>
        <w:tc>
          <w:tcPr>
            <w:tcW w:w="1082" w:type="pct"/>
            <w:tcBorders>
              <w:bottom w:val="single" w:sz="4" w:space="0" w:color="BFBFBF"/>
            </w:tcBorders>
            <w:shd w:val="clear" w:color="auto" w:fill="auto"/>
            <w:vAlign w:val="center"/>
            <w:hideMark/>
          </w:tcPr>
          <w:p w:rsidR="0000273D" w:rsidRPr="00DC6DEF" w:rsidRDefault="0000273D" w:rsidP="00242751">
            <w:pPr>
              <w:spacing w:after="0"/>
              <w:rPr>
                <w:rFonts w:eastAsia="Times New Roman" w:cs="Times New Roman"/>
                <w:color w:val="000000"/>
                <w:sz w:val="20"/>
                <w:szCs w:val="20"/>
              </w:rPr>
            </w:pPr>
            <w:r w:rsidRPr="00DC6DEF">
              <w:rPr>
                <w:rFonts w:eastAsia="Times New Roman" w:cs="Times New Roman"/>
                <w:color w:val="000000"/>
                <w:sz w:val="20"/>
                <w:szCs w:val="20"/>
              </w:rPr>
              <w:t>Other</w:t>
            </w:r>
          </w:p>
        </w:tc>
        <w:tc>
          <w:tcPr>
            <w:tcW w:w="798" w:type="pct"/>
            <w:tcBorders>
              <w:bottom w:val="single" w:sz="4" w:space="0" w:color="BFBFBF"/>
            </w:tcBorders>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&lt;1%</w:t>
            </w:r>
          </w:p>
        </w:tc>
        <w:tc>
          <w:tcPr>
            <w:tcW w:w="800" w:type="pct"/>
            <w:tcBorders>
              <w:bottom w:val="single" w:sz="4" w:space="0" w:color="BFBFBF"/>
            </w:tcBorders>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n/a</w:t>
            </w:r>
          </w:p>
        </w:tc>
        <w:tc>
          <w:tcPr>
            <w:tcW w:w="846" w:type="pct"/>
            <w:tcBorders>
              <w:bottom w:val="single" w:sz="4" w:space="0" w:color="BFBFBF"/>
            </w:tcBorders>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554</w:t>
            </w:r>
          </w:p>
        </w:tc>
        <w:tc>
          <w:tcPr>
            <w:tcW w:w="760" w:type="pct"/>
            <w:tcBorders>
              <w:bottom w:val="single" w:sz="4" w:space="0" w:color="BFBFBF"/>
            </w:tcBorders>
            <w:shd w:val="clear" w:color="auto" w:fill="auto"/>
            <w:vAlign w:val="center"/>
            <w:hideMark/>
          </w:tcPr>
          <w:p w:rsidR="0000273D" w:rsidRPr="00DC6DEF" w:rsidRDefault="0000273D" w:rsidP="00242751">
            <w:pPr>
              <w:spacing w:after="0"/>
              <w:jc w:val="right"/>
              <w:rPr>
                <w:rFonts w:eastAsia="Times New Roman" w:cs="Times New Roman"/>
                <w:color w:val="000000"/>
                <w:sz w:val="20"/>
                <w:szCs w:val="20"/>
              </w:rPr>
            </w:pPr>
            <w:r w:rsidRPr="00DC6DEF">
              <w:rPr>
                <w:rFonts w:eastAsia="Times New Roman" w:cs="Times New Roman"/>
                <w:color w:val="000000"/>
                <w:sz w:val="20"/>
                <w:szCs w:val="20"/>
              </w:rPr>
              <w:t>n/a</w:t>
            </w:r>
          </w:p>
        </w:tc>
      </w:tr>
      <w:tr w:rsidR="0000273D" w:rsidRPr="00B4133D" w:rsidTr="00242751">
        <w:tc>
          <w:tcPr>
            <w:tcW w:w="1796" w:type="pct"/>
            <w:gridSpan w:val="2"/>
            <w:shd w:val="clear" w:color="000000" w:fill="auto"/>
            <w:vAlign w:val="center"/>
            <w:hideMark/>
          </w:tcPr>
          <w:p w:rsidR="0000273D" w:rsidRPr="00DC6DEF" w:rsidRDefault="0000273D" w:rsidP="00242751">
            <w:pPr>
              <w:spacing w:after="0"/>
              <w:rPr>
                <w:rFonts w:eastAsia="Times New Roman" w:cs="Times New Roman"/>
                <w:b/>
                <w:bCs/>
                <w:color w:val="005DAA"/>
                <w:sz w:val="20"/>
                <w:szCs w:val="20"/>
              </w:rPr>
            </w:pPr>
            <w:r w:rsidRPr="00DC6DEF">
              <w:rPr>
                <w:rFonts w:eastAsia="Times New Roman" w:cs="Times New Roman"/>
                <w:b/>
                <w:bCs/>
                <w:color w:val="005DAA"/>
                <w:sz w:val="20"/>
                <w:szCs w:val="20"/>
              </w:rPr>
              <w:t>Sample (n)</w:t>
            </w:r>
          </w:p>
        </w:tc>
        <w:tc>
          <w:tcPr>
            <w:tcW w:w="798" w:type="pct"/>
            <w:shd w:val="clear" w:color="000000" w:fill="auto"/>
            <w:vAlign w:val="center"/>
            <w:hideMark/>
          </w:tcPr>
          <w:p w:rsidR="0000273D" w:rsidRPr="00DC6DEF" w:rsidRDefault="0000273D" w:rsidP="00242751">
            <w:pPr>
              <w:spacing w:after="0"/>
              <w:jc w:val="right"/>
              <w:rPr>
                <w:rFonts w:eastAsia="Times New Roman" w:cs="Times New Roman"/>
                <w:b/>
                <w:bCs/>
                <w:color w:val="005DAA"/>
                <w:sz w:val="20"/>
                <w:szCs w:val="20"/>
              </w:rPr>
            </w:pPr>
            <w:r w:rsidRPr="00DC6DEF">
              <w:rPr>
                <w:rFonts w:eastAsia="Times New Roman" w:cs="Times New Roman"/>
                <w:b/>
                <w:bCs/>
                <w:color w:val="005DAA"/>
                <w:sz w:val="20"/>
                <w:szCs w:val="20"/>
              </w:rPr>
              <w:t>1,348</w:t>
            </w:r>
          </w:p>
        </w:tc>
        <w:tc>
          <w:tcPr>
            <w:tcW w:w="800" w:type="pct"/>
            <w:shd w:val="clear" w:color="000000" w:fill="auto"/>
            <w:vAlign w:val="center"/>
            <w:hideMark/>
          </w:tcPr>
          <w:p w:rsidR="0000273D" w:rsidRPr="00DC6DEF" w:rsidRDefault="0000273D" w:rsidP="00242751">
            <w:pPr>
              <w:spacing w:after="0"/>
              <w:jc w:val="right"/>
              <w:rPr>
                <w:rFonts w:eastAsia="Times New Roman" w:cs="Times New Roman"/>
                <w:b/>
                <w:bCs/>
                <w:color w:val="005DAA"/>
                <w:sz w:val="20"/>
                <w:szCs w:val="20"/>
              </w:rPr>
            </w:pPr>
            <w:r w:rsidRPr="00DC6DEF">
              <w:rPr>
                <w:rFonts w:eastAsia="Times New Roman" w:cs="Times New Roman"/>
                <w:b/>
                <w:bCs/>
                <w:color w:val="005DAA"/>
                <w:sz w:val="20"/>
                <w:szCs w:val="20"/>
              </w:rPr>
              <w:t>2,670</w:t>
            </w:r>
          </w:p>
        </w:tc>
        <w:tc>
          <w:tcPr>
            <w:tcW w:w="846" w:type="pct"/>
            <w:shd w:val="clear" w:color="000000" w:fill="auto"/>
            <w:vAlign w:val="center"/>
            <w:hideMark/>
          </w:tcPr>
          <w:p w:rsidR="0000273D" w:rsidRPr="00DC6DEF" w:rsidRDefault="0000273D" w:rsidP="00242751">
            <w:pPr>
              <w:spacing w:after="0"/>
              <w:jc w:val="right"/>
              <w:rPr>
                <w:rFonts w:eastAsia="Times New Roman" w:cs="Times New Roman"/>
                <w:b/>
                <w:bCs/>
                <w:color w:val="005DAA"/>
                <w:sz w:val="20"/>
                <w:szCs w:val="20"/>
              </w:rPr>
            </w:pPr>
            <w:r w:rsidRPr="00DC6DEF">
              <w:rPr>
                <w:rFonts w:eastAsia="Times New Roman" w:cs="Times New Roman"/>
                <w:b/>
                <w:bCs/>
                <w:color w:val="005DAA"/>
                <w:sz w:val="20"/>
                <w:szCs w:val="20"/>
              </w:rPr>
              <w:t> </w:t>
            </w:r>
          </w:p>
        </w:tc>
        <w:tc>
          <w:tcPr>
            <w:tcW w:w="760" w:type="pct"/>
            <w:shd w:val="clear" w:color="000000" w:fill="auto"/>
            <w:vAlign w:val="center"/>
            <w:hideMark/>
          </w:tcPr>
          <w:p w:rsidR="0000273D" w:rsidRPr="00DC6DEF" w:rsidRDefault="0000273D" w:rsidP="00242751">
            <w:pPr>
              <w:spacing w:after="0"/>
              <w:jc w:val="right"/>
              <w:rPr>
                <w:rFonts w:eastAsia="Times New Roman" w:cs="Times New Roman"/>
                <w:b/>
                <w:bCs/>
                <w:color w:val="005DAA"/>
                <w:sz w:val="20"/>
                <w:szCs w:val="20"/>
              </w:rPr>
            </w:pPr>
            <w:r w:rsidRPr="00DC6DEF">
              <w:rPr>
                <w:rFonts w:eastAsia="Times New Roman" w:cs="Times New Roman"/>
                <w:b/>
                <w:bCs/>
                <w:color w:val="005DAA"/>
                <w:sz w:val="20"/>
                <w:szCs w:val="20"/>
              </w:rPr>
              <w:t> </w:t>
            </w:r>
          </w:p>
        </w:tc>
      </w:tr>
    </w:tbl>
    <w:p w:rsidR="00DC6DEF" w:rsidRPr="00DC6DEF" w:rsidRDefault="00DC6DEF" w:rsidP="0000273D">
      <w:pPr>
        <w:pStyle w:val="NormalAfterTablesandFigures"/>
        <w:rPr>
          <w:sz w:val="20"/>
          <w:szCs w:val="20"/>
          <w:highlight w:val="yellow"/>
        </w:rPr>
      </w:pPr>
      <w:r>
        <w:rPr>
          <w:rFonts w:ascii="Calibri" w:eastAsia="Times New Roman" w:hAnsi="Calibri" w:cs="Times New Roman"/>
          <w:color w:val="000000"/>
          <w:sz w:val="20"/>
          <w:szCs w:val="20"/>
        </w:rPr>
        <w:t>*</w:t>
      </w:r>
      <w:r w:rsidRPr="00DC6DEF">
        <w:rPr>
          <w:rFonts w:ascii="Calibri" w:eastAsia="Times New Roman" w:hAnsi="Calibri" w:cs="Times New Roman"/>
          <w:color w:val="000000"/>
          <w:sz w:val="20"/>
          <w:szCs w:val="20"/>
        </w:rPr>
        <w:t>Contains a mix of low-flow showerheads, faucet aerators, and pipe insulation</w:t>
      </w:r>
      <w:r>
        <w:rPr>
          <w:rFonts w:ascii="Calibri" w:eastAsia="Times New Roman" w:hAnsi="Calibri" w:cs="Times New Roman"/>
          <w:color w:val="000000"/>
          <w:sz w:val="20"/>
          <w:szCs w:val="20"/>
        </w:rPr>
        <w:t>.</w:t>
      </w:r>
    </w:p>
    <w:p w:rsidR="00DC6DEF" w:rsidRPr="00DC6DEF" w:rsidRDefault="00DC6DEF" w:rsidP="00242751">
      <w:pPr>
        <w:pStyle w:val="NormalAfterTablesandFigures"/>
        <w:ind w:left="180" w:hanging="180"/>
        <w:rPr>
          <w:sz w:val="20"/>
          <w:szCs w:val="20"/>
          <w:highlight w:val="yellow"/>
        </w:rPr>
      </w:pPr>
      <w:r w:rsidRPr="00DC6DEF">
        <w:rPr>
          <w:rFonts w:ascii="Calibri" w:eastAsia="Times New Roman" w:hAnsi="Calibri" w:cs="Times New Roman"/>
          <w:color w:val="000000"/>
          <w:sz w:val="20"/>
          <w:szCs w:val="20"/>
        </w:rPr>
        <w:t>*</w:t>
      </w:r>
      <w:r>
        <w:rPr>
          <w:rFonts w:ascii="Calibri" w:eastAsia="Times New Roman" w:hAnsi="Calibri" w:cs="Times New Roman"/>
          <w:color w:val="000000"/>
          <w:sz w:val="20"/>
          <w:szCs w:val="20"/>
        </w:rPr>
        <w:t>*</w:t>
      </w:r>
      <w:r w:rsidR="002E016E" w:rsidRPr="00550EE6">
        <w:rPr>
          <w:rFonts w:ascii="Calibri" w:eastAsia="Times New Roman" w:hAnsi="Calibri" w:cs="Times New Roman"/>
          <w:color w:val="000000"/>
          <w:sz w:val="20"/>
          <w:szCs w:val="20"/>
        </w:rPr>
        <w:t xml:space="preserve">SP4 participation is defined using the tracking system and may include instances of crossover participation into other HES-IE </w:t>
      </w:r>
      <w:r w:rsidR="002E016E">
        <w:rPr>
          <w:rFonts w:ascii="Calibri" w:eastAsia="Times New Roman" w:hAnsi="Calibri" w:cs="Times New Roman"/>
          <w:color w:val="000000"/>
          <w:sz w:val="20"/>
          <w:szCs w:val="20"/>
        </w:rPr>
        <w:t>SPs</w:t>
      </w:r>
      <w:r w:rsidR="00CC0DCD">
        <w:rPr>
          <w:rFonts w:ascii="Calibri" w:eastAsia="Times New Roman" w:hAnsi="Calibri" w:cs="Times New Roman"/>
          <w:color w:val="000000"/>
          <w:sz w:val="20"/>
          <w:szCs w:val="20"/>
        </w:rPr>
        <w:t>—a desired outcome in that SP4 is designed to feed into SP1 and SP2—</w:t>
      </w:r>
      <w:r w:rsidR="00CC0DCD" w:rsidRPr="00550EE6">
        <w:rPr>
          <w:rFonts w:ascii="Calibri" w:eastAsia="Times New Roman" w:hAnsi="Calibri" w:cs="Times New Roman"/>
          <w:color w:val="000000"/>
          <w:sz w:val="20"/>
          <w:szCs w:val="20"/>
        </w:rPr>
        <w:t>resulting in additional measure installations for this sample.</w:t>
      </w:r>
      <w:r w:rsidR="00CC0DCD">
        <w:rPr>
          <w:rFonts w:ascii="Calibri" w:eastAsia="Times New Roman" w:hAnsi="Calibri" w:cs="Times New Roman"/>
          <w:color w:val="000000"/>
          <w:sz w:val="20"/>
          <w:szCs w:val="20"/>
        </w:rPr>
        <w:t xml:space="preserve"> </w:t>
      </w:r>
      <w:r w:rsidR="005A3B14">
        <w:rPr>
          <w:rFonts w:ascii="Calibri" w:eastAsia="Times New Roman" w:hAnsi="Calibri" w:cs="Times New Roman"/>
          <w:color w:val="000000"/>
          <w:sz w:val="20"/>
          <w:szCs w:val="20"/>
        </w:rPr>
        <w:t>To avoid double counting, t</w:t>
      </w:r>
      <w:r w:rsidR="00CC0DCD">
        <w:rPr>
          <w:rFonts w:ascii="Calibri" w:eastAsia="Times New Roman" w:hAnsi="Calibri" w:cs="Times New Roman"/>
          <w:color w:val="000000"/>
          <w:sz w:val="20"/>
          <w:szCs w:val="20"/>
        </w:rPr>
        <w:t xml:space="preserve">he analysis captures these savings in SP4 </w:t>
      </w:r>
      <w:r w:rsidR="005A3B14">
        <w:rPr>
          <w:rFonts w:ascii="Calibri" w:eastAsia="Times New Roman" w:hAnsi="Calibri" w:cs="Times New Roman"/>
          <w:color w:val="000000"/>
          <w:sz w:val="20"/>
          <w:szCs w:val="20"/>
        </w:rPr>
        <w:t xml:space="preserve">but </w:t>
      </w:r>
      <w:r w:rsidR="00CC0DCD">
        <w:rPr>
          <w:rFonts w:ascii="Calibri" w:eastAsia="Times New Roman" w:hAnsi="Calibri" w:cs="Times New Roman"/>
          <w:color w:val="000000"/>
          <w:sz w:val="20"/>
          <w:szCs w:val="20"/>
        </w:rPr>
        <w:t>not SP1 or SP2.</w:t>
      </w:r>
    </w:p>
    <w:p w:rsidR="00DC6DEF" w:rsidRPr="00783F84" w:rsidRDefault="00DC6DEF" w:rsidP="0000273D">
      <w:pPr>
        <w:pStyle w:val="NormalAfterTablesandFigures"/>
        <w:rPr>
          <w:highlight w:val="yellow"/>
        </w:rPr>
      </w:pPr>
    </w:p>
    <w:p w:rsidR="0000273D" w:rsidRPr="00880D99" w:rsidRDefault="002A4335" w:rsidP="00BF5572">
      <w:r>
        <w:t>G</w:t>
      </w:r>
      <w:r w:rsidR="0000273D" w:rsidRPr="00880D99">
        <w:t>eneral</w:t>
      </w:r>
      <w:r>
        <w:t>ly</w:t>
      </w:r>
      <w:r w:rsidR="0000273D" w:rsidRPr="00880D99">
        <w:t xml:space="preserve">, SP1 and SP4 </w:t>
      </w:r>
      <w:r w:rsidR="005A3B14" w:rsidRPr="00880D99">
        <w:t>installation activit</w:t>
      </w:r>
      <w:r w:rsidR="005A3B14">
        <w:t>ies</w:t>
      </w:r>
      <w:r w:rsidR="005A3B14" w:rsidRPr="00880D99">
        <w:t xml:space="preserve"> </w:t>
      </w:r>
      <w:r w:rsidR="0000273D" w:rsidRPr="00880D99">
        <w:t xml:space="preserve">(and the associated electric impacts) </w:t>
      </w:r>
      <w:r w:rsidR="005A3B14">
        <w:t>were</w:t>
      </w:r>
      <w:r w:rsidR="0000273D" w:rsidRPr="00880D99">
        <w:t xml:space="preserve"> characterized by high frequencies of energy-efficient lighting (93% for SP1, 96% for SP4) and hot-water saving measures (26%, 77%), with </w:t>
      </w:r>
      <w:r>
        <w:t xml:space="preserve">SP1 also indicating high installation rates for </w:t>
      </w:r>
      <w:r w:rsidR="0000273D" w:rsidRPr="00880D99">
        <w:t>refrigerator replacement</w:t>
      </w:r>
      <w:r>
        <w:t>s</w:t>
      </w:r>
      <w:r w:rsidR="0000273D" w:rsidRPr="00880D99">
        <w:t xml:space="preserve"> (23%). </w:t>
      </w:r>
    </w:p>
    <w:p w:rsidR="0000273D" w:rsidRPr="007C2A04" w:rsidRDefault="0000273D" w:rsidP="00BF5572">
      <w:r w:rsidRPr="008B7BDA">
        <w:t xml:space="preserve">To provide additional context </w:t>
      </w:r>
      <w:r w:rsidR="002A4335">
        <w:t xml:space="preserve">regarding </w:t>
      </w:r>
      <w:r w:rsidRPr="008B7BDA">
        <w:t xml:space="preserve">the program-specific impacts, </w:t>
      </w:r>
      <w:r w:rsidR="002506E1">
        <w:fldChar w:fldCharType="begin"/>
      </w:r>
      <w:r w:rsidR="002506E1">
        <w:instrText xml:space="preserve"> REF _Ref382915691 \h  \* MERGEFORMAT </w:instrText>
      </w:r>
      <w:r w:rsidR="002506E1">
        <w:fldChar w:fldCharType="separate"/>
      </w:r>
      <w:r w:rsidR="00CD20CF" w:rsidRPr="007C2A04">
        <w:t xml:space="preserve">Table </w:t>
      </w:r>
      <w:r w:rsidR="00CD20CF">
        <w:rPr>
          <w:noProof/>
        </w:rPr>
        <w:t>72</w:t>
      </w:r>
      <w:r w:rsidR="002506E1">
        <w:fldChar w:fldCharType="end"/>
      </w:r>
      <w:r w:rsidRPr="008B7BDA">
        <w:t xml:space="preserve"> and </w:t>
      </w:r>
      <w:r w:rsidR="002506E1">
        <w:fldChar w:fldCharType="begin"/>
      </w:r>
      <w:r w:rsidR="002506E1">
        <w:instrText xml:space="preserve"> REF _Ref382915692 \h  \* MERGEFORMAT </w:instrText>
      </w:r>
      <w:r w:rsidR="002506E1">
        <w:fldChar w:fldCharType="separate"/>
      </w:r>
      <w:r w:rsidR="00CD20CF" w:rsidRPr="00880D99">
        <w:t xml:space="preserve">Table </w:t>
      </w:r>
      <w:r w:rsidR="00CD20CF">
        <w:rPr>
          <w:noProof/>
        </w:rPr>
        <w:t>73</w:t>
      </w:r>
      <w:r w:rsidR="002506E1">
        <w:fldChar w:fldCharType="end"/>
      </w:r>
      <w:r w:rsidRPr="008B7BDA">
        <w:t xml:space="preserve"> show the HES</w:t>
      </w:r>
      <w:r w:rsidR="001478F7">
        <w:t>-IE SP</w:t>
      </w:r>
      <w:r>
        <w:t>1 and SP4</w:t>
      </w:r>
      <w:r w:rsidRPr="008B7BDA">
        <w:t xml:space="preserve"> adjusted gross energy savings by heating type (electric versus non-electric) and building type (</w:t>
      </w:r>
      <w:r w:rsidRPr="007C2A04">
        <w:t>single</w:t>
      </w:r>
      <w:r w:rsidR="002A4335">
        <w:t>-</w:t>
      </w:r>
      <w:r w:rsidRPr="007C2A04">
        <w:t>family versus multifamily).</w:t>
      </w:r>
    </w:p>
    <w:p w:rsidR="0000273D" w:rsidRPr="007C2A04" w:rsidRDefault="002506E1" w:rsidP="00BF5572">
      <w:r>
        <w:fldChar w:fldCharType="begin"/>
      </w:r>
      <w:r>
        <w:instrText xml:space="preserve"> REF _Ref382915691 \h  \* MERG</w:instrText>
      </w:r>
      <w:r>
        <w:instrText xml:space="preserve">EFORMAT </w:instrText>
      </w:r>
      <w:r>
        <w:fldChar w:fldCharType="separate"/>
      </w:r>
      <w:r w:rsidR="00CD20CF" w:rsidRPr="007C2A04">
        <w:t xml:space="preserve">Table </w:t>
      </w:r>
      <w:r w:rsidR="00CD20CF">
        <w:rPr>
          <w:noProof/>
        </w:rPr>
        <w:t>72</w:t>
      </w:r>
      <w:r>
        <w:fldChar w:fldCharType="end"/>
      </w:r>
      <w:r w:rsidR="0000273D" w:rsidRPr="007C2A04">
        <w:t xml:space="preserve"> </w:t>
      </w:r>
      <w:r w:rsidR="00150AD4">
        <w:t>illustrates</w:t>
      </w:r>
      <w:r w:rsidR="0000273D" w:rsidRPr="007C2A04">
        <w:t xml:space="preserve"> the larger</w:t>
      </w:r>
      <w:r w:rsidR="005A3B14">
        <w:t>,</w:t>
      </w:r>
      <w:r w:rsidR="0000273D" w:rsidRPr="007C2A04">
        <w:t xml:space="preserve"> absolute energy savings associated with electrically heated homes for HES-IE </w:t>
      </w:r>
      <w:r w:rsidR="0000273D">
        <w:t>SP</w:t>
      </w:r>
      <w:r w:rsidR="0000273D" w:rsidRPr="007C2A04">
        <w:t xml:space="preserve">1 and </w:t>
      </w:r>
      <w:r w:rsidR="0000273D">
        <w:t>SP</w:t>
      </w:r>
      <w:r w:rsidR="0000273D" w:rsidRPr="007C2A04">
        <w:t xml:space="preserve">4. </w:t>
      </w:r>
      <w:r w:rsidR="002A4335">
        <w:t>E</w:t>
      </w:r>
      <w:r w:rsidR="0000273D" w:rsidRPr="007C2A04">
        <w:t>lectric</w:t>
      </w:r>
      <w:r w:rsidR="002A4335">
        <w:t>-</w:t>
      </w:r>
      <w:r w:rsidR="0000273D" w:rsidRPr="007C2A04">
        <w:t xml:space="preserve">heat homes </w:t>
      </w:r>
      <w:r w:rsidR="002A4335">
        <w:t xml:space="preserve">make up </w:t>
      </w:r>
      <w:r w:rsidR="0000273D" w:rsidRPr="007C2A04">
        <w:t>a small part of the sample</w:t>
      </w:r>
      <w:r w:rsidR="002A4335">
        <w:t>,</w:t>
      </w:r>
      <w:r w:rsidR="0000273D" w:rsidRPr="007C2A04">
        <w:t xml:space="preserve"> especially in </w:t>
      </w:r>
      <w:r w:rsidR="0000273D">
        <w:t>SP</w:t>
      </w:r>
      <w:r w:rsidR="0000273D" w:rsidRPr="007C2A04">
        <w:t>1</w:t>
      </w:r>
      <w:r w:rsidR="005A3B14">
        <w:t>;</w:t>
      </w:r>
      <w:r w:rsidR="0000273D" w:rsidRPr="007C2A04">
        <w:t xml:space="preserve"> </w:t>
      </w:r>
      <w:r w:rsidR="005A3B14">
        <w:t>consequently</w:t>
      </w:r>
      <w:r w:rsidR="0000273D" w:rsidRPr="007C2A04">
        <w:t xml:space="preserve"> overall savings, percent savings, and precision more closely resemble non-electric homes than electric ones. </w:t>
      </w:r>
    </w:p>
    <w:p w:rsidR="0000273D" w:rsidRPr="007C2A04" w:rsidRDefault="0000273D" w:rsidP="0000273D">
      <w:pPr>
        <w:pStyle w:val="Caption"/>
      </w:pPr>
      <w:bookmarkStart w:id="126" w:name="_Ref382915691"/>
      <w:r w:rsidRPr="007C2A04">
        <w:lastRenderedPageBreak/>
        <w:t xml:space="preserve">Table </w:t>
      </w:r>
      <w:r w:rsidR="002506E1">
        <w:fldChar w:fldCharType="begin"/>
      </w:r>
      <w:r w:rsidR="002506E1">
        <w:instrText xml:space="preserve"> SEQ Table \* ARABIC </w:instrText>
      </w:r>
      <w:r w:rsidR="002506E1">
        <w:fldChar w:fldCharType="separate"/>
      </w:r>
      <w:r w:rsidR="00CD20CF">
        <w:rPr>
          <w:noProof/>
        </w:rPr>
        <w:t>72</w:t>
      </w:r>
      <w:r w:rsidR="002506E1">
        <w:rPr>
          <w:noProof/>
        </w:rPr>
        <w:fldChar w:fldCharType="end"/>
      </w:r>
      <w:bookmarkEnd w:id="126"/>
      <w:r w:rsidRPr="007C2A04">
        <w:t xml:space="preserve">. HES-IE SP1 </w:t>
      </w:r>
      <w:r>
        <w:t>and</w:t>
      </w:r>
      <w:r w:rsidRPr="007C2A04">
        <w:t xml:space="preserve"> SP4 Electric Billing Analysis: Savings Summary, </w:t>
      </w:r>
      <w:r w:rsidR="00BF5572">
        <w:br/>
      </w:r>
      <w:r w:rsidRPr="007C2A04">
        <w:t>by Participant Heating Fuel (Adjusted Gross)</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69"/>
        <w:gridCol w:w="1582"/>
        <w:gridCol w:w="718"/>
        <w:gridCol w:w="990"/>
        <w:gridCol w:w="1710"/>
        <w:gridCol w:w="1616"/>
        <w:gridCol w:w="1191"/>
      </w:tblGrid>
      <w:tr w:rsidR="0000273D" w:rsidRPr="007C2A04" w:rsidTr="002A4335">
        <w:tc>
          <w:tcPr>
            <w:tcW w:w="923" w:type="pct"/>
            <w:shd w:val="clear" w:color="000000" w:fill="005DAA"/>
            <w:vAlign w:val="center"/>
          </w:tcPr>
          <w:p w:rsidR="0000273D" w:rsidRPr="007C2A04" w:rsidRDefault="0000273D" w:rsidP="0000273D">
            <w:pPr>
              <w:pStyle w:val="TableHeading-left"/>
              <w:keepNext/>
              <w:keepLines/>
              <w:jc w:val="center"/>
            </w:pPr>
            <w:r w:rsidRPr="007C2A04">
              <w:t>HES-IE Subgroup</w:t>
            </w:r>
          </w:p>
        </w:tc>
        <w:tc>
          <w:tcPr>
            <w:tcW w:w="826" w:type="pct"/>
            <w:shd w:val="clear" w:color="000000" w:fill="005DAA"/>
            <w:vAlign w:val="center"/>
            <w:hideMark/>
          </w:tcPr>
          <w:p w:rsidR="0000273D" w:rsidRPr="007C2A04" w:rsidRDefault="0000273D" w:rsidP="0000273D">
            <w:pPr>
              <w:pStyle w:val="TableHeading-left"/>
              <w:keepNext/>
              <w:keepLines/>
              <w:jc w:val="center"/>
            </w:pPr>
            <w:r w:rsidRPr="007C2A04">
              <w:t>Participant Heating Type</w:t>
            </w:r>
          </w:p>
        </w:tc>
        <w:tc>
          <w:tcPr>
            <w:tcW w:w="375" w:type="pct"/>
            <w:shd w:val="clear" w:color="000000" w:fill="005DAA"/>
            <w:vAlign w:val="center"/>
            <w:hideMark/>
          </w:tcPr>
          <w:p w:rsidR="0000273D" w:rsidRPr="007C2A04" w:rsidRDefault="0000273D" w:rsidP="0000273D">
            <w:pPr>
              <w:pStyle w:val="TableHeading-centered"/>
              <w:keepNext/>
              <w:keepLines/>
            </w:pPr>
            <w:r w:rsidRPr="007C2A04">
              <w:t>n</w:t>
            </w:r>
          </w:p>
        </w:tc>
        <w:tc>
          <w:tcPr>
            <w:tcW w:w="517" w:type="pct"/>
            <w:shd w:val="clear" w:color="000000" w:fill="005DAA"/>
            <w:vAlign w:val="center"/>
            <w:hideMark/>
          </w:tcPr>
          <w:p w:rsidR="0000273D" w:rsidRPr="007C2A04" w:rsidRDefault="0000273D" w:rsidP="0000273D">
            <w:pPr>
              <w:pStyle w:val="TableHeading-centered"/>
              <w:keepNext/>
              <w:keepLines/>
            </w:pPr>
            <w:r w:rsidRPr="007C2A04">
              <w:t>PRENAC</w:t>
            </w:r>
          </w:p>
        </w:tc>
        <w:tc>
          <w:tcPr>
            <w:tcW w:w="893" w:type="pct"/>
            <w:shd w:val="clear" w:color="000000" w:fill="005DAA"/>
            <w:vAlign w:val="center"/>
            <w:hideMark/>
          </w:tcPr>
          <w:p w:rsidR="0000273D" w:rsidRPr="007C2A04" w:rsidRDefault="0000273D" w:rsidP="0000273D">
            <w:pPr>
              <w:pStyle w:val="TableHeading-centered"/>
              <w:keepNext/>
              <w:keepLines/>
            </w:pPr>
            <w:r w:rsidRPr="007C2A04">
              <w:t>Model Savings (kWh)</w:t>
            </w:r>
          </w:p>
        </w:tc>
        <w:tc>
          <w:tcPr>
            <w:tcW w:w="844" w:type="pct"/>
            <w:shd w:val="clear" w:color="000000" w:fill="005DAA"/>
            <w:vAlign w:val="center"/>
            <w:hideMark/>
          </w:tcPr>
          <w:p w:rsidR="0000273D" w:rsidRPr="007C2A04" w:rsidRDefault="0000273D" w:rsidP="0000273D">
            <w:pPr>
              <w:pStyle w:val="TableHeading-centered"/>
              <w:keepNext/>
              <w:keepLines/>
            </w:pPr>
            <w:r w:rsidRPr="007C2A04">
              <w:t>Savings as Percentage of Pre-Usage</w:t>
            </w:r>
          </w:p>
        </w:tc>
        <w:tc>
          <w:tcPr>
            <w:tcW w:w="622" w:type="pct"/>
            <w:shd w:val="clear" w:color="000000" w:fill="005DAA"/>
            <w:vAlign w:val="center"/>
            <w:hideMark/>
          </w:tcPr>
          <w:p w:rsidR="0000273D" w:rsidRPr="007C2A04" w:rsidRDefault="0000273D" w:rsidP="0000273D">
            <w:pPr>
              <w:pStyle w:val="TableHeading-centered"/>
              <w:keepNext/>
              <w:keepLines/>
            </w:pPr>
            <w:r w:rsidRPr="007C2A04">
              <w:t>Relative Precision at</w:t>
            </w:r>
            <w:r w:rsidR="002953AD">
              <w:t xml:space="preserve"> </w:t>
            </w:r>
            <w:r w:rsidRPr="007C2A04">
              <w:t>90%</w:t>
            </w:r>
          </w:p>
        </w:tc>
      </w:tr>
      <w:tr w:rsidR="0000273D" w:rsidRPr="007C2A04" w:rsidTr="002A4335">
        <w:tc>
          <w:tcPr>
            <w:tcW w:w="923" w:type="pct"/>
            <w:vMerge w:val="restart"/>
            <w:vAlign w:val="center"/>
          </w:tcPr>
          <w:p w:rsidR="0000273D" w:rsidRPr="007C2A04" w:rsidRDefault="0000273D" w:rsidP="0000273D">
            <w:pPr>
              <w:pStyle w:val="TableRow-left"/>
              <w:keepNext/>
              <w:keepLines/>
            </w:pPr>
            <w:r w:rsidRPr="007C2A04">
              <w:t>SP1</w:t>
            </w:r>
          </w:p>
        </w:tc>
        <w:tc>
          <w:tcPr>
            <w:tcW w:w="826" w:type="pct"/>
            <w:shd w:val="clear" w:color="auto" w:fill="auto"/>
            <w:vAlign w:val="center"/>
            <w:hideMark/>
          </w:tcPr>
          <w:p w:rsidR="0000273D" w:rsidRPr="00BF5572" w:rsidRDefault="0000273D" w:rsidP="0000273D">
            <w:pPr>
              <w:pStyle w:val="TableRow-left"/>
              <w:keepNext/>
              <w:keepLines/>
              <w:rPr>
                <w:szCs w:val="20"/>
              </w:rPr>
            </w:pPr>
            <w:r w:rsidRPr="00BF5572">
              <w:rPr>
                <w:szCs w:val="20"/>
              </w:rPr>
              <w:t>Electric</w:t>
            </w:r>
          </w:p>
        </w:tc>
        <w:tc>
          <w:tcPr>
            <w:tcW w:w="375" w:type="pct"/>
            <w:shd w:val="clear" w:color="auto" w:fill="auto"/>
            <w:vAlign w:val="center"/>
          </w:tcPr>
          <w:p w:rsidR="0000273D" w:rsidRPr="00BF5572" w:rsidRDefault="0000273D" w:rsidP="0000273D">
            <w:pPr>
              <w:spacing w:after="0"/>
              <w:jc w:val="right"/>
              <w:rPr>
                <w:rFonts w:ascii="Calibri" w:hAnsi="Calibri"/>
                <w:color w:val="000000"/>
                <w:sz w:val="20"/>
                <w:szCs w:val="20"/>
              </w:rPr>
            </w:pPr>
            <w:r w:rsidRPr="00BF5572">
              <w:rPr>
                <w:rFonts w:ascii="Calibri" w:hAnsi="Calibri"/>
                <w:color w:val="000000"/>
                <w:sz w:val="20"/>
                <w:szCs w:val="20"/>
              </w:rPr>
              <w:t>130</w:t>
            </w:r>
          </w:p>
        </w:tc>
        <w:tc>
          <w:tcPr>
            <w:tcW w:w="517" w:type="pct"/>
            <w:shd w:val="clear" w:color="auto" w:fill="auto"/>
            <w:vAlign w:val="center"/>
          </w:tcPr>
          <w:p w:rsidR="0000273D" w:rsidRPr="00BF5572" w:rsidRDefault="0000273D" w:rsidP="0000273D">
            <w:pPr>
              <w:spacing w:after="0"/>
              <w:jc w:val="right"/>
              <w:rPr>
                <w:rFonts w:ascii="Calibri" w:hAnsi="Calibri"/>
                <w:color w:val="000000"/>
                <w:sz w:val="20"/>
                <w:szCs w:val="20"/>
              </w:rPr>
            </w:pPr>
            <w:r w:rsidRPr="00BF5572">
              <w:rPr>
                <w:rFonts w:ascii="Calibri" w:hAnsi="Calibri"/>
                <w:color w:val="000000"/>
                <w:sz w:val="20"/>
                <w:szCs w:val="20"/>
              </w:rPr>
              <w:t>15,277</w:t>
            </w:r>
          </w:p>
        </w:tc>
        <w:tc>
          <w:tcPr>
            <w:tcW w:w="893" w:type="pct"/>
            <w:shd w:val="clear" w:color="auto" w:fill="auto"/>
            <w:vAlign w:val="center"/>
          </w:tcPr>
          <w:p w:rsidR="0000273D" w:rsidRPr="00BF5572" w:rsidRDefault="0000273D" w:rsidP="0000273D">
            <w:pPr>
              <w:spacing w:after="0"/>
              <w:jc w:val="right"/>
              <w:rPr>
                <w:rFonts w:ascii="Calibri" w:hAnsi="Calibri"/>
                <w:color w:val="000000"/>
                <w:sz w:val="20"/>
                <w:szCs w:val="20"/>
              </w:rPr>
            </w:pPr>
            <w:r w:rsidRPr="00BF5572">
              <w:rPr>
                <w:rFonts w:ascii="Calibri" w:hAnsi="Calibri"/>
                <w:color w:val="000000"/>
                <w:sz w:val="20"/>
                <w:szCs w:val="20"/>
              </w:rPr>
              <w:t>1,279</w:t>
            </w:r>
          </w:p>
        </w:tc>
        <w:tc>
          <w:tcPr>
            <w:tcW w:w="844" w:type="pct"/>
            <w:shd w:val="clear" w:color="auto" w:fill="auto"/>
            <w:vAlign w:val="center"/>
          </w:tcPr>
          <w:p w:rsidR="0000273D" w:rsidRPr="00BF5572" w:rsidRDefault="0000273D" w:rsidP="0000273D">
            <w:pPr>
              <w:spacing w:after="0"/>
              <w:jc w:val="right"/>
              <w:rPr>
                <w:rFonts w:ascii="Calibri" w:hAnsi="Calibri"/>
                <w:color w:val="000000"/>
                <w:sz w:val="20"/>
                <w:szCs w:val="20"/>
              </w:rPr>
            </w:pPr>
            <w:r w:rsidRPr="00BF5572">
              <w:rPr>
                <w:rFonts w:ascii="Calibri" w:hAnsi="Calibri"/>
                <w:color w:val="000000"/>
                <w:sz w:val="20"/>
                <w:szCs w:val="20"/>
              </w:rPr>
              <w:t>8%</w:t>
            </w:r>
          </w:p>
        </w:tc>
        <w:tc>
          <w:tcPr>
            <w:tcW w:w="622" w:type="pct"/>
            <w:shd w:val="clear" w:color="auto" w:fill="auto"/>
            <w:vAlign w:val="center"/>
          </w:tcPr>
          <w:p w:rsidR="0000273D" w:rsidRPr="00BF5572" w:rsidRDefault="0000273D" w:rsidP="0000273D">
            <w:pPr>
              <w:spacing w:after="0"/>
              <w:jc w:val="right"/>
              <w:rPr>
                <w:rFonts w:ascii="Calibri" w:hAnsi="Calibri"/>
                <w:color w:val="000000"/>
                <w:sz w:val="20"/>
                <w:szCs w:val="20"/>
              </w:rPr>
            </w:pPr>
            <w:r w:rsidRPr="00BF5572">
              <w:rPr>
                <w:sz w:val="20"/>
                <w:szCs w:val="20"/>
              </w:rPr>
              <w:t>±</w:t>
            </w:r>
            <w:r w:rsidRPr="00BF5572">
              <w:rPr>
                <w:rFonts w:ascii="Calibri" w:hAnsi="Calibri"/>
                <w:color w:val="000000"/>
                <w:sz w:val="20"/>
                <w:szCs w:val="20"/>
              </w:rPr>
              <w:t>73%</w:t>
            </w:r>
          </w:p>
        </w:tc>
      </w:tr>
      <w:tr w:rsidR="0000273D" w:rsidRPr="007C2A04" w:rsidTr="00242751">
        <w:tc>
          <w:tcPr>
            <w:tcW w:w="923" w:type="pct"/>
            <w:vMerge/>
            <w:vAlign w:val="center"/>
          </w:tcPr>
          <w:p w:rsidR="0000273D" w:rsidRPr="007C2A04" w:rsidRDefault="0000273D" w:rsidP="0000273D">
            <w:pPr>
              <w:pStyle w:val="TableRow-left"/>
              <w:keepNext/>
              <w:keepLines/>
            </w:pPr>
          </w:p>
        </w:tc>
        <w:tc>
          <w:tcPr>
            <w:tcW w:w="826" w:type="pct"/>
            <w:tcBorders>
              <w:bottom w:val="single" w:sz="4" w:space="0" w:color="BFBFBF"/>
            </w:tcBorders>
            <w:shd w:val="clear" w:color="auto" w:fill="auto"/>
            <w:vAlign w:val="center"/>
            <w:hideMark/>
          </w:tcPr>
          <w:p w:rsidR="0000273D" w:rsidRPr="00BF5572" w:rsidRDefault="0000273D" w:rsidP="0000273D">
            <w:pPr>
              <w:pStyle w:val="TableRow-left"/>
              <w:keepNext/>
              <w:keepLines/>
              <w:rPr>
                <w:szCs w:val="20"/>
              </w:rPr>
            </w:pPr>
            <w:r w:rsidRPr="00BF5572">
              <w:rPr>
                <w:szCs w:val="20"/>
              </w:rPr>
              <w:t>Non-electric</w:t>
            </w:r>
          </w:p>
        </w:tc>
        <w:tc>
          <w:tcPr>
            <w:tcW w:w="375" w:type="pct"/>
            <w:tcBorders>
              <w:bottom w:val="single" w:sz="4" w:space="0" w:color="BFBFBF"/>
            </w:tcBorders>
            <w:shd w:val="clear" w:color="auto" w:fill="auto"/>
            <w:vAlign w:val="center"/>
          </w:tcPr>
          <w:p w:rsidR="0000273D" w:rsidRPr="00BF5572" w:rsidRDefault="0000273D" w:rsidP="0000273D">
            <w:pPr>
              <w:spacing w:after="0"/>
              <w:jc w:val="right"/>
              <w:rPr>
                <w:rFonts w:ascii="Calibri" w:hAnsi="Calibri"/>
                <w:color w:val="000000"/>
                <w:sz w:val="20"/>
                <w:szCs w:val="20"/>
              </w:rPr>
            </w:pPr>
            <w:r w:rsidRPr="00BF5572">
              <w:rPr>
                <w:rFonts w:ascii="Calibri" w:hAnsi="Calibri"/>
                <w:color w:val="000000"/>
                <w:sz w:val="20"/>
                <w:szCs w:val="20"/>
              </w:rPr>
              <w:t>1,218</w:t>
            </w:r>
          </w:p>
        </w:tc>
        <w:tc>
          <w:tcPr>
            <w:tcW w:w="517" w:type="pct"/>
            <w:tcBorders>
              <w:bottom w:val="single" w:sz="4" w:space="0" w:color="BFBFBF"/>
            </w:tcBorders>
            <w:shd w:val="clear" w:color="auto" w:fill="auto"/>
            <w:vAlign w:val="center"/>
          </w:tcPr>
          <w:p w:rsidR="0000273D" w:rsidRPr="00BF5572" w:rsidRDefault="0000273D" w:rsidP="0000273D">
            <w:pPr>
              <w:spacing w:after="0"/>
              <w:jc w:val="right"/>
              <w:rPr>
                <w:rFonts w:ascii="Calibri" w:hAnsi="Calibri"/>
                <w:color w:val="000000"/>
                <w:sz w:val="20"/>
                <w:szCs w:val="20"/>
              </w:rPr>
            </w:pPr>
            <w:r w:rsidRPr="00BF5572">
              <w:rPr>
                <w:rFonts w:ascii="Calibri" w:hAnsi="Calibri"/>
                <w:color w:val="000000"/>
                <w:sz w:val="20"/>
                <w:szCs w:val="20"/>
              </w:rPr>
              <w:t>8,007</w:t>
            </w:r>
          </w:p>
        </w:tc>
        <w:tc>
          <w:tcPr>
            <w:tcW w:w="893" w:type="pct"/>
            <w:tcBorders>
              <w:bottom w:val="single" w:sz="4" w:space="0" w:color="BFBFBF"/>
            </w:tcBorders>
            <w:shd w:val="clear" w:color="auto" w:fill="auto"/>
            <w:vAlign w:val="center"/>
          </w:tcPr>
          <w:p w:rsidR="0000273D" w:rsidRPr="00BF5572" w:rsidRDefault="0000273D" w:rsidP="0000273D">
            <w:pPr>
              <w:spacing w:after="0"/>
              <w:jc w:val="right"/>
              <w:rPr>
                <w:rFonts w:ascii="Calibri" w:hAnsi="Calibri"/>
                <w:color w:val="000000"/>
                <w:sz w:val="20"/>
                <w:szCs w:val="20"/>
              </w:rPr>
            </w:pPr>
            <w:r w:rsidRPr="00BF5572">
              <w:rPr>
                <w:rFonts w:ascii="Calibri" w:hAnsi="Calibri"/>
                <w:color w:val="000000"/>
                <w:sz w:val="20"/>
                <w:szCs w:val="20"/>
              </w:rPr>
              <w:t>1,051</w:t>
            </w:r>
          </w:p>
        </w:tc>
        <w:tc>
          <w:tcPr>
            <w:tcW w:w="844" w:type="pct"/>
            <w:tcBorders>
              <w:bottom w:val="single" w:sz="4" w:space="0" w:color="BFBFBF"/>
            </w:tcBorders>
            <w:shd w:val="clear" w:color="auto" w:fill="auto"/>
            <w:vAlign w:val="center"/>
          </w:tcPr>
          <w:p w:rsidR="0000273D" w:rsidRPr="00BF5572" w:rsidRDefault="0000273D" w:rsidP="0000273D">
            <w:pPr>
              <w:spacing w:after="0"/>
              <w:jc w:val="right"/>
              <w:rPr>
                <w:rFonts w:ascii="Calibri" w:hAnsi="Calibri"/>
                <w:color w:val="000000"/>
                <w:sz w:val="20"/>
                <w:szCs w:val="20"/>
              </w:rPr>
            </w:pPr>
            <w:r w:rsidRPr="00BF5572">
              <w:rPr>
                <w:rFonts w:ascii="Calibri" w:hAnsi="Calibri"/>
                <w:color w:val="000000"/>
                <w:sz w:val="20"/>
                <w:szCs w:val="20"/>
              </w:rPr>
              <w:t>13%</w:t>
            </w:r>
          </w:p>
        </w:tc>
        <w:tc>
          <w:tcPr>
            <w:tcW w:w="622" w:type="pct"/>
            <w:tcBorders>
              <w:bottom w:val="single" w:sz="4" w:space="0" w:color="BFBFBF"/>
            </w:tcBorders>
            <w:shd w:val="clear" w:color="auto" w:fill="auto"/>
            <w:vAlign w:val="center"/>
          </w:tcPr>
          <w:p w:rsidR="0000273D" w:rsidRPr="00BF5572" w:rsidRDefault="0000273D" w:rsidP="0000273D">
            <w:pPr>
              <w:spacing w:after="0"/>
              <w:jc w:val="right"/>
              <w:rPr>
                <w:rFonts w:ascii="Calibri" w:hAnsi="Calibri"/>
                <w:color w:val="000000"/>
                <w:sz w:val="20"/>
                <w:szCs w:val="20"/>
              </w:rPr>
            </w:pPr>
            <w:r w:rsidRPr="00BF5572">
              <w:rPr>
                <w:sz w:val="20"/>
                <w:szCs w:val="20"/>
              </w:rPr>
              <w:t>±</w:t>
            </w:r>
            <w:r w:rsidRPr="00BF5572">
              <w:rPr>
                <w:rFonts w:ascii="Calibri" w:hAnsi="Calibri"/>
                <w:color w:val="000000"/>
                <w:sz w:val="20"/>
                <w:szCs w:val="20"/>
              </w:rPr>
              <w:t>21%</w:t>
            </w:r>
          </w:p>
        </w:tc>
      </w:tr>
      <w:tr w:rsidR="0000273D" w:rsidRPr="007C2A04" w:rsidTr="00242751">
        <w:tc>
          <w:tcPr>
            <w:tcW w:w="923" w:type="pct"/>
            <w:vMerge/>
            <w:shd w:val="clear" w:color="000000" w:fill="D9EEFF"/>
            <w:vAlign w:val="center"/>
          </w:tcPr>
          <w:p w:rsidR="0000273D" w:rsidRPr="007C2A04" w:rsidRDefault="0000273D" w:rsidP="0000273D">
            <w:pPr>
              <w:pStyle w:val="TableRow-left"/>
              <w:keepNext/>
              <w:keepLines/>
              <w:rPr>
                <w:b/>
                <w:bCs/>
                <w:color w:val="005DAA"/>
              </w:rPr>
            </w:pPr>
          </w:p>
        </w:tc>
        <w:tc>
          <w:tcPr>
            <w:tcW w:w="826" w:type="pct"/>
            <w:shd w:val="clear" w:color="auto" w:fill="auto"/>
            <w:vAlign w:val="center"/>
            <w:hideMark/>
          </w:tcPr>
          <w:p w:rsidR="0000273D" w:rsidRPr="00BF5572" w:rsidRDefault="0000273D" w:rsidP="0000273D">
            <w:pPr>
              <w:pStyle w:val="TableRow-left"/>
              <w:keepNext/>
              <w:keepLines/>
              <w:rPr>
                <w:b/>
                <w:bCs/>
                <w:color w:val="005DAA"/>
                <w:szCs w:val="20"/>
              </w:rPr>
            </w:pPr>
            <w:r w:rsidRPr="00BF5572">
              <w:rPr>
                <w:b/>
                <w:bCs/>
                <w:color w:val="005DAA"/>
                <w:szCs w:val="20"/>
              </w:rPr>
              <w:t>Overall</w:t>
            </w:r>
          </w:p>
        </w:tc>
        <w:tc>
          <w:tcPr>
            <w:tcW w:w="375" w:type="pct"/>
            <w:shd w:val="clear" w:color="auto" w:fill="auto"/>
            <w:vAlign w:val="center"/>
          </w:tcPr>
          <w:p w:rsidR="0000273D" w:rsidRPr="00BF5572" w:rsidRDefault="0000273D" w:rsidP="0000273D">
            <w:pPr>
              <w:spacing w:after="0"/>
              <w:jc w:val="right"/>
              <w:rPr>
                <w:rFonts w:ascii="Calibri" w:hAnsi="Calibri"/>
                <w:b/>
                <w:bCs/>
                <w:color w:val="005DAA"/>
                <w:sz w:val="20"/>
                <w:szCs w:val="20"/>
              </w:rPr>
            </w:pPr>
            <w:r w:rsidRPr="00BF5572">
              <w:rPr>
                <w:rFonts w:ascii="Calibri" w:hAnsi="Calibri"/>
                <w:b/>
                <w:bCs/>
                <w:color w:val="005DAA"/>
                <w:sz w:val="20"/>
                <w:szCs w:val="20"/>
              </w:rPr>
              <w:t>1,348</w:t>
            </w:r>
          </w:p>
        </w:tc>
        <w:tc>
          <w:tcPr>
            <w:tcW w:w="517" w:type="pct"/>
            <w:shd w:val="clear" w:color="auto" w:fill="auto"/>
            <w:vAlign w:val="center"/>
          </w:tcPr>
          <w:p w:rsidR="0000273D" w:rsidRPr="00BF5572" w:rsidRDefault="0000273D" w:rsidP="0000273D">
            <w:pPr>
              <w:spacing w:after="0"/>
              <w:jc w:val="right"/>
              <w:rPr>
                <w:rFonts w:ascii="Calibri" w:hAnsi="Calibri"/>
                <w:b/>
                <w:bCs/>
                <w:color w:val="005DAA"/>
                <w:sz w:val="20"/>
                <w:szCs w:val="20"/>
              </w:rPr>
            </w:pPr>
            <w:r w:rsidRPr="00BF5572">
              <w:rPr>
                <w:rFonts w:ascii="Calibri" w:hAnsi="Calibri"/>
                <w:b/>
                <w:bCs/>
                <w:color w:val="005DAA"/>
                <w:sz w:val="20"/>
                <w:szCs w:val="20"/>
              </w:rPr>
              <w:t>8,708</w:t>
            </w:r>
          </w:p>
        </w:tc>
        <w:tc>
          <w:tcPr>
            <w:tcW w:w="893" w:type="pct"/>
            <w:shd w:val="clear" w:color="auto" w:fill="auto"/>
            <w:vAlign w:val="center"/>
          </w:tcPr>
          <w:p w:rsidR="0000273D" w:rsidRPr="00BF5572" w:rsidRDefault="0000273D" w:rsidP="0000273D">
            <w:pPr>
              <w:spacing w:after="0"/>
              <w:jc w:val="right"/>
              <w:rPr>
                <w:rFonts w:ascii="Calibri" w:hAnsi="Calibri"/>
                <w:b/>
                <w:bCs/>
                <w:color w:val="005DAA"/>
                <w:sz w:val="20"/>
                <w:szCs w:val="20"/>
              </w:rPr>
            </w:pPr>
            <w:r w:rsidRPr="00BF5572">
              <w:rPr>
                <w:rFonts w:ascii="Calibri" w:hAnsi="Calibri"/>
                <w:b/>
                <w:bCs/>
                <w:color w:val="005DAA"/>
                <w:sz w:val="20"/>
                <w:szCs w:val="20"/>
              </w:rPr>
              <w:t>1,074</w:t>
            </w:r>
          </w:p>
        </w:tc>
        <w:tc>
          <w:tcPr>
            <w:tcW w:w="844" w:type="pct"/>
            <w:shd w:val="clear" w:color="auto" w:fill="auto"/>
            <w:vAlign w:val="center"/>
          </w:tcPr>
          <w:p w:rsidR="0000273D" w:rsidRPr="00BF5572" w:rsidRDefault="0000273D" w:rsidP="0000273D">
            <w:pPr>
              <w:spacing w:after="0"/>
              <w:jc w:val="right"/>
              <w:rPr>
                <w:rFonts w:ascii="Calibri" w:hAnsi="Calibri"/>
                <w:b/>
                <w:bCs/>
                <w:color w:val="005DAA"/>
                <w:sz w:val="20"/>
                <w:szCs w:val="20"/>
              </w:rPr>
            </w:pPr>
            <w:r w:rsidRPr="00BF5572">
              <w:rPr>
                <w:rFonts w:ascii="Calibri" w:hAnsi="Calibri"/>
                <w:b/>
                <w:bCs/>
                <w:color w:val="005DAA"/>
                <w:sz w:val="20"/>
                <w:szCs w:val="20"/>
              </w:rPr>
              <w:t>12%</w:t>
            </w:r>
          </w:p>
        </w:tc>
        <w:tc>
          <w:tcPr>
            <w:tcW w:w="622" w:type="pct"/>
            <w:shd w:val="clear" w:color="auto" w:fill="auto"/>
            <w:vAlign w:val="center"/>
          </w:tcPr>
          <w:p w:rsidR="0000273D" w:rsidRPr="00BF5572" w:rsidRDefault="0000273D" w:rsidP="0000273D">
            <w:pPr>
              <w:spacing w:after="0"/>
              <w:jc w:val="right"/>
              <w:rPr>
                <w:rFonts w:ascii="Calibri" w:hAnsi="Calibri"/>
                <w:b/>
                <w:bCs/>
                <w:color w:val="005DAA"/>
                <w:sz w:val="20"/>
                <w:szCs w:val="20"/>
              </w:rPr>
            </w:pPr>
            <w:r w:rsidRPr="00BF5572">
              <w:rPr>
                <w:rFonts w:ascii="Calibri" w:hAnsi="Calibri"/>
                <w:b/>
                <w:bCs/>
                <w:color w:val="005DAA"/>
                <w:sz w:val="20"/>
                <w:szCs w:val="20"/>
              </w:rPr>
              <w:t>±20%</w:t>
            </w:r>
          </w:p>
        </w:tc>
      </w:tr>
      <w:tr w:rsidR="0000273D" w:rsidRPr="007C2A04" w:rsidTr="002A4335">
        <w:tc>
          <w:tcPr>
            <w:tcW w:w="923" w:type="pct"/>
            <w:vMerge w:val="restart"/>
            <w:shd w:val="clear" w:color="auto" w:fill="auto"/>
            <w:vAlign w:val="center"/>
          </w:tcPr>
          <w:p w:rsidR="0000273D" w:rsidRPr="007C2A04" w:rsidRDefault="0000273D" w:rsidP="0000273D">
            <w:pPr>
              <w:pStyle w:val="TableRow-left"/>
              <w:keepNext/>
              <w:keepLines/>
            </w:pPr>
            <w:r w:rsidRPr="007C2A04">
              <w:t>SP4</w:t>
            </w:r>
          </w:p>
        </w:tc>
        <w:tc>
          <w:tcPr>
            <w:tcW w:w="826" w:type="pct"/>
            <w:shd w:val="clear" w:color="auto" w:fill="auto"/>
            <w:vAlign w:val="center"/>
          </w:tcPr>
          <w:p w:rsidR="0000273D" w:rsidRPr="00BF5572" w:rsidRDefault="0000273D" w:rsidP="0000273D">
            <w:pPr>
              <w:pStyle w:val="TableRow-left"/>
              <w:keepNext/>
              <w:keepLines/>
              <w:rPr>
                <w:szCs w:val="20"/>
              </w:rPr>
            </w:pPr>
            <w:r w:rsidRPr="00BF5572">
              <w:rPr>
                <w:szCs w:val="20"/>
              </w:rPr>
              <w:t>Electric</w:t>
            </w:r>
          </w:p>
        </w:tc>
        <w:tc>
          <w:tcPr>
            <w:tcW w:w="375" w:type="pct"/>
            <w:shd w:val="clear" w:color="auto" w:fill="auto"/>
            <w:vAlign w:val="center"/>
          </w:tcPr>
          <w:p w:rsidR="0000273D" w:rsidRPr="00BF5572" w:rsidRDefault="0000273D" w:rsidP="0000273D">
            <w:pPr>
              <w:spacing w:after="0"/>
              <w:jc w:val="right"/>
              <w:rPr>
                <w:rFonts w:ascii="Calibri" w:hAnsi="Calibri"/>
                <w:color w:val="000000"/>
                <w:sz w:val="20"/>
                <w:szCs w:val="20"/>
              </w:rPr>
            </w:pPr>
            <w:r w:rsidRPr="00BF5572">
              <w:rPr>
                <w:rFonts w:ascii="Calibri" w:hAnsi="Calibri"/>
                <w:color w:val="000000"/>
                <w:sz w:val="20"/>
                <w:szCs w:val="20"/>
              </w:rPr>
              <w:t>698</w:t>
            </w:r>
          </w:p>
        </w:tc>
        <w:tc>
          <w:tcPr>
            <w:tcW w:w="517" w:type="pct"/>
            <w:shd w:val="clear" w:color="auto" w:fill="auto"/>
            <w:vAlign w:val="center"/>
          </w:tcPr>
          <w:p w:rsidR="0000273D" w:rsidRPr="00BF5572" w:rsidRDefault="0000273D" w:rsidP="0000273D">
            <w:pPr>
              <w:spacing w:after="0"/>
              <w:jc w:val="right"/>
              <w:rPr>
                <w:rFonts w:ascii="Calibri" w:hAnsi="Calibri"/>
                <w:color w:val="000000"/>
                <w:sz w:val="20"/>
                <w:szCs w:val="20"/>
              </w:rPr>
            </w:pPr>
            <w:r w:rsidRPr="00BF5572">
              <w:rPr>
                <w:rFonts w:ascii="Calibri" w:hAnsi="Calibri"/>
                <w:color w:val="000000"/>
                <w:sz w:val="20"/>
                <w:szCs w:val="20"/>
              </w:rPr>
              <w:t>9,162</w:t>
            </w:r>
          </w:p>
        </w:tc>
        <w:tc>
          <w:tcPr>
            <w:tcW w:w="893" w:type="pct"/>
            <w:shd w:val="clear" w:color="auto" w:fill="auto"/>
            <w:vAlign w:val="center"/>
          </w:tcPr>
          <w:p w:rsidR="0000273D" w:rsidRPr="00BF5572" w:rsidRDefault="0000273D" w:rsidP="0000273D">
            <w:pPr>
              <w:spacing w:after="0"/>
              <w:jc w:val="right"/>
              <w:rPr>
                <w:rFonts w:ascii="Calibri" w:hAnsi="Calibri"/>
                <w:color w:val="000000"/>
                <w:sz w:val="20"/>
                <w:szCs w:val="20"/>
              </w:rPr>
            </w:pPr>
            <w:r w:rsidRPr="00BF5572">
              <w:rPr>
                <w:rFonts w:ascii="Calibri" w:hAnsi="Calibri"/>
                <w:color w:val="000000"/>
                <w:sz w:val="20"/>
                <w:szCs w:val="20"/>
              </w:rPr>
              <w:t>1,155</w:t>
            </w:r>
          </w:p>
        </w:tc>
        <w:tc>
          <w:tcPr>
            <w:tcW w:w="844" w:type="pct"/>
            <w:shd w:val="clear" w:color="auto" w:fill="auto"/>
            <w:vAlign w:val="center"/>
          </w:tcPr>
          <w:p w:rsidR="0000273D" w:rsidRPr="00BF5572" w:rsidRDefault="0000273D" w:rsidP="0000273D">
            <w:pPr>
              <w:spacing w:after="0"/>
              <w:jc w:val="right"/>
              <w:rPr>
                <w:rFonts w:ascii="Calibri" w:hAnsi="Calibri"/>
                <w:color w:val="000000"/>
                <w:sz w:val="20"/>
                <w:szCs w:val="20"/>
              </w:rPr>
            </w:pPr>
            <w:r w:rsidRPr="00BF5572">
              <w:rPr>
                <w:rFonts w:ascii="Calibri" w:hAnsi="Calibri"/>
                <w:color w:val="000000"/>
                <w:sz w:val="20"/>
                <w:szCs w:val="20"/>
              </w:rPr>
              <w:t>13%</w:t>
            </w:r>
          </w:p>
        </w:tc>
        <w:tc>
          <w:tcPr>
            <w:tcW w:w="622" w:type="pct"/>
            <w:shd w:val="clear" w:color="auto" w:fill="auto"/>
            <w:vAlign w:val="center"/>
          </w:tcPr>
          <w:p w:rsidR="0000273D" w:rsidRPr="00BF5572" w:rsidRDefault="0000273D" w:rsidP="0000273D">
            <w:pPr>
              <w:spacing w:after="0"/>
              <w:jc w:val="right"/>
              <w:rPr>
                <w:rFonts w:ascii="Calibri" w:hAnsi="Calibri"/>
                <w:color w:val="000000"/>
                <w:sz w:val="20"/>
                <w:szCs w:val="20"/>
              </w:rPr>
            </w:pPr>
            <w:r w:rsidRPr="00BF5572">
              <w:rPr>
                <w:sz w:val="20"/>
                <w:szCs w:val="20"/>
              </w:rPr>
              <w:t>±</w:t>
            </w:r>
            <w:r w:rsidRPr="00BF5572">
              <w:rPr>
                <w:rFonts w:ascii="Calibri" w:hAnsi="Calibri"/>
                <w:color w:val="000000"/>
                <w:sz w:val="20"/>
                <w:szCs w:val="20"/>
              </w:rPr>
              <w:t>24%</w:t>
            </w:r>
          </w:p>
        </w:tc>
      </w:tr>
      <w:tr w:rsidR="0000273D" w:rsidRPr="007C2A04" w:rsidTr="002A4335">
        <w:tc>
          <w:tcPr>
            <w:tcW w:w="923" w:type="pct"/>
            <w:vMerge/>
            <w:shd w:val="clear" w:color="auto" w:fill="auto"/>
          </w:tcPr>
          <w:p w:rsidR="0000273D" w:rsidRPr="007C2A04" w:rsidRDefault="0000273D" w:rsidP="0000273D">
            <w:pPr>
              <w:pStyle w:val="TableRow-left"/>
              <w:keepNext/>
              <w:keepLines/>
            </w:pPr>
          </w:p>
        </w:tc>
        <w:tc>
          <w:tcPr>
            <w:tcW w:w="826" w:type="pct"/>
            <w:shd w:val="clear" w:color="auto" w:fill="auto"/>
            <w:vAlign w:val="center"/>
          </w:tcPr>
          <w:p w:rsidR="0000273D" w:rsidRPr="00BF5572" w:rsidRDefault="0000273D" w:rsidP="0000273D">
            <w:pPr>
              <w:pStyle w:val="TableRow-left"/>
              <w:keepNext/>
              <w:keepLines/>
              <w:rPr>
                <w:szCs w:val="20"/>
              </w:rPr>
            </w:pPr>
            <w:r w:rsidRPr="00BF5572">
              <w:rPr>
                <w:szCs w:val="20"/>
              </w:rPr>
              <w:t>Non-electric</w:t>
            </w:r>
          </w:p>
        </w:tc>
        <w:tc>
          <w:tcPr>
            <w:tcW w:w="375" w:type="pct"/>
            <w:shd w:val="clear" w:color="auto" w:fill="auto"/>
            <w:vAlign w:val="center"/>
          </w:tcPr>
          <w:p w:rsidR="0000273D" w:rsidRPr="00BF5572" w:rsidRDefault="0000273D" w:rsidP="0000273D">
            <w:pPr>
              <w:spacing w:after="0"/>
              <w:jc w:val="right"/>
              <w:rPr>
                <w:rFonts w:ascii="Calibri" w:hAnsi="Calibri"/>
                <w:color w:val="000000"/>
                <w:sz w:val="20"/>
                <w:szCs w:val="20"/>
              </w:rPr>
            </w:pPr>
            <w:r w:rsidRPr="00BF5572">
              <w:rPr>
                <w:rFonts w:ascii="Calibri" w:hAnsi="Calibri"/>
                <w:color w:val="000000"/>
                <w:sz w:val="20"/>
                <w:szCs w:val="20"/>
              </w:rPr>
              <w:t>1,972</w:t>
            </w:r>
          </w:p>
        </w:tc>
        <w:tc>
          <w:tcPr>
            <w:tcW w:w="517" w:type="pct"/>
            <w:shd w:val="clear" w:color="auto" w:fill="auto"/>
            <w:vAlign w:val="center"/>
          </w:tcPr>
          <w:p w:rsidR="0000273D" w:rsidRPr="00BF5572" w:rsidRDefault="0000273D" w:rsidP="0000273D">
            <w:pPr>
              <w:spacing w:after="0"/>
              <w:jc w:val="right"/>
              <w:rPr>
                <w:rFonts w:ascii="Calibri" w:hAnsi="Calibri"/>
                <w:color w:val="000000"/>
                <w:sz w:val="20"/>
                <w:szCs w:val="20"/>
              </w:rPr>
            </w:pPr>
            <w:r w:rsidRPr="00BF5572">
              <w:rPr>
                <w:rFonts w:ascii="Calibri" w:hAnsi="Calibri"/>
                <w:color w:val="000000"/>
                <w:sz w:val="20"/>
                <w:szCs w:val="20"/>
              </w:rPr>
              <w:t>5,794</w:t>
            </w:r>
          </w:p>
        </w:tc>
        <w:tc>
          <w:tcPr>
            <w:tcW w:w="893" w:type="pct"/>
            <w:shd w:val="clear" w:color="auto" w:fill="auto"/>
            <w:vAlign w:val="center"/>
          </w:tcPr>
          <w:p w:rsidR="0000273D" w:rsidRPr="00BF5572" w:rsidRDefault="0000273D" w:rsidP="0000273D">
            <w:pPr>
              <w:spacing w:after="0"/>
              <w:jc w:val="right"/>
              <w:rPr>
                <w:rFonts w:ascii="Calibri" w:hAnsi="Calibri"/>
                <w:color w:val="000000"/>
                <w:sz w:val="20"/>
                <w:szCs w:val="20"/>
              </w:rPr>
            </w:pPr>
            <w:r w:rsidRPr="00BF5572">
              <w:rPr>
                <w:rFonts w:ascii="Calibri" w:hAnsi="Calibri"/>
                <w:color w:val="000000"/>
                <w:sz w:val="20"/>
                <w:szCs w:val="20"/>
              </w:rPr>
              <w:t>441</w:t>
            </w:r>
          </w:p>
        </w:tc>
        <w:tc>
          <w:tcPr>
            <w:tcW w:w="844" w:type="pct"/>
            <w:shd w:val="clear" w:color="auto" w:fill="auto"/>
            <w:vAlign w:val="center"/>
          </w:tcPr>
          <w:p w:rsidR="0000273D" w:rsidRPr="00BF5572" w:rsidRDefault="0000273D" w:rsidP="0000273D">
            <w:pPr>
              <w:spacing w:after="0"/>
              <w:jc w:val="right"/>
              <w:rPr>
                <w:rFonts w:ascii="Calibri" w:hAnsi="Calibri"/>
                <w:color w:val="000000"/>
                <w:sz w:val="20"/>
                <w:szCs w:val="20"/>
              </w:rPr>
            </w:pPr>
            <w:r w:rsidRPr="00BF5572">
              <w:rPr>
                <w:rFonts w:ascii="Calibri" w:hAnsi="Calibri"/>
                <w:color w:val="000000"/>
                <w:sz w:val="20"/>
                <w:szCs w:val="20"/>
              </w:rPr>
              <w:t>8%</w:t>
            </w:r>
          </w:p>
        </w:tc>
        <w:tc>
          <w:tcPr>
            <w:tcW w:w="622" w:type="pct"/>
            <w:shd w:val="clear" w:color="auto" w:fill="auto"/>
            <w:vAlign w:val="center"/>
          </w:tcPr>
          <w:p w:rsidR="0000273D" w:rsidRPr="00BF5572" w:rsidRDefault="0000273D" w:rsidP="0000273D">
            <w:pPr>
              <w:spacing w:after="0"/>
              <w:jc w:val="right"/>
              <w:rPr>
                <w:rFonts w:ascii="Calibri" w:hAnsi="Calibri"/>
                <w:color w:val="000000"/>
                <w:sz w:val="20"/>
                <w:szCs w:val="20"/>
              </w:rPr>
            </w:pPr>
            <w:r w:rsidRPr="00BF5572">
              <w:rPr>
                <w:sz w:val="20"/>
                <w:szCs w:val="20"/>
              </w:rPr>
              <w:t>±</w:t>
            </w:r>
            <w:r w:rsidRPr="00BF5572">
              <w:rPr>
                <w:rFonts w:ascii="Calibri" w:hAnsi="Calibri"/>
                <w:color w:val="000000"/>
                <w:sz w:val="20"/>
                <w:szCs w:val="20"/>
              </w:rPr>
              <w:t>26%</w:t>
            </w:r>
          </w:p>
        </w:tc>
      </w:tr>
      <w:tr w:rsidR="0000273D" w:rsidRPr="00783F84" w:rsidTr="00242751">
        <w:tc>
          <w:tcPr>
            <w:tcW w:w="923" w:type="pct"/>
            <w:vMerge/>
            <w:shd w:val="clear" w:color="000000" w:fill="D9EEFF"/>
          </w:tcPr>
          <w:p w:rsidR="0000273D" w:rsidRPr="007C2A04" w:rsidRDefault="0000273D" w:rsidP="0000273D">
            <w:pPr>
              <w:pStyle w:val="TableRow-left"/>
              <w:keepNext/>
              <w:keepLines/>
            </w:pPr>
          </w:p>
        </w:tc>
        <w:tc>
          <w:tcPr>
            <w:tcW w:w="826" w:type="pct"/>
            <w:shd w:val="clear" w:color="auto" w:fill="auto"/>
            <w:vAlign w:val="center"/>
          </w:tcPr>
          <w:p w:rsidR="0000273D" w:rsidRPr="00BF5572" w:rsidRDefault="0000273D" w:rsidP="0000273D">
            <w:pPr>
              <w:pStyle w:val="TableRow-left"/>
              <w:keepNext/>
              <w:keepLines/>
              <w:rPr>
                <w:szCs w:val="20"/>
              </w:rPr>
            </w:pPr>
            <w:r w:rsidRPr="00BF5572">
              <w:rPr>
                <w:b/>
                <w:bCs/>
                <w:color w:val="005DAA"/>
                <w:szCs w:val="20"/>
              </w:rPr>
              <w:t>Overall</w:t>
            </w:r>
          </w:p>
        </w:tc>
        <w:tc>
          <w:tcPr>
            <w:tcW w:w="375" w:type="pct"/>
            <w:shd w:val="clear" w:color="auto" w:fill="auto"/>
            <w:vAlign w:val="center"/>
          </w:tcPr>
          <w:p w:rsidR="0000273D" w:rsidRPr="00BF5572" w:rsidRDefault="0000273D" w:rsidP="0000273D">
            <w:pPr>
              <w:spacing w:after="0"/>
              <w:jc w:val="right"/>
              <w:rPr>
                <w:rFonts w:ascii="Calibri" w:hAnsi="Calibri"/>
                <w:b/>
                <w:bCs/>
                <w:color w:val="005DAA"/>
                <w:sz w:val="20"/>
                <w:szCs w:val="20"/>
              </w:rPr>
            </w:pPr>
            <w:r w:rsidRPr="00BF5572">
              <w:rPr>
                <w:rFonts w:ascii="Calibri" w:hAnsi="Calibri"/>
                <w:b/>
                <w:bCs/>
                <w:color w:val="005DAA"/>
                <w:sz w:val="20"/>
                <w:szCs w:val="20"/>
              </w:rPr>
              <w:t>2,670</w:t>
            </w:r>
          </w:p>
        </w:tc>
        <w:tc>
          <w:tcPr>
            <w:tcW w:w="517" w:type="pct"/>
            <w:shd w:val="clear" w:color="auto" w:fill="auto"/>
            <w:vAlign w:val="center"/>
          </w:tcPr>
          <w:p w:rsidR="0000273D" w:rsidRPr="00BF5572" w:rsidRDefault="0000273D" w:rsidP="0000273D">
            <w:pPr>
              <w:spacing w:after="0"/>
              <w:jc w:val="right"/>
              <w:rPr>
                <w:rFonts w:ascii="Calibri" w:hAnsi="Calibri"/>
                <w:b/>
                <w:bCs/>
                <w:color w:val="005DAA"/>
                <w:sz w:val="20"/>
                <w:szCs w:val="20"/>
              </w:rPr>
            </w:pPr>
            <w:r w:rsidRPr="00BF5572">
              <w:rPr>
                <w:rFonts w:ascii="Calibri" w:hAnsi="Calibri"/>
                <w:b/>
                <w:bCs/>
                <w:color w:val="005DAA"/>
                <w:sz w:val="20"/>
                <w:szCs w:val="20"/>
              </w:rPr>
              <w:t>6,617</w:t>
            </w:r>
          </w:p>
        </w:tc>
        <w:tc>
          <w:tcPr>
            <w:tcW w:w="893" w:type="pct"/>
            <w:shd w:val="clear" w:color="auto" w:fill="auto"/>
            <w:vAlign w:val="center"/>
          </w:tcPr>
          <w:p w:rsidR="0000273D" w:rsidRPr="00BF5572" w:rsidRDefault="0000273D" w:rsidP="0000273D">
            <w:pPr>
              <w:spacing w:after="0"/>
              <w:jc w:val="right"/>
              <w:rPr>
                <w:rFonts w:ascii="Calibri" w:hAnsi="Calibri"/>
                <w:b/>
                <w:bCs/>
                <w:color w:val="005DAA"/>
                <w:sz w:val="20"/>
                <w:szCs w:val="20"/>
              </w:rPr>
            </w:pPr>
            <w:r w:rsidRPr="00BF5572">
              <w:rPr>
                <w:rFonts w:ascii="Calibri" w:hAnsi="Calibri"/>
                <w:b/>
                <w:bCs/>
                <w:color w:val="005DAA"/>
                <w:sz w:val="20"/>
                <w:szCs w:val="20"/>
              </w:rPr>
              <w:t>629</w:t>
            </w:r>
          </w:p>
        </w:tc>
        <w:tc>
          <w:tcPr>
            <w:tcW w:w="844" w:type="pct"/>
            <w:shd w:val="clear" w:color="auto" w:fill="auto"/>
            <w:vAlign w:val="center"/>
          </w:tcPr>
          <w:p w:rsidR="0000273D" w:rsidRPr="00BF5572" w:rsidRDefault="0000273D" w:rsidP="0000273D">
            <w:pPr>
              <w:spacing w:after="0"/>
              <w:jc w:val="right"/>
              <w:rPr>
                <w:rFonts w:ascii="Calibri" w:hAnsi="Calibri"/>
                <w:b/>
                <w:bCs/>
                <w:color w:val="005DAA"/>
                <w:sz w:val="20"/>
                <w:szCs w:val="20"/>
              </w:rPr>
            </w:pPr>
            <w:r w:rsidRPr="00BF5572">
              <w:rPr>
                <w:rFonts w:ascii="Calibri" w:hAnsi="Calibri"/>
                <w:b/>
                <w:bCs/>
                <w:color w:val="005DAA"/>
                <w:sz w:val="20"/>
                <w:szCs w:val="20"/>
              </w:rPr>
              <w:t>10%</w:t>
            </w:r>
          </w:p>
        </w:tc>
        <w:tc>
          <w:tcPr>
            <w:tcW w:w="622" w:type="pct"/>
            <w:shd w:val="clear" w:color="auto" w:fill="auto"/>
            <w:vAlign w:val="center"/>
          </w:tcPr>
          <w:p w:rsidR="0000273D" w:rsidRPr="00BF5572" w:rsidRDefault="0000273D" w:rsidP="0000273D">
            <w:pPr>
              <w:spacing w:after="0"/>
              <w:jc w:val="right"/>
              <w:rPr>
                <w:rFonts w:ascii="Calibri" w:hAnsi="Calibri"/>
                <w:b/>
                <w:bCs/>
                <w:color w:val="005DAA"/>
                <w:sz w:val="20"/>
                <w:szCs w:val="20"/>
              </w:rPr>
            </w:pPr>
            <w:r w:rsidRPr="00BF5572">
              <w:rPr>
                <w:rFonts w:ascii="Calibri" w:hAnsi="Calibri"/>
                <w:b/>
                <w:bCs/>
                <w:color w:val="005DAA"/>
                <w:sz w:val="20"/>
                <w:szCs w:val="20"/>
              </w:rPr>
              <w:t>±23%</w:t>
            </w:r>
          </w:p>
        </w:tc>
      </w:tr>
    </w:tbl>
    <w:p w:rsidR="0000273D" w:rsidRPr="00783F84" w:rsidRDefault="0000273D" w:rsidP="0000273D">
      <w:pPr>
        <w:pStyle w:val="NormalAfterTablesandFigures"/>
        <w:rPr>
          <w:highlight w:val="yellow"/>
        </w:rPr>
      </w:pPr>
    </w:p>
    <w:p w:rsidR="0000273D" w:rsidRPr="00880D99" w:rsidRDefault="002506E1" w:rsidP="0000273D">
      <w:r>
        <w:fldChar w:fldCharType="begin"/>
      </w:r>
      <w:r>
        <w:instrText xml:space="preserve"> REF _Ref382915692 \h  \* MERGEFORMAT </w:instrText>
      </w:r>
      <w:r>
        <w:fldChar w:fldCharType="separate"/>
      </w:r>
      <w:r w:rsidR="00CD20CF" w:rsidRPr="00880D99">
        <w:t xml:space="preserve">Table </w:t>
      </w:r>
      <w:r w:rsidR="00CD20CF">
        <w:rPr>
          <w:noProof/>
        </w:rPr>
        <w:t>73</w:t>
      </w:r>
      <w:r>
        <w:fldChar w:fldCharType="end"/>
      </w:r>
      <w:r w:rsidR="0000273D" w:rsidRPr="002446BB">
        <w:t xml:space="preserve"> shows the bulk of HES-IE </w:t>
      </w:r>
      <w:r w:rsidR="0000273D">
        <w:t>SP</w:t>
      </w:r>
      <w:r w:rsidR="0000273D" w:rsidRPr="002446BB">
        <w:t xml:space="preserve">1 and </w:t>
      </w:r>
      <w:r w:rsidR="0000273D">
        <w:t>SP</w:t>
      </w:r>
      <w:r w:rsidR="0000273D" w:rsidRPr="002446BB">
        <w:t>4 electric-savings participat</w:t>
      </w:r>
      <w:r w:rsidR="005A3B14">
        <w:t>ion</w:t>
      </w:r>
      <w:r w:rsidR="0000273D" w:rsidRPr="002446BB">
        <w:t xml:space="preserve"> occur</w:t>
      </w:r>
      <w:r w:rsidR="002A4335">
        <w:t>red</w:t>
      </w:r>
      <w:r w:rsidR="0000273D" w:rsidRPr="002446BB">
        <w:t xml:space="preserve"> in single-family homes</w:t>
      </w:r>
      <w:r w:rsidR="005A3B14">
        <w:t xml:space="preserve">, producing higher </w:t>
      </w:r>
      <w:r w:rsidR="0000273D">
        <w:t>savings than multifamily</w:t>
      </w:r>
      <w:r w:rsidR="002A4335">
        <w:t>,</w:t>
      </w:r>
      <w:r w:rsidR="0000273D">
        <w:t xml:space="preserve"> and the </w:t>
      </w:r>
      <w:r w:rsidR="001478F7">
        <w:t>subprograms</w:t>
      </w:r>
      <w:r w:rsidR="0000273D">
        <w:t xml:space="preserve"> </w:t>
      </w:r>
      <w:r w:rsidR="002A4335">
        <w:t>exhibited</w:t>
      </w:r>
      <w:r w:rsidR="0000273D">
        <w:t xml:space="preserve"> similar pre-period usage between the participant types. This </w:t>
      </w:r>
      <w:r w:rsidR="0000273D" w:rsidRPr="00880D99">
        <w:t>result</w:t>
      </w:r>
      <w:r w:rsidR="005A3B14">
        <w:t>ed</w:t>
      </w:r>
      <w:r w:rsidR="0000273D" w:rsidRPr="00880D99">
        <w:t xml:space="preserve"> in higher savings as a percentage of pre-period usage for single-family homes. </w:t>
      </w:r>
    </w:p>
    <w:p w:rsidR="0000273D" w:rsidRPr="00880D99" w:rsidRDefault="0000273D" w:rsidP="0000273D">
      <w:pPr>
        <w:pStyle w:val="Caption"/>
      </w:pPr>
      <w:bookmarkStart w:id="127" w:name="_Ref382915692"/>
      <w:r w:rsidRPr="00880D99">
        <w:t xml:space="preserve">Table </w:t>
      </w:r>
      <w:r w:rsidR="002506E1">
        <w:fldChar w:fldCharType="begin"/>
      </w:r>
      <w:r w:rsidR="002506E1">
        <w:instrText xml:space="preserve"> SEQ Table \* ARABIC </w:instrText>
      </w:r>
      <w:r w:rsidR="002506E1">
        <w:fldChar w:fldCharType="separate"/>
      </w:r>
      <w:r w:rsidR="00CD20CF">
        <w:rPr>
          <w:noProof/>
        </w:rPr>
        <w:t>73</w:t>
      </w:r>
      <w:r w:rsidR="002506E1">
        <w:rPr>
          <w:noProof/>
        </w:rPr>
        <w:fldChar w:fldCharType="end"/>
      </w:r>
      <w:bookmarkEnd w:id="127"/>
      <w:r w:rsidRPr="00880D99">
        <w:t xml:space="preserve">. HES-IE SP1 and SP4 Electric Billing Analysis: Savings Summary, </w:t>
      </w:r>
      <w:r w:rsidR="00BF5572">
        <w:br/>
      </w:r>
      <w:r w:rsidRPr="00880D99">
        <w:t>by Building Type (Adjusted Gross)</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68"/>
        <w:gridCol w:w="1490"/>
        <w:gridCol w:w="720"/>
        <w:gridCol w:w="1080"/>
        <w:gridCol w:w="1620"/>
        <w:gridCol w:w="1705"/>
        <w:gridCol w:w="1193"/>
      </w:tblGrid>
      <w:tr w:rsidR="0000273D" w:rsidRPr="00783F84" w:rsidTr="005A42B3">
        <w:tc>
          <w:tcPr>
            <w:tcW w:w="923" w:type="pct"/>
            <w:shd w:val="clear" w:color="000000" w:fill="005DAA"/>
            <w:vAlign w:val="center"/>
          </w:tcPr>
          <w:p w:rsidR="0000273D" w:rsidRPr="0098042D" w:rsidRDefault="0000273D" w:rsidP="0000273D">
            <w:pPr>
              <w:pStyle w:val="TableHeading-left"/>
              <w:keepNext/>
              <w:keepLines/>
              <w:jc w:val="center"/>
            </w:pPr>
            <w:r w:rsidRPr="0058725F">
              <w:t>HES-IE Subgroup</w:t>
            </w:r>
          </w:p>
        </w:tc>
        <w:tc>
          <w:tcPr>
            <w:tcW w:w="778" w:type="pct"/>
            <w:shd w:val="clear" w:color="000000" w:fill="005DAA"/>
            <w:vAlign w:val="center"/>
            <w:hideMark/>
          </w:tcPr>
          <w:p w:rsidR="0000273D" w:rsidRPr="0098042D" w:rsidRDefault="0000273D" w:rsidP="0000273D">
            <w:pPr>
              <w:pStyle w:val="TableHeading-left"/>
              <w:keepNext/>
              <w:keepLines/>
              <w:jc w:val="center"/>
            </w:pPr>
            <w:r w:rsidRPr="0098042D">
              <w:t xml:space="preserve">Participant </w:t>
            </w:r>
            <w:r w:rsidRPr="0098042D">
              <w:br/>
              <w:t>Heating Type</w:t>
            </w:r>
          </w:p>
        </w:tc>
        <w:tc>
          <w:tcPr>
            <w:tcW w:w="376" w:type="pct"/>
            <w:shd w:val="clear" w:color="000000" w:fill="005DAA"/>
            <w:vAlign w:val="center"/>
            <w:hideMark/>
          </w:tcPr>
          <w:p w:rsidR="0000273D" w:rsidRPr="0098042D" w:rsidRDefault="0000273D" w:rsidP="0000273D">
            <w:pPr>
              <w:pStyle w:val="TableHeading-centered"/>
              <w:keepNext/>
              <w:keepLines/>
            </w:pPr>
            <w:r w:rsidRPr="0098042D">
              <w:t>n</w:t>
            </w:r>
          </w:p>
        </w:tc>
        <w:tc>
          <w:tcPr>
            <w:tcW w:w="564" w:type="pct"/>
            <w:shd w:val="clear" w:color="000000" w:fill="005DAA"/>
            <w:vAlign w:val="center"/>
            <w:hideMark/>
          </w:tcPr>
          <w:p w:rsidR="0000273D" w:rsidRPr="0098042D" w:rsidRDefault="0000273D" w:rsidP="0000273D">
            <w:pPr>
              <w:pStyle w:val="TableHeading-centered"/>
              <w:keepNext/>
              <w:keepLines/>
            </w:pPr>
            <w:r w:rsidRPr="0098042D">
              <w:t>PRENAC</w:t>
            </w:r>
          </w:p>
        </w:tc>
        <w:tc>
          <w:tcPr>
            <w:tcW w:w="846" w:type="pct"/>
            <w:shd w:val="clear" w:color="000000" w:fill="005DAA"/>
            <w:vAlign w:val="center"/>
            <w:hideMark/>
          </w:tcPr>
          <w:p w:rsidR="0000273D" w:rsidRPr="0098042D" w:rsidRDefault="0000273D" w:rsidP="0000273D">
            <w:pPr>
              <w:pStyle w:val="TableHeading-centered"/>
              <w:keepNext/>
              <w:keepLines/>
            </w:pPr>
            <w:r w:rsidRPr="0098042D">
              <w:t>Model Savings (kWh)</w:t>
            </w:r>
          </w:p>
        </w:tc>
        <w:tc>
          <w:tcPr>
            <w:tcW w:w="890" w:type="pct"/>
            <w:shd w:val="clear" w:color="000000" w:fill="005DAA"/>
            <w:vAlign w:val="center"/>
            <w:hideMark/>
          </w:tcPr>
          <w:p w:rsidR="0000273D" w:rsidRPr="0098042D" w:rsidRDefault="0000273D" w:rsidP="0000273D">
            <w:pPr>
              <w:pStyle w:val="TableHeading-centered"/>
              <w:keepNext/>
              <w:keepLines/>
            </w:pPr>
            <w:r w:rsidRPr="0098042D">
              <w:t>Savings as Percentage of Pre-Usage</w:t>
            </w:r>
          </w:p>
        </w:tc>
        <w:tc>
          <w:tcPr>
            <w:tcW w:w="623" w:type="pct"/>
            <w:shd w:val="clear" w:color="000000" w:fill="005DAA"/>
            <w:vAlign w:val="center"/>
            <w:hideMark/>
          </w:tcPr>
          <w:p w:rsidR="0000273D" w:rsidRPr="0098042D" w:rsidRDefault="0000273D" w:rsidP="0000273D">
            <w:pPr>
              <w:pStyle w:val="TableHeading-centered"/>
              <w:keepNext/>
              <w:keepLines/>
            </w:pPr>
            <w:r w:rsidRPr="0098042D">
              <w:t>Relative Precision at 90%</w:t>
            </w:r>
          </w:p>
        </w:tc>
      </w:tr>
      <w:tr w:rsidR="0000273D" w:rsidRPr="00783F84" w:rsidTr="005A42B3">
        <w:tc>
          <w:tcPr>
            <w:tcW w:w="923" w:type="pct"/>
            <w:vMerge w:val="restart"/>
            <w:vAlign w:val="center"/>
          </w:tcPr>
          <w:p w:rsidR="0000273D" w:rsidRPr="00BF5572" w:rsidRDefault="0000273D" w:rsidP="0000273D">
            <w:pPr>
              <w:pStyle w:val="TableRow-left"/>
              <w:keepNext/>
              <w:keepLines/>
              <w:rPr>
                <w:szCs w:val="20"/>
              </w:rPr>
            </w:pPr>
            <w:r w:rsidRPr="00BF5572">
              <w:rPr>
                <w:szCs w:val="20"/>
              </w:rPr>
              <w:t>SP1</w:t>
            </w:r>
          </w:p>
        </w:tc>
        <w:tc>
          <w:tcPr>
            <w:tcW w:w="778" w:type="pct"/>
            <w:shd w:val="clear" w:color="auto" w:fill="auto"/>
            <w:vAlign w:val="center"/>
            <w:hideMark/>
          </w:tcPr>
          <w:p w:rsidR="0000273D" w:rsidRPr="00BF5572" w:rsidRDefault="0000273D" w:rsidP="0000273D">
            <w:pPr>
              <w:pStyle w:val="TableRow-left"/>
              <w:keepNext/>
              <w:keepLines/>
              <w:rPr>
                <w:szCs w:val="20"/>
              </w:rPr>
            </w:pPr>
            <w:r w:rsidRPr="00BF5572">
              <w:rPr>
                <w:szCs w:val="20"/>
              </w:rPr>
              <w:t>Single family</w:t>
            </w:r>
          </w:p>
        </w:tc>
        <w:tc>
          <w:tcPr>
            <w:tcW w:w="376" w:type="pct"/>
            <w:shd w:val="clear" w:color="auto" w:fill="auto"/>
            <w:vAlign w:val="center"/>
            <w:hideMark/>
          </w:tcPr>
          <w:p w:rsidR="0000273D" w:rsidRPr="00BF5572" w:rsidRDefault="0000273D" w:rsidP="0000273D">
            <w:pPr>
              <w:spacing w:after="0"/>
              <w:jc w:val="right"/>
              <w:rPr>
                <w:rFonts w:ascii="Calibri" w:hAnsi="Calibri"/>
                <w:color w:val="000000"/>
                <w:sz w:val="20"/>
                <w:szCs w:val="20"/>
              </w:rPr>
            </w:pPr>
            <w:r w:rsidRPr="00BF5572">
              <w:rPr>
                <w:rFonts w:ascii="Calibri" w:hAnsi="Calibri"/>
                <w:color w:val="000000"/>
                <w:sz w:val="20"/>
                <w:szCs w:val="20"/>
              </w:rPr>
              <w:t>1,266</w:t>
            </w:r>
          </w:p>
        </w:tc>
        <w:tc>
          <w:tcPr>
            <w:tcW w:w="564" w:type="pct"/>
            <w:shd w:val="clear" w:color="auto" w:fill="auto"/>
            <w:vAlign w:val="center"/>
            <w:hideMark/>
          </w:tcPr>
          <w:p w:rsidR="0000273D" w:rsidRPr="00BF5572" w:rsidRDefault="0000273D" w:rsidP="0000273D">
            <w:pPr>
              <w:spacing w:after="0"/>
              <w:jc w:val="right"/>
              <w:rPr>
                <w:rFonts w:ascii="Calibri" w:hAnsi="Calibri"/>
                <w:color w:val="000000"/>
                <w:sz w:val="20"/>
                <w:szCs w:val="20"/>
              </w:rPr>
            </w:pPr>
            <w:r w:rsidRPr="00BF5572">
              <w:rPr>
                <w:rFonts w:ascii="Calibri" w:hAnsi="Calibri"/>
                <w:color w:val="000000"/>
                <w:sz w:val="20"/>
                <w:szCs w:val="20"/>
              </w:rPr>
              <w:t>8,747</w:t>
            </w:r>
          </w:p>
        </w:tc>
        <w:tc>
          <w:tcPr>
            <w:tcW w:w="846" w:type="pct"/>
            <w:shd w:val="clear" w:color="auto" w:fill="auto"/>
            <w:vAlign w:val="center"/>
            <w:hideMark/>
          </w:tcPr>
          <w:p w:rsidR="0000273D" w:rsidRPr="00BF5572" w:rsidRDefault="0000273D" w:rsidP="0000273D">
            <w:pPr>
              <w:spacing w:after="0"/>
              <w:jc w:val="right"/>
              <w:rPr>
                <w:rFonts w:ascii="Calibri" w:hAnsi="Calibri"/>
                <w:color w:val="000000"/>
                <w:sz w:val="20"/>
                <w:szCs w:val="20"/>
              </w:rPr>
            </w:pPr>
            <w:r w:rsidRPr="00BF5572">
              <w:rPr>
                <w:rFonts w:ascii="Calibri" w:hAnsi="Calibri"/>
                <w:color w:val="000000"/>
                <w:sz w:val="20"/>
                <w:szCs w:val="20"/>
              </w:rPr>
              <w:t>1,119</w:t>
            </w:r>
          </w:p>
        </w:tc>
        <w:tc>
          <w:tcPr>
            <w:tcW w:w="890" w:type="pct"/>
            <w:shd w:val="clear" w:color="auto" w:fill="auto"/>
            <w:vAlign w:val="center"/>
            <w:hideMark/>
          </w:tcPr>
          <w:p w:rsidR="0000273D" w:rsidRPr="00BF5572" w:rsidRDefault="0000273D" w:rsidP="0000273D">
            <w:pPr>
              <w:spacing w:after="0"/>
              <w:jc w:val="right"/>
              <w:rPr>
                <w:rFonts w:ascii="Calibri" w:hAnsi="Calibri"/>
                <w:color w:val="000000"/>
                <w:sz w:val="20"/>
                <w:szCs w:val="20"/>
              </w:rPr>
            </w:pPr>
            <w:r w:rsidRPr="00BF5572">
              <w:rPr>
                <w:rFonts w:ascii="Calibri" w:hAnsi="Calibri"/>
                <w:color w:val="000000"/>
                <w:sz w:val="20"/>
                <w:szCs w:val="20"/>
              </w:rPr>
              <w:t>13%</w:t>
            </w:r>
          </w:p>
        </w:tc>
        <w:tc>
          <w:tcPr>
            <w:tcW w:w="623" w:type="pct"/>
            <w:shd w:val="clear" w:color="auto" w:fill="auto"/>
            <w:vAlign w:val="center"/>
            <w:hideMark/>
          </w:tcPr>
          <w:p w:rsidR="0000273D" w:rsidRPr="00BF5572" w:rsidRDefault="0000273D" w:rsidP="0000273D">
            <w:pPr>
              <w:spacing w:after="0"/>
              <w:jc w:val="right"/>
              <w:rPr>
                <w:rFonts w:ascii="Calibri" w:hAnsi="Calibri"/>
                <w:color w:val="000000"/>
                <w:sz w:val="20"/>
                <w:szCs w:val="20"/>
              </w:rPr>
            </w:pPr>
            <w:r w:rsidRPr="00BF5572">
              <w:rPr>
                <w:sz w:val="20"/>
                <w:szCs w:val="20"/>
              </w:rPr>
              <w:t>±</w:t>
            </w:r>
            <w:r w:rsidRPr="00BF5572">
              <w:rPr>
                <w:rFonts w:ascii="Calibri" w:hAnsi="Calibri"/>
                <w:color w:val="000000"/>
                <w:sz w:val="20"/>
                <w:szCs w:val="20"/>
              </w:rPr>
              <w:t>19%</w:t>
            </w:r>
          </w:p>
        </w:tc>
      </w:tr>
      <w:tr w:rsidR="0000273D" w:rsidRPr="00783F84" w:rsidTr="00242751">
        <w:tc>
          <w:tcPr>
            <w:tcW w:w="923" w:type="pct"/>
            <w:vMerge/>
            <w:vAlign w:val="center"/>
          </w:tcPr>
          <w:p w:rsidR="0000273D" w:rsidRPr="00BF5572" w:rsidRDefault="0000273D" w:rsidP="0000273D">
            <w:pPr>
              <w:pStyle w:val="TableRow-left"/>
              <w:keepNext/>
              <w:keepLines/>
              <w:rPr>
                <w:szCs w:val="20"/>
              </w:rPr>
            </w:pPr>
          </w:p>
        </w:tc>
        <w:tc>
          <w:tcPr>
            <w:tcW w:w="778" w:type="pct"/>
            <w:tcBorders>
              <w:bottom w:val="single" w:sz="4" w:space="0" w:color="BFBFBF"/>
            </w:tcBorders>
            <w:shd w:val="clear" w:color="auto" w:fill="auto"/>
            <w:vAlign w:val="center"/>
            <w:hideMark/>
          </w:tcPr>
          <w:p w:rsidR="0000273D" w:rsidRPr="00BF5572" w:rsidRDefault="0000273D" w:rsidP="0000273D">
            <w:pPr>
              <w:pStyle w:val="TableRow-left"/>
              <w:keepNext/>
              <w:keepLines/>
              <w:rPr>
                <w:szCs w:val="20"/>
              </w:rPr>
            </w:pPr>
            <w:r w:rsidRPr="00BF5572">
              <w:rPr>
                <w:szCs w:val="20"/>
              </w:rPr>
              <w:t>Multifamily</w:t>
            </w:r>
          </w:p>
        </w:tc>
        <w:tc>
          <w:tcPr>
            <w:tcW w:w="376" w:type="pct"/>
            <w:tcBorders>
              <w:bottom w:val="single" w:sz="4" w:space="0" w:color="BFBFBF"/>
            </w:tcBorders>
            <w:shd w:val="clear" w:color="auto" w:fill="auto"/>
            <w:vAlign w:val="center"/>
            <w:hideMark/>
          </w:tcPr>
          <w:p w:rsidR="0000273D" w:rsidRPr="00BF5572" w:rsidRDefault="0000273D" w:rsidP="0000273D">
            <w:pPr>
              <w:spacing w:after="0"/>
              <w:jc w:val="right"/>
              <w:rPr>
                <w:rFonts w:ascii="Calibri" w:hAnsi="Calibri"/>
                <w:color w:val="000000"/>
                <w:sz w:val="20"/>
                <w:szCs w:val="20"/>
              </w:rPr>
            </w:pPr>
            <w:r w:rsidRPr="00BF5572">
              <w:rPr>
                <w:rFonts w:ascii="Calibri" w:hAnsi="Calibri"/>
                <w:color w:val="000000"/>
                <w:sz w:val="20"/>
                <w:szCs w:val="20"/>
              </w:rPr>
              <w:t>82</w:t>
            </w:r>
          </w:p>
        </w:tc>
        <w:tc>
          <w:tcPr>
            <w:tcW w:w="564" w:type="pct"/>
            <w:tcBorders>
              <w:bottom w:val="single" w:sz="4" w:space="0" w:color="BFBFBF"/>
            </w:tcBorders>
            <w:shd w:val="clear" w:color="auto" w:fill="auto"/>
            <w:vAlign w:val="center"/>
            <w:hideMark/>
          </w:tcPr>
          <w:p w:rsidR="0000273D" w:rsidRPr="00BF5572" w:rsidRDefault="0000273D" w:rsidP="0000273D">
            <w:pPr>
              <w:spacing w:after="0"/>
              <w:jc w:val="right"/>
              <w:rPr>
                <w:rFonts w:ascii="Calibri" w:hAnsi="Calibri"/>
                <w:color w:val="000000"/>
                <w:sz w:val="20"/>
                <w:szCs w:val="20"/>
              </w:rPr>
            </w:pPr>
            <w:r w:rsidRPr="00BF5572">
              <w:rPr>
                <w:rFonts w:ascii="Calibri" w:hAnsi="Calibri"/>
                <w:color w:val="000000"/>
                <w:sz w:val="20"/>
                <w:szCs w:val="20"/>
              </w:rPr>
              <w:t>8,106</w:t>
            </w:r>
          </w:p>
        </w:tc>
        <w:tc>
          <w:tcPr>
            <w:tcW w:w="846" w:type="pct"/>
            <w:tcBorders>
              <w:bottom w:val="single" w:sz="4" w:space="0" w:color="BFBFBF"/>
            </w:tcBorders>
            <w:shd w:val="clear" w:color="auto" w:fill="auto"/>
            <w:vAlign w:val="center"/>
            <w:hideMark/>
          </w:tcPr>
          <w:p w:rsidR="0000273D" w:rsidRPr="00BF5572" w:rsidRDefault="0000273D" w:rsidP="0000273D">
            <w:pPr>
              <w:spacing w:after="0"/>
              <w:jc w:val="right"/>
              <w:rPr>
                <w:rFonts w:ascii="Calibri" w:hAnsi="Calibri"/>
                <w:color w:val="000000"/>
                <w:sz w:val="20"/>
                <w:szCs w:val="20"/>
              </w:rPr>
            </w:pPr>
            <w:r w:rsidRPr="00BF5572">
              <w:rPr>
                <w:rFonts w:ascii="Calibri" w:hAnsi="Calibri"/>
                <w:color w:val="000000"/>
                <w:sz w:val="20"/>
                <w:szCs w:val="20"/>
              </w:rPr>
              <w:t>584</w:t>
            </w:r>
          </w:p>
        </w:tc>
        <w:tc>
          <w:tcPr>
            <w:tcW w:w="890" w:type="pct"/>
            <w:tcBorders>
              <w:bottom w:val="single" w:sz="4" w:space="0" w:color="BFBFBF"/>
            </w:tcBorders>
            <w:shd w:val="clear" w:color="auto" w:fill="auto"/>
            <w:vAlign w:val="center"/>
            <w:hideMark/>
          </w:tcPr>
          <w:p w:rsidR="0000273D" w:rsidRPr="00BF5572" w:rsidRDefault="0000273D" w:rsidP="0000273D">
            <w:pPr>
              <w:spacing w:after="0"/>
              <w:jc w:val="right"/>
              <w:rPr>
                <w:rFonts w:ascii="Calibri" w:hAnsi="Calibri"/>
                <w:color w:val="000000"/>
                <w:sz w:val="20"/>
                <w:szCs w:val="20"/>
              </w:rPr>
            </w:pPr>
            <w:r w:rsidRPr="00BF5572">
              <w:rPr>
                <w:rFonts w:ascii="Calibri" w:hAnsi="Calibri"/>
                <w:color w:val="000000"/>
                <w:sz w:val="20"/>
                <w:szCs w:val="20"/>
              </w:rPr>
              <w:t>7%</w:t>
            </w:r>
          </w:p>
        </w:tc>
        <w:tc>
          <w:tcPr>
            <w:tcW w:w="623" w:type="pct"/>
            <w:tcBorders>
              <w:bottom w:val="single" w:sz="4" w:space="0" w:color="BFBFBF"/>
            </w:tcBorders>
            <w:shd w:val="clear" w:color="auto" w:fill="auto"/>
            <w:vAlign w:val="center"/>
            <w:hideMark/>
          </w:tcPr>
          <w:p w:rsidR="0000273D" w:rsidRPr="00BF5572" w:rsidRDefault="0000273D" w:rsidP="0000273D">
            <w:pPr>
              <w:spacing w:after="0"/>
              <w:jc w:val="right"/>
              <w:rPr>
                <w:rFonts w:ascii="Calibri" w:hAnsi="Calibri"/>
                <w:color w:val="000000"/>
                <w:sz w:val="20"/>
                <w:szCs w:val="20"/>
              </w:rPr>
            </w:pPr>
            <w:r w:rsidRPr="00BF5572">
              <w:rPr>
                <w:sz w:val="20"/>
                <w:szCs w:val="20"/>
              </w:rPr>
              <w:t>±</w:t>
            </w:r>
            <w:r w:rsidRPr="00BF5572">
              <w:rPr>
                <w:rFonts w:ascii="Calibri" w:hAnsi="Calibri"/>
                <w:color w:val="000000"/>
                <w:sz w:val="20"/>
                <w:szCs w:val="20"/>
              </w:rPr>
              <w:t>159%</w:t>
            </w:r>
          </w:p>
        </w:tc>
      </w:tr>
      <w:tr w:rsidR="0000273D" w:rsidRPr="00783F84" w:rsidTr="00242751">
        <w:tc>
          <w:tcPr>
            <w:tcW w:w="923" w:type="pct"/>
            <w:vMerge/>
            <w:shd w:val="clear" w:color="000000" w:fill="D9EEFF"/>
            <w:vAlign w:val="center"/>
          </w:tcPr>
          <w:p w:rsidR="0000273D" w:rsidRPr="00BF5572" w:rsidRDefault="0000273D" w:rsidP="0000273D">
            <w:pPr>
              <w:pStyle w:val="TableRow-left"/>
              <w:keepNext/>
              <w:keepLines/>
              <w:rPr>
                <w:b/>
                <w:bCs/>
                <w:color w:val="005DAA"/>
                <w:szCs w:val="20"/>
              </w:rPr>
            </w:pPr>
          </w:p>
        </w:tc>
        <w:tc>
          <w:tcPr>
            <w:tcW w:w="778" w:type="pct"/>
            <w:shd w:val="clear" w:color="auto" w:fill="auto"/>
            <w:vAlign w:val="center"/>
            <w:hideMark/>
          </w:tcPr>
          <w:p w:rsidR="0000273D" w:rsidRPr="00BF5572" w:rsidRDefault="0000273D" w:rsidP="0000273D">
            <w:pPr>
              <w:pStyle w:val="TableRow-left"/>
              <w:keepNext/>
              <w:keepLines/>
              <w:rPr>
                <w:b/>
                <w:bCs/>
                <w:color w:val="005DAA"/>
                <w:szCs w:val="20"/>
              </w:rPr>
            </w:pPr>
            <w:r w:rsidRPr="00BF5572">
              <w:rPr>
                <w:b/>
                <w:bCs/>
                <w:color w:val="005DAA"/>
                <w:szCs w:val="20"/>
              </w:rPr>
              <w:t>Overall</w:t>
            </w:r>
          </w:p>
        </w:tc>
        <w:tc>
          <w:tcPr>
            <w:tcW w:w="376" w:type="pct"/>
            <w:shd w:val="clear" w:color="auto" w:fill="auto"/>
            <w:vAlign w:val="center"/>
            <w:hideMark/>
          </w:tcPr>
          <w:p w:rsidR="0000273D" w:rsidRPr="00BF5572" w:rsidRDefault="0000273D" w:rsidP="0000273D">
            <w:pPr>
              <w:spacing w:after="0"/>
              <w:jc w:val="right"/>
              <w:rPr>
                <w:rFonts w:ascii="Calibri" w:hAnsi="Calibri"/>
                <w:b/>
                <w:bCs/>
                <w:color w:val="005DAA"/>
                <w:sz w:val="20"/>
                <w:szCs w:val="20"/>
              </w:rPr>
            </w:pPr>
            <w:r w:rsidRPr="00BF5572">
              <w:rPr>
                <w:rFonts w:ascii="Calibri" w:hAnsi="Calibri"/>
                <w:b/>
                <w:bCs/>
                <w:color w:val="005DAA"/>
                <w:sz w:val="20"/>
                <w:szCs w:val="20"/>
              </w:rPr>
              <w:t xml:space="preserve">1,348 </w:t>
            </w:r>
          </w:p>
        </w:tc>
        <w:tc>
          <w:tcPr>
            <w:tcW w:w="564" w:type="pct"/>
            <w:shd w:val="clear" w:color="auto" w:fill="auto"/>
            <w:vAlign w:val="center"/>
            <w:hideMark/>
          </w:tcPr>
          <w:p w:rsidR="0000273D" w:rsidRPr="00BF5572" w:rsidRDefault="0000273D" w:rsidP="0000273D">
            <w:pPr>
              <w:spacing w:after="0"/>
              <w:jc w:val="right"/>
              <w:rPr>
                <w:rFonts w:ascii="Calibri" w:hAnsi="Calibri"/>
                <w:b/>
                <w:bCs/>
                <w:color w:val="005DAA"/>
                <w:sz w:val="20"/>
                <w:szCs w:val="20"/>
              </w:rPr>
            </w:pPr>
            <w:r w:rsidRPr="00BF5572">
              <w:rPr>
                <w:rFonts w:ascii="Calibri" w:hAnsi="Calibri"/>
                <w:b/>
                <w:bCs/>
                <w:color w:val="005DAA"/>
                <w:sz w:val="20"/>
                <w:szCs w:val="20"/>
              </w:rPr>
              <w:t xml:space="preserve">8,708 </w:t>
            </w:r>
          </w:p>
        </w:tc>
        <w:tc>
          <w:tcPr>
            <w:tcW w:w="846" w:type="pct"/>
            <w:shd w:val="clear" w:color="auto" w:fill="auto"/>
            <w:vAlign w:val="center"/>
            <w:hideMark/>
          </w:tcPr>
          <w:p w:rsidR="0000273D" w:rsidRPr="00BF5572" w:rsidRDefault="0000273D" w:rsidP="0000273D">
            <w:pPr>
              <w:spacing w:after="0"/>
              <w:jc w:val="right"/>
              <w:rPr>
                <w:rFonts w:ascii="Calibri" w:hAnsi="Calibri"/>
                <w:b/>
                <w:bCs/>
                <w:color w:val="005DAA"/>
                <w:sz w:val="20"/>
                <w:szCs w:val="20"/>
              </w:rPr>
            </w:pPr>
            <w:r w:rsidRPr="00BF5572">
              <w:rPr>
                <w:rFonts w:ascii="Calibri" w:hAnsi="Calibri"/>
                <w:b/>
                <w:bCs/>
                <w:color w:val="005DAA"/>
                <w:sz w:val="20"/>
                <w:szCs w:val="20"/>
              </w:rPr>
              <w:t xml:space="preserve">1,074 </w:t>
            </w:r>
          </w:p>
        </w:tc>
        <w:tc>
          <w:tcPr>
            <w:tcW w:w="890" w:type="pct"/>
            <w:shd w:val="clear" w:color="auto" w:fill="auto"/>
            <w:vAlign w:val="center"/>
            <w:hideMark/>
          </w:tcPr>
          <w:p w:rsidR="0000273D" w:rsidRPr="00BF5572" w:rsidRDefault="0000273D" w:rsidP="0000273D">
            <w:pPr>
              <w:spacing w:after="0"/>
              <w:jc w:val="right"/>
              <w:rPr>
                <w:rFonts w:ascii="Calibri" w:hAnsi="Calibri"/>
                <w:b/>
                <w:bCs/>
                <w:color w:val="005DAA"/>
                <w:sz w:val="20"/>
                <w:szCs w:val="20"/>
              </w:rPr>
            </w:pPr>
            <w:r w:rsidRPr="00BF5572">
              <w:rPr>
                <w:rFonts w:ascii="Calibri" w:hAnsi="Calibri"/>
                <w:b/>
                <w:bCs/>
                <w:color w:val="005DAA"/>
                <w:sz w:val="20"/>
                <w:szCs w:val="20"/>
              </w:rPr>
              <w:t>12%</w:t>
            </w:r>
          </w:p>
        </w:tc>
        <w:tc>
          <w:tcPr>
            <w:tcW w:w="623" w:type="pct"/>
            <w:shd w:val="clear" w:color="auto" w:fill="auto"/>
            <w:vAlign w:val="center"/>
            <w:hideMark/>
          </w:tcPr>
          <w:p w:rsidR="0000273D" w:rsidRPr="00BF5572" w:rsidRDefault="0000273D" w:rsidP="0000273D">
            <w:pPr>
              <w:spacing w:after="0"/>
              <w:jc w:val="right"/>
              <w:rPr>
                <w:rFonts w:ascii="Calibri" w:hAnsi="Calibri"/>
                <w:b/>
                <w:bCs/>
                <w:color w:val="005DAA"/>
                <w:sz w:val="20"/>
                <w:szCs w:val="20"/>
              </w:rPr>
            </w:pPr>
            <w:r w:rsidRPr="00BF5572">
              <w:rPr>
                <w:rFonts w:ascii="Calibri" w:hAnsi="Calibri"/>
                <w:b/>
                <w:bCs/>
                <w:color w:val="005DAA"/>
                <w:sz w:val="20"/>
                <w:szCs w:val="20"/>
              </w:rPr>
              <w:t>±20%</w:t>
            </w:r>
          </w:p>
        </w:tc>
      </w:tr>
      <w:tr w:rsidR="0000273D" w:rsidRPr="00783F84" w:rsidTr="00242751">
        <w:tc>
          <w:tcPr>
            <w:tcW w:w="923" w:type="pct"/>
            <w:vMerge w:val="restart"/>
            <w:shd w:val="clear" w:color="000000" w:fill="auto"/>
            <w:vAlign w:val="center"/>
          </w:tcPr>
          <w:p w:rsidR="0000273D" w:rsidRPr="00BF5572" w:rsidRDefault="0000273D" w:rsidP="0000273D">
            <w:pPr>
              <w:pStyle w:val="TableRow-left"/>
              <w:keepNext/>
              <w:keepLines/>
              <w:rPr>
                <w:szCs w:val="20"/>
              </w:rPr>
            </w:pPr>
            <w:r w:rsidRPr="00BF5572">
              <w:rPr>
                <w:szCs w:val="20"/>
              </w:rPr>
              <w:t>SP4</w:t>
            </w:r>
          </w:p>
        </w:tc>
        <w:tc>
          <w:tcPr>
            <w:tcW w:w="778" w:type="pct"/>
            <w:shd w:val="clear" w:color="auto" w:fill="auto"/>
            <w:vAlign w:val="center"/>
          </w:tcPr>
          <w:p w:rsidR="0000273D" w:rsidRPr="00BF5572" w:rsidRDefault="0000273D" w:rsidP="0000273D">
            <w:pPr>
              <w:pStyle w:val="TableRow-left"/>
              <w:keepNext/>
              <w:keepLines/>
              <w:rPr>
                <w:szCs w:val="20"/>
              </w:rPr>
            </w:pPr>
            <w:r w:rsidRPr="00BF5572">
              <w:rPr>
                <w:szCs w:val="20"/>
              </w:rPr>
              <w:t>Single family</w:t>
            </w:r>
          </w:p>
        </w:tc>
        <w:tc>
          <w:tcPr>
            <w:tcW w:w="376" w:type="pct"/>
            <w:shd w:val="clear" w:color="auto" w:fill="auto"/>
            <w:vAlign w:val="center"/>
          </w:tcPr>
          <w:p w:rsidR="0000273D" w:rsidRPr="00BF5572" w:rsidRDefault="0000273D" w:rsidP="0000273D">
            <w:pPr>
              <w:spacing w:after="0"/>
              <w:jc w:val="right"/>
              <w:rPr>
                <w:rFonts w:ascii="Calibri" w:hAnsi="Calibri"/>
                <w:color w:val="000000"/>
                <w:sz w:val="20"/>
                <w:szCs w:val="20"/>
              </w:rPr>
            </w:pPr>
            <w:r w:rsidRPr="00BF5572">
              <w:rPr>
                <w:rFonts w:ascii="Calibri" w:hAnsi="Calibri"/>
                <w:color w:val="000000"/>
                <w:sz w:val="20"/>
                <w:szCs w:val="20"/>
              </w:rPr>
              <w:t>2,665</w:t>
            </w:r>
          </w:p>
        </w:tc>
        <w:tc>
          <w:tcPr>
            <w:tcW w:w="564" w:type="pct"/>
            <w:shd w:val="clear" w:color="auto" w:fill="auto"/>
            <w:vAlign w:val="center"/>
          </w:tcPr>
          <w:p w:rsidR="0000273D" w:rsidRPr="00BF5572" w:rsidRDefault="0000273D" w:rsidP="0000273D">
            <w:pPr>
              <w:spacing w:after="0"/>
              <w:jc w:val="right"/>
              <w:rPr>
                <w:rFonts w:ascii="Calibri" w:hAnsi="Calibri"/>
                <w:color w:val="000000"/>
                <w:sz w:val="20"/>
                <w:szCs w:val="20"/>
              </w:rPr>
            </w:pPr>
            <w:r w:rsidRPr="00BF5572">
              <w:rPr>
                <w:rFonts w:ascii="Calibri" w:hAnsi="Calibri"/>
                <w:color w:val="000000"/>
                <w:sz w:val="20"/>
                <w:szCs w:val="20"/>
              </w:rPr>
              <w:t>6,543</w:t>
            </w:r>
          </w:p>
        </w:tc>
        <w:tc>
          <w:tcPr>
            <w:tcW w:w="846" w:type="pct"/>
            <w:shd w:val="clear" w:color="auto" w:fill="auto"/>
            <w:vAlign w:val="center"/>
          </w:tcPr>
          <w:p w:rsidR="0000273D" w:rsidRPr="00BF5572" w:rsidRDefault="0000273D" w:rsidP="0000273D">
            <w:pPr>
              <w:spacing w:after="0"/>
              <w:jc w:val="right"/>
              <w:rPr>
                <w:rFonts w:ascii="Calibri" w:hAnsi="Calibri"/>
                <w:color w:val="000000"/>
                <w:sz w:val="20"/>
                <w:szCs w:val="20"/>
              </w:rPr>
            </w:pPr>
            <w:r w:rsidRPr="00BF5572">
              <w:rPr>
                <w:rFonts w:ascii="Calibri" w:hAnsi="Calibri"/>
                <w:color w:val="000000"/>
                <w:sz w:val="20"/>
                <w:szCs w:val="20"/>
              </w:rPr>
              <w:t>647</w:t>
            </w:r>
          </w:p>
        </w:tc>
        <w:tc>
          <w:tcPr>
            <w:tcW w:w="890" w:type="pct"/>
            <w:shd w:val="clear" w:color="auto" w:fill="auto"/>
            <w:vAlign w:val="center"/>
          </w:tcPr>
          <w:p w:rsidR="0000273D" w:rsidRPr="00BF5572" w:rsidRDefault="0000273D" w:rsidP="0000273D">
            <w:pPr>
              <w:spacing w:after="0"/>
              <w:jc w:val="right"/>
              <w:rPr>
                <w:rFonts w:ascii="Calibri" w:hAnsi="Calibri"/>
                <w:color w:val="000000"/>
                <w:sz w:val="20"/>
                <w:szCs w:val="20"/>
              </w:rPr>
            </w:pPr>
            <w:r w:rsidRPr="00BF5572">
              <w:rPr>
                <w:rFonts w:ascii="Calibri" w:hAnsi="Calibri"/>
                <w:color w:val="000000"/>
                <w:sz w:val="20"/>
                <w:szCs w:val="20"/>
              </w:rPr>
              <w:t>10%</w:t>
            </w:r>
          </w:p>
        </w:tc>
        <w:tc>
          <w:tcPr>
            <w:tcW w:w="623" w:type="pct"/>
            <w:shd w:val="clear" w:color="auto" w:fill="auto"/>
            <w:vAlign w:val="center"/>
          </w:tcPr>
          <w:p w:rsidR="0000273D" w:rsidRPr="00BF5572" w:rsidRDefault="0000273D" w:rsidP="0000273D">
            <w:pPr>
              <w:spacing w:after="0"/>
              <w:jc w:val="right"/>
              <w:rPr>
                <w:rFonts w:ascii="Calibri" w:hAnsi="Calibri"/>
                <w:color w:val="000000"/>
                <w:sz w:val="20"/>
                <w:szCs w:val="20"/>
              </w:rPr>
            </w:pPr>
            <w:r w:rsidRPr="00BF5572">
              <w:rPr>
                <w:sz w:val="20"/>
                <w:szCs w:val="20"/>
              </w:rPr>
              <w:t>±</w:t>
            </w:r>
            <w:r w:rsidRPr="00BF5572">
              <w:rPr>
                <w:rFonts w:ascii="Calibri" w:hAnsi="Calibri"/>
                <w:color w:val="000000"/>
                <w:sz w:val="20"/>
                <w:szCs w:val="20"/>
              </w:rPr>
              <w:t>22%</w:t>
            </w:r>
          </w:p>
        </w:tc>
      </w:tr>
      <w:tr w:rsidR="0000273D" w:rsidRPr="00783F84" w:rsidTr="00242751">
        <w:tc>
          <w:tcPr>
            <w:tcW w:w="923" w:type="pct"/>
            <w:vMerge/>
            <w:shd w:val="clear" w:color="000000" w:fill="auto"/>
          </w:tcPr>
          <w:p w:rsidR="0000273D" w:rsidRPr="00BF5572" w:rsidRDefault="0000273D" w:rsidP="0000273D">
            <w:pPr>
              <w:pStyle w:val="TableRow-left"/>
              <w:keepNext/>
              <w:keepLines/>
              <w:rPr>
                <w:b/>
                <w:bCs/>
                <w:color w:val="005DAA"/>
                <w:szCs w:val="20"/>
              </w:rPr>
            </w:pPr>
          </w:p>
        </w:tc>
        <w:tc>
          <w:tcPr>
            <w:tcW w:w="778" w:type="pct"/>
            <w:shd w:val="clear" w:color="auto" w:fill="auto"/>
            <w:vAlign w:val="center"/>
          </w:tcPr>
          <w:p w:rsidR="0000273D" w:rsidRPr="00BF5572" w:rsidRDefault="0000273D" w:rsidP="0000273D">
            <w:pPr>
              <w:pStyle w:val="TableRow-left"/>
              <w:keepNext/>
              <w:keepLines/>
              <w:rPr>
                <w:szCs w:val="20"/>
              </w:rPr>
            </w:pPr>
            <w:r w:rsidRPr="00BF5572">
              <w:rPr>
                <w:szCs w:val="20"/>
              </w:rPr>
              <w:t>Multifamily</w:t>
            </w:r>
          </w:p>
        </w:tc>
        <w:tc>
          <w:tcPr>
            <w:tcW w:w="376" w:type="pct"/>
            <w:shd w:val="clear" w:color="auto" w:fill="auto"/>
            <w:vAlign w:val="center"/>
          </w:tcPr>
          <w:p w:rsidR="0000273D" w:rsidRPr="00BF5572" w:rsidRDefault="0000273D" w:rsidP="0000273D">
            <w:pPr>
              <w:spacing w:after="0"/>
              <w:jc w:val="right"/>
              <w:rPr>
                <w:rFonts w:ascii="Calibri" w:hAnsi="Calibri"/>
                <w:color w:val="000000"/>
                <w:sz w:val="20"/>
                <w:szCs w:val="20"/>
              </w:rPr>
            </w:pPr>
            <w:r w:rsidRPr="00BF5572">
              <w:rPr>
                <w:rFonts w:ascii="Calibri" w:hAnsi="Calibri"/>
                <w:color w:val="000000"/>
                <w:sz w:val="20"/>
                <w:szCs w:val="20"/>
              </w:rPr>
              <w:t>5</w:t>
            </w:r>
          </w:p>
        </w:tc>
        <w:tc>
          <w:tcPr>
            <w:tcW w:w="564" w:type="pct"/>
            <w:shd w:val="clear" w:color="auto" w:fill="auto"/>
            <w:vAlign w:val="center"/>
          </w:tcPr>
          <w:p w:rsidR="0000273D" w:rsidRPr="00BF5572" w:rsidRDefault="0000273D" w:rsidP="0000273D">
            <w:pPr>
              <w:spacing w:after="0"/>
              <w:jc w:val="right"/>
              <w:rPr>
                <w:rFonts w:ascii="Calibri" w:hAnsi="Calibri"/>
                <w:color w:val="000000"/>
                <w:sz w:val="20"/>
                <w:szCs w:val="20"/>
              </w:rPr>
            </w:pPr>
            <w:r w:rsidRPr="00BF5572">
              <w:rPr>
                <w:rFonts w:ascii="Calibri" w:hAnsi="Calibri"/>
                <w:color w:val="000000"/>
                <w:sz w:val="20"/>
                <w:szCs w:val="20"/>
              </w:rPr>
              <w:t>7,661</w:t>
            </w:r>
          </w:p>
        </w:tc>
        <w:tc>
          <w:tcPr>
            <w:tcW w:w="846" w:type="pct"/>
            <w:shd w:val="clear" w:color="auto" w:fill="auto"/>
            <w:vAlign w:val="center"/>
          </w:tcPr>
          <w:p w:rsidR="0000273D" w:rsidRPr="00BF5572" w:rsidRDefault="0000273D" w:rsidP="0000273D">
            <w:pPr>
              <w:spacing w:after="0"/>
              <w:jc w:val="right"/>
              <w:rPr>
                <w:rFonts w:ascii="Calibri" w:hAnsi="Calibri"/>
                <w:color w:val="000000"/>
                <w:sz w:val="20"/>
                <w:szCs w:val="20"/>
              </w:rPr>
            </w:pPr>
            <w:r w:rsidRPr="00BF5572">
              <w:rPr>
                <w:rFonts w:ascii="Calibri" w:hAnsi="Calibri"/>
                <w:color w:val="000000"/>
                <w:sz w:val="20"/>
                <w:szCs w:val="20"/>
              </w:rPr>
              <w:t>213</w:t>
            </w:r>
          </w:p>
        </w:tc>
        <w:tc>
          <w:tcPr>
            <w:tcW w:w="890" w:type="pct"/>
            <w:shd w:val="clear" w:color="auto" w:fill="auto"/>
            <w:vAlign w:val="center"/>
          </w:tcPr>
          <w:p w:rsidR="0000273D" w:rsidRPr="00BF5572" w:rsidRDefault="0000273D" w:rsidP="0000273D">
            <w:pPr>
              <w:spacing w:after="0"/>
              <w:jc w:val="right"/>
              <w:rPr>
                <w:rFonts w:ascii="Calibri" w:hAnsi="Calibri"/>
                <w:color w:val="000000"/>
                <w:sz w:val="20"/>
                <w:szCs w:val="20"/>
              </w:rPr>
            </w:pPr>
            <w:r w:rsidRPr="00BF5572">
              <w:rPr>
                <w:rFonts w:ascii="Calibri" w:hAnsi="Calibri"/>
                <w:color w:val="000000"/>
                <w:sz w:val="20"/>
                <w:szCs w:val="20"/>
              </w:rPr>
              <w:t>3%</w:t>
            </w:r>
          </w:p>
        </w:tc>
        <w:tc>
          <w:tcPr>
            <w:tcW w:w="623" w:type="pct"/>
            <w:shd w:val="clear" w:color="auto" w:fill="auto"/>
            <w:vAlign w:val="center"/>
          </w:tcPr>
          <w:p w:rsidR="0000273D" w:rsidRPr="00BF5572" w:rsidRDefault="0000273D" w:rsidP="0000273D">
            <w:pPr>
              <w:spacing w:after="0"/>
              <w:jc w:val="right"/>
              <w:rPr>
                <w:rFonts w:ascii="Calibri" w:hAnsi="Calibri"/>
                <w:color w:val="000000"/>
                <w:sz w:val="20"/>
                <w:szCs w:val="20"/>
              </w:rPr>
            </w:pPr>
            <w:r w:rsidRPr="00BF5572">
              <w:rPr>
                <w:sz w:val="20"/>
                <w:szCs w:val="20"/>
              </w:rPr>
              <w:t>±</w:t>
            </w:r>
            <w:r w:rsidRPr="00BF5572">
              <w:rPr>
                <w:rFonts w:ascii="Calibri" w:hAnsi="Calibri"/>
                <w:color w:val="000000"/>
                <w:sz w:val="20"/>
                <w:szCs w:val="20"/>
              </w:rPr>
              <w:t>41%</w:t>
            </w:r>
          </w:p>
        </w:tc>
      </w:tr>
      <w:tr w:rsidR="0000273D" w:rsidRPr="00783F84" w:rsidTr="00242751">
        <w:tc>
          <w:tcPr>
            <w:tcW w:w="923" w:type="pct"/>
            <w:vMerge/>
            <w:shd w:val="clear" w:color="000000" w:fill="D9EEFF"/>
          </w:tcPr>
          <w:p w:rsidR="0000273D" w:rsidRPr="00BF5572" w:rsidRDefault="0000273D" w:rsidP="0000273D">
            <w:pPr>
              <w:pStyle w:val="TableRow-left"/>
              <w:keepNext/>
              <w:keepLines/>
              <w:rPr>
                <w:b/>
                <w:bCs/>
                <w:color w:val="005DAA"/>
                <w:szCs w:val="20"/>
              </w:rPr>
            </w:pPr>
          </w:p>
        </w:tc>
        <w:tc>
          <w:tcPr>
            <w:tcW w:w="778" w:type="pct"/>
            <w:shd w:val="clear" w:color="auto" w:fill="auto"/>
            <w:vAlign w:val="center"/>
          </w:tcPr>
          <w:p w:rsidR="0000273D" w:rsidRPr="00BF5572" w:rsidRDefault="0000273D" w:rsidP="0000273D">
            <w:pPr>
              <w:pStyle w:val="TableRow-left"/>
              <w:keepNext/>
              <w:keepLines/>
              <w:rPr>
                <w:b/>
                <w:bCs/>
                <w:color w:val="005DAA"/>
                <w:szCs w:val="20"/>
              </w:rPr>
            </w:pPr>
            <w:r w:rsidRPr="00BF5572">
              <w:rPr>
                <w:b/>
                <w:bCs/>
                <w:color w:val="005DAA"/>
                <w:szCs w:val="20"/>
              </w:rPr>
              <w:t>Overall</w:t>
            </w:r>
          </w:p>
        </w:tc>
        <w:tc>
          <w:tcPr>
            <w:tcW w:w="376" w:type="pct"/>
            <w:shd w:val="clear" w:color="auto" w:fill="auto"/>
            <w:vAlign w:val="center"/>
          </w:tcPr>
          <w:p w:rsidR="0000273D" w:rsidRPr="00BF5572" w:rsidRDefault="0000273D" w:rsidP="0000273D">
            <w:pPr>
              <w:spacing w:after="0"/>
              <w:jc w:val="right"/>
              <w:rPr>
                <w:rFonts w:ascii="Calibri" w:hAnsi="Calibri"/>
                <w:b/>
                <w:bCs/>
                <w:color w:val="005DAA"/>
                <w:sz w:val="20"/>
                <w:szCs w:val="20"/>
              </w:rPr>
            </w:pPr>
            <w:r w:rsidRPr="00BF5572">
              <w:rPr>
                <w:rFonts w:ascii="Calibri" w:hAnsi="Calibri"/>
                <w:b/>
                <w:bCs/>
                <w:color w:val="005DAA"/>
                <w:sz w:val="20"/>
                <w:szCs w:val="20"/>
              </w:rPr>
              <w:t xml:space="preserve">2,670 </w:t>
            </w:r>
          </w:p>
        </w:tc>
        <w:tc>
          <w:tcPr>
            <w:tcW w:w="564" w:type="pct"/>
            <w:shd w:val="clear" w:color="auto" w:fill="auto"/>
            <w:vAlign w:val="center"/>
          </w:tcPr>
          <w:p w:rsidR="0000273D" w:rsidRPr="00BF5572" w:rsidRDefault="0000273D" w:rsidP="0000273D">
            <w:pPr>
              <w:spacing w:after="0"/>
              <w:jc w:val="right"/>
              <w:rPr>
                <w:rFonts w:ascii="Calibri" w:hAnsi="Calibri"/>
                <w:b/>
                <w:bCs/>
                <w:color w:val="005DAA"/>
                <w:sz w:val="20"/>
                <w:szCs w:val="20"/>
              </w:rPr>
            </w:pPr>
            <w:r w:rsidRPr="00BF5572">
              <w:rPr>
                <w:rFonts w:ascii="Calibri" w:hAnsi="Calibri"/>
                <w:b/>
                <w:bCs/>
                <w:color w:val="005DAA"/>
                <w:sz w:val="20"/>
                <w:szCs w:val="20"/>
              </w:rPr>
              <w:t xml:space="preserve">6,617 </w:t>
            </w:r>
          </w:p>
        </w:tc>
        <w:tc>
          <w:tcPr>
            <w:tcW w:w="846" w:type="pct"/>
            <w:shd w:val="clear" w:color="auto" w:fill="auto"/>
            <w:vAlign w:val="center"/>
          </w:tcPr>
          <w:p w:rsidR="0000273D" w:rsidRPr="00BF5572" w:rsidRDefault="0000273D" w:rsidP="0000273D">
            <w:pPr>
              <w:spacing w:after="0"/>
              <w:jc w:val="right"/>
              <w:rPr>
                <w:rFonts w:ascii="Calibri" w:hAnsi="Calibri"/>
                <w:b/>
                <w:bCs/>
                <w:color w:val="005DAA"/>
                <w:sz w:val="20"/>
                <w:szCs w:val="20"/>
              </w:rPr>
            </w:pPr>
            <w:r w:rsidRPr="00BF5572">
              <w:rPr>
                <w:rFonts w:ascii="Calibri" w:hAnsi="Calibri"/>
                <w:b/>
                <w:bCs/>
                <w:color w:val="005DAA"/>
                <w:sz w:val="20"/>
                <w:szCs w:val="20"/>
              </w:rPr>
              <w:t xml:space="preserve">629 </w:t>
            </w:r>
          </w:p>
        </w:tc>
        <w:tc>
          <w:tcPr>
            <w:tcW w:w="890" w:type="pct"/>
            <w:shd w:val="clear" w:color="auto" w:fill="auto"/>
            <w:vAlign w:val="center"/>
          </w:tcPr>
          <w:p w:rsidR="0000273D" w:rsidRPr="00BF5572" w:rsidRDefault="0000273D" w:rsidP="0000273D">
            <w:pPr>
              <w:spacing w:after="0"/>
              <w:jc w:val="right"/>
              <w:rPr>
                <w:rFonts w:ascii="Calibri" w:hAnsi="Calibri"/>
                <w:b/>
                <w:bCs/>
                <w:color w:val="005DAA"/>
                <w:sz w:val="20"/>
                <w:szCs w:val="20"/>
              </w:rPr>
            </w:pPr>
            <w:r w:rsidRPr="00BF5572">
              <w:rPr>
                <w:rFonts w:ascii="Calibri" w:hAnsi="Calibri"/>
                <w:b/>
                <w:bCs/>
                <w:color w:val="005DAA"/>
                <w:sz w:val="20"/>
                <w:szCs w:val="20"/>
              </w:rPr>
              <w:t>10%</w:t>
            </w:r>
          </w:p>
        </w:tc>
        <w:tc>
          <w:tcPr>
            <w:tcW w:w="623" w:type="pct"/>
            <w:shd w:val="clear" w:color="auto" w:fill="auto"/>
            <w:vAlign w:val="center"/>
          </w:tcPr>
          <w:p w:rsidR="0000273D" w:rsidRPr="00BF5572" w:rsidRDefault="0000273D" w:rsidP="0000273D">
            <w:pPr>
              <w:spacing w:after="0"/>
              <w:jc w:val="right"/>
              <w:rPr>
                <w:rFonts w:ascii="Calibri" w:hAnsi="Calibri"/>
                <w:b/>
                <w:bCs/>
                <w:color w:val="005DAA"/>
                <w:sz w:val="20"/>
                <w:szCs w:val="20"/>
              </w:rPr>
            </w:pPr>
            <w:r w:rsidRPr="00BF5572">
              <w:rPr>
                <w:rFonts w:ascii="Calibri" w:hAnsi="Calibri"/>
                <w:b/>
                <w:bCs/>
                <w:color w:val="005DAA"/>
                <w:sz w:val="20"/>
                <w:szCs w:val="20"/>
              </w:rPr>
              <w:t>±23%</w:t>
            </w:r>
          </w:p>
        </w:tc>
      </w:tr>
    </w:tbl>
    <w:p w:rsidR="0000273D" w:rsidRPr="00783F84" w:rsidRDefault="0000273D" w:rsidP="0000273D">
      <w:pPr>
        <w:pStyle w:val="NormalAfterTablesandFigures"/>
        <w:rPr>
          <w:highlight w:val="yellow"/>
        </w:rPr>
      </w:pPr>
    </w:p>
    <w:p w:rsidR="0000273D" w:rsidRPr="00B05165" w:rsidRDefault="0000273D" w:rsidP="00BF5572">
      <w:pPr>
        <w:pStyle w:val="Heading4"/>
      </w:pPr>
      <w:r w:rsidRPr="00B05165">
        <w:t>Realization Rate</w:t>
      </w:r>
    </w:p>
    <w:p w:rsidR="0000273D" w:rsidRPr="00B05165" w:rsidRDefault="002506E1" w:rsidP="00BF5572">
      <w:r>
        <w:fldChar w:fldCharType="begin"/>
      </w:r>
      <w:r>
        <w:instrText xml:space="preserve"> REF _Ref383067044 \h  \* MERGEFORMAT </w:instrText>
      </w:r>
      <w:r>
        <w:fldChar w:fldCharType="separate"/>
      </w:r>
      <w:r w:rsidR="00CD20CF" w:rsidRPr="00B05165">
        <w:t xml:space="preserve">Table </w:t>
      </w:r>
      <w:r w:rsidR="00CD20CF">
        <w:rPr>
          <w:noProof/>
        </w:rPr>
        <w:t>74</w:t>
      </w:r>
      <w:r>
        <w:fldChar w:fldCharType="end"/>
      </w:r>
      <w:r w:rsidR="0000273D" w:rsidRPr="00B05165">
        <w:t xml:space="preserve"> provides realization rates</w:t>
      </w:r>
      <w:r w:rsidR="002953AD">
        <w:t xml:space="preserve"> </w:t>
      </w:r>
      <w:r w:rsidR="0000273D" w:rsidRPr="00B05165">
        <w:t xml:space="preserve">for HES-IE </w:t>
      </w:r>
      <w:r w:rsidR="0000273D">
        <w:t>SP</w:t>
      </w:r>
      <w:r w:rsidR="0000273D" w:rsidRPr="00B05165">
        <w:t xml:space="preserve">1 and </w:t>
      </w:r>
      <w:r w:rsidR="0000273D">
        <w:t>SP</w:t>
      </w:r>
      <w:r w:rsidR="0000273D" w:rsidRPr="00B05165">
        <w:t>4</w:t>
      </w:r>
      <w:r w:rsidR="005A42B3">
        <w:t>,</w:t>
      </w:r>
      <w:r w:rsidR="0000273D" w:rsidRPr="00B05165">
        <w:t xml:space="preserve"> based on the participant gross and adjusted gross savings for the billing analysis sample.</w:t>
      </w:r>
    </w:p>
    <w:p w:rsidR="0000273D" w:rsidRPr="00B05165" w:rsidRDefault="0000273D" w:rsidP="0000273D">
      <w:pPr>
        <w:pStyle w:val="Caption"/>
      </w:pPr>
      <w:bookmarkStart w:id="128" w:name="_Ref383067044"/>
      <w:r w:rsidRPr="00B05165">
        <w:lastRenderedPageBreak/>
        <w:t xml:space="preserve">Table </w:t>
      </w:r>
      <w:r w:rsidR="002506E1">
        <w:fldChar w:fldCharType="begin"/>
      </w:r>
      <w:r w:rsidR="002506E1">
        <w:instrText xml:space="preserve"> SEQ Table \* ARABIC </w:instrText>
      </w:r>
      <w:r w:rsidR="002506E1">
        <w:fldChar w:fldCharType="separate"/>
      </w:r>
      <w:r w:rsidR="00CD20CF">
        <w:rPr>
          <w:noProof/>
        </w:rPr>
        <w:t>74</w:t>
      </w:r>
      <w:r w:rsidR="002506E1">
        <w:rPr>
          <w:noProof/>
        </w:rPr>
        <w:fldChar w:fldCharType="end"/>
      </w:r>
      <w:bookmarkEnd w:id="128"/>
      <w:r w:rsidRPr="00B05165">
        <w:t>. HES</w:t>
      </w:r>
      <w:r>
        <w:t>-IE SP1 and</w:t>
      </w:r>
      <w:r w:rsidRPr="00B05165">
        <w:t xml:space="preserve"> SP4 Electric Billing Analysis: Realization Rate Summary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098"/>
        <w:gridCol w:w="1530"/>
        <w:gridCol w:w="1141"/>
        <w:gridCol w:w="1408"/>
        <w:gridCol w:w="1235"/>
        <w:gridCol w:w="1500"/>
        <w:gridCol w:w="1664"/>
      </w:tblGrid>
      <w:tr w:rsidR="0000273D" w:rsidRPr="00B05165" w:rsidTr="00BF5572">
        <w:tc>
          <w:tcPr>
            <w:tcW w:w="573" w:type="pct"/>
            <w:shd w:val="clear" w:color="000000" w:fill="005DAA"/>
            <w:vAlign w:val="center"/>
          </w:tcPr>
          <w:p w:rsidR="0000273D" w:rsidRPr="00B05165" w:rsidRDefault="0000273D" w:rsidP="00242751">
            <w:pPr>
              <w:keepNext/>
              <w:keepLines/>
              <w:spacing w:after="0"/>
              <w:jc w:val="center"/>
              <w:rPr>
                <w:rFonts w:ascii="Calibri" w:eastAsia="Times New Roman" w:hAnsi="Calibri" w:cs="Times New Roman"/>
                <w:b/>
                <w:bCs/>
                <w:color w:val="FFFFFF"/>
              </w:rPr>
            </w:pPr>
            <w:r w:rsidRPr="00B05165">
              <w:rPr>
                <w:b/>
                <w:color w:val="FFFFFF" w:themeColor="background1"/>
              </w:rPr>
              <w:t>HES-IE Subgroup</w:t>
            </w:r>
          </w:p>
        </w:tc>
        <w:tc>
          <w:tcPr>
            <w:tcW w:w="799" w:type="pct"/>
            <w:shd w:val="clear" w:color="000000" w:fill="005DAA"/>
            <w:vAlign w:val="center"/>
            <w:hideMark/>
          </w:tcPr>
          <w:p w:rsidR="0000273D" w:rsidRPr="00B05165" w:rsidRDefault="0000273D" w:rsidP="00242751">
            <w:pPr>
              <w:keepNext/>
              <w:keepLines/>
              <w:spacing w:after="0"/>
              <w:jc w:val="center"/>
              <w:rPr>
                <w:rFonts w:ascii="Calibri" w:eastAsia="Times New Roman" w:hAnsi="Calibri" w:cs="Times New Roman"/>
                <w:b/>
                <w:bCs/>
                <w:color w:val="FFFFFF"/>
              </w:rPr>
            </w:pPr>
            <w:r w:rsidRPr="00B05165">
              <w:rPr>
                <w:rFonts w:ascii="Calibri" w:eastAsia="Times New Roman" w:hAnsi="Calibri" w:cs="Times New Roman"/>
                <w:b/>
                <w:bCs/>
                <w:color w:val="FFFFFF"/>
              </w:rPr>
              <w:t>Group</w:t>
            </w:r>
          </w:p>
        </w:tc>
        <w:tc>
          <w:tcPr>
            <w:tcW w:w="596" w:type="pct"/>
            <w:shd w:val="clear" w:color="000000" w:fill="005DAA"/>
            <w:vAlign w:val="center"/>
            <w:hideMark/>
          </w:tcPr>
          <w:p w:rsidR="0000273D" w:rsidRPr="00B05165" w:rsidRDefault="0000273D" w:rsidP="00242751">
            <w:pPr>
              <w:pStyle w:val="TableHeading-centered"/>
              <w:keepNext/>
              <w:keepLines/>
            </w:pPr>
            <w:r w:rsidRPr="00B05165">
              <w:t>Model Savings (kWh)</w:t>
            </w:r>
          </w:p>
        </w:tc>
        <w:tc>
          <w:tcPr>
            <w:tcW w:w="735" w:type="pct"/>
            <w:shd w:val="clear" w:color="000000" w:fill="005DAA"/>
            <w:vAlign w:val="center"/>
            <w:hideMark/>
          </w:tcPr>
          <w:p w:rsidR="0000273D" w:rsidRPr="00B05165" w:rsidRDefault="0000273D" w:rsidP="00242751">
            <w:pPr>
              <w:pStyle w:val="TableHeading-centered"/>
              <w:keepNext/>
              <w:keepLines/>
            </w:pPr>
            <w:r w:rsidRPr="00B05165">
              <w:t xml:space="preserve">Reported </w:t>
            </w:r>
            <w:r w:rsidRPr="00B05165">
              <w:rPr>
                <w:i/>
              </w:rPr>
              <w:t>Ex Ante</w:t>
            </w:r>
            <w:r w:rsidRPr="00B05165">
              <w:t xml:space="preserve"> Savings (kWh)</w:t>
            </w:r>
          </w:p>
        </w:tc>
        <w:tc>
          <w:tcPr>
            <w:tcW w:w="645" w:type="pct"/>
            <w:shd w:val="clear" w:color="000000" w:fill="005DAA"/>
            <w:vAlign w:val="center"/>
            <w:hideMark/>
          </w:tcPr>
          <w:p w:rsidR="0000273D" w:rsidRPr="00B05165" w:rsidRDefault="0000273D" w:rsidP="00242751">
            <w:pPr>
              <w:pStyle w:val="TableHeading-centered"/>
              <w:keepNext/>
              <w:keepLines/>
            </w:pPr>
            <w:r w:rsidRPr="00B05165">
              <w:t>Realization Rate</w:t>
            </w:r>
          </w:p>
        </w:tc>
        <w:tc>
          <w:tcPr>
            <w:tcW w:w="783" w:type="pct"/>
            <w:shd w:val="clear" w:color="000000" w:fill="005DAA"/>
            <w:vAlign w:val="center"/>
            <w:hideMark/>
          </w:tcPr>
          <w:p w:rsidR="0000273D" w:rsidRPr="00B05165" w:rsidRDefault="0000273D" w:rsidP="00242751">
            <w:pPr>
              <w:pStyle w:val="TableHeading-centered"/>
              <w:keepNext/>
              <w:keepLines/>
            </w:pPr>
            <w:r w:rsidRPr="00B05165">
              <w:t>Model Savings as Percentage of Pre-Usage</w:t>
            </w:r>
          </w:p>
        </w:tc>
        <w:tc>
          <w:tcPr>
            <w:tcW w:w="869" w:type="pct"/>
            <w:shd w:val="clear" w:color="000000" w:fill="005DAA"/>
            <w:vAlign w:val="center"/>
            <w:hideMark/>
          </w:tcPr>
          <w:p w:rsidR="0000273D" w:rsidRPr="00B05165" w:rsidRDefault="0000273D" w:rsidP="00242751">
            <w:pPr>
              <w:pStyle w:val="TableHeading-centered"/>
              <w:keepNext/>
              <w:keepLines/>
            </w:pPr>
            <w:r w:rsidRPr="00B05165">
              <w:t xml:space="preserve">Reported </w:t>
            </w:r>
            <w:r w:rsidRPr="00B05165">
              <w:rPr>
                <w:i/>
              </w:rPr>
              <w:t>Ex Ante</w:t>
            </w:r>
            <w:r w:rsidRPr="00B05165">
              <w:t xml:space="preserve"> Savings as Percentage of Pre-Usage</w:t>
            </w:r>
          </w:p>
        </w:tc>
      </w:tr>
      <w:tr w:rsidR="0000273D" w:rsidRPr="00B05165" w:rsidTr="00BF5572">
        <w:tc>
          <w:tcPr>
            <w:tcW w:w="573" w:type="pct"/>
            <w:vMerge w:val="restart"/>
            <w:vAlign w:val="center"/>
          </w:tcPr>
          <w:p w:rsidR="0000273D" w:rsidRPr="00B05165" w:rsidRDefault="0000273D" w:rsidP="00242751">
            <w:pPr>
              <w:pStyle w:val="TableRow-left"/>
              <w:keepNext/>
              <w:keepLines/>
            </w:pPr>
            <w:r w:rsidRPr="00B05165">
              <w:t>SP1</w:t>
            </w:r>
          </w:p>
        </w:tc>
        <w:tc>
          <w:tcPr>
            <w:tcW w:w="799" w:type="pct"/>
            <w:shd w:val="clear" w:color="auto" w:fill="auto"/>
            <w:vAlign w:val="center"/>
          </w:tcPr>
          <w:p w:rsidR="0000273D" w:rsidRPr="00B05165" w:rsidRDefault="0000273D" w:rsidP="00242751">
            <w:pPr>
              <w:spacing w:after="0"/>
              <w:rPr>
                <w:rFonts w:ascii="Calibri" w:hAnsi="Calibri"/>
                <w:color w:val="000000"/>
                <w:sz w:val="20"/>
                <w:szCs w:val="20"/>
              </w:rPr>
            </w:pPr>
            <w:r w:rsidRPr="00B05165">
              <w:rPr>
                <w:rFonts w:ascii="Calibri" w:hAnsi="Calibri"/>
                <w:color w:val="000000"/>
                <w:sz w:val="20"/>
                <w:szCs w:val="20"/>
              </w:rPr>
              <w:t>Gross Savings</w:t>
            </w:r>
          </w:p>
        </w:tc>
        <w:tc>
          <w:tcPr>
            <w:tcW w:w="596" w:type="pct"/>
            <w:shd w:val="clear" w:color="auto" w:fill="auto"/>
            <w:vAlign w:val="center"/>
            <w:hideMark/>
          </w:tcPr>
          <w:p w:rsidR="0000273D" w:rsidRPr="00B05165" w:rsidRDefault="0000273D" w:rsidP="00242751">
            <w:pPr>
              <w:spacing w:after="0"/>
              <w:jc w:val="right"/>
              <w:rPr>
                <w:rFonts w:ascii="Calibri" w:hAnsi="Calibri"/>
                <w:color w:val="000000"/>
                <w:sz w:val="20"/>
                <w:szCs w:val="20"/>
              </w:rPr>
            </w:pPr>
            <w:r w:rsidRPr="00B05165">
              <w:rPr>
                <w:rFonts w:ascii="Calibri" w:hAnsi="Calibri"/>
                <w:color w:val="000000"/>
                <w:sz w:val="20"/>
                <w:szCs w:val="20"/>
              </w:rPr>
              <w:t>765</w:t>
            </w:r>
          </w:p>
        </w:tc>
        <w:tc>
          <w:tcPr>
            <w:tcW w:w="735" w:type="pct"/>
            <w:shd w:val="clear" w:color="auto" w:fill="auto"/>
            <w:vAlign w:val="center"/>
            <w:hideMark/>
          </w:tcPr>
          <w:p w:rsidR="0000273D" w:rsidRPr="00B05165" w:rsidRDefault="0000273D" w:rsidP="00242751">
            <w:pPr>
              <w:spacing w:after="0"/>
              <w:jc w:val="right"/>
              <w:rPr>
                <w:rFonts w:ascii="Calibri" w:hAnsi="Calibri"/>
                <w:color w:val="000000"/>
                <w:sz w:val="20"/>
                <w:szCs w:val="20"/>
              </w:rPr>
            </w:pPr>
            <w:r w:rsidRPr="00B05165">
              <w:rPr>
                <w:rFonts w:ascii="Calibri" w:hAnsi="Calibri"/>
                <w:color w:val="000000"/>
                <w:sz w:val="20"/>
                <w:szCs w:val="20"/>
              </w:rPr>
              <w:t>1,278</w:t>
            </w:r>
          </w:p>
        </w:tc>
        <w:tc>
          <w:tcPr>
            <w:tcW w:w="645" w:type="pct"/>
            <w:shd w:val="clear" w:color="auto" w:fill="auto"/>
            <w:vAlign w:val="center"/>
            <w:hideMark/>
          </w:tcPr>
          <w:p w:rsidR="0000273D" w:rsidRPr="00B05165" w:rsidRDefault="0000273D" w:rsidP="00242751">
            <w:pPr>
              <w:spacing w:after="0"/>
              <w:jc w:val="right"/>
              <w:rPr>
                <w:rFonts w:ascii="Calibri" w:hAnsi="Calibri"/>
                <w:color w:val="000000"/>
                <w:sz w:val="20"/>
                <w:szCs w:val="20"/>
              </w:rPr>
            </w:pPr>
            <w:r w:rsidRPr="00B05165">
              <w:rPr>
                <w:rFonts w:ascii="Calibri" w:hAnsi="Calibri"/>
                <w:color w:val="000000"/>
                <w:sz w:val="20"/>
                <w:szCs w:val="20"/>
              </w:rPr>
              <w:t>60%</w:t>
            </w:r>
          </w:p>
        </w:tc>
        <w:tc>
          <w:tcPr>
            <w:tcW w:w="783" w:type="pct"/>
            <w:shd w:val="clear" w:color="auto" w:fill="auto"/>
            <w:vAlign w:val="center"/>
            <w:hideMark/>
          </w:tcPr>
          <w:p w:rsidR="0000273D" w:rsidRPr="00B05165" w:rsidRDefault="0000273D" w:rsidP="00242751">
            <w:pPr>
              <w:spacing w:after="0"/>
              <w:jc w:val="right"/>
              <w:rPr>
                <w:rFonts w:ascii="Calibri" w:hAnsi="Calibri"/>
                <w:color w:val="000000"/>
                <w:sz w:val="20"/>
                <w:szCs w:val="20"/>
              </w:rPr>
            </w:pPr>
            <w:r w:rsidRPr="00B05165">
              <w:rPr>
                <w:rFonts w:ascii="Calibri" w:hAnsi="Calibri"/>
                <w:color w:val="000000"/>
                <w:sz w:val="20"/>
                <w:szCs w:val="20"/>
              </w:rPr>
              <w:t>9%</w:t>
            </w:r>
          </w:p>
        </w:tc>
        <w:tc>
          <w:tcPr>
            <w:tcW w:w="869" w:type="pct"/>
            <w:shd w:val="clear" w:color="auto" w:fill="auto"/>
            <w:vAlign w:val="center"/>
            <w:hideMark/>
          </w:tcPr>
          <w:p w:rsidR="0000273D" w:rsidRPr="00B05165" w:rsidRDefault="0000273D" w:rsidP="00242751">
            <w:pPr>
              <w:spacing w:after="0"/>
              <w:jc w:val="right"/>
              <w:rPr>
                <w:rFonts w:ascii="Calibri" w:hAnsi="Calibri"/>
                <w:color w:val="000000"/>
                <w:sz w:val="20"/>
                <w:szCs w:val="20"/>
              </w:rPr>
            </w:pPr>
            <w:r w:rsidRPr="00B05165">
              <w:rPr>
                <w:rFonts w:ascii="Calibri" w:hAnsi="Calibri"/>
                <w:color w:val="000000"/>
                <w:sz w:val="20"/>
                <w:szCs w:val="20"/>
              </w:rPr>
              <w:t>15%</w:t>
            </w:r>
          </w:p>
        </w:tc>
      </w:tr>
      <w:tr w:rsidR="0000273D" w:rsidRPr="00B05165" w:rsidTr="00BF5572">
        <w:tc>
          <w:tcPr>
            <w:tcW w:w="573" w:type="pct"/>
            <w:vMerge/>
            <w:vAlign w:val="center"/>
          </w:tcPr>
          <w:p w:rsidR="0000273D" w:rsidRPr="00B05165" w:rsidRDefault="0000273D" w:rsidP="00242751">
            <w:pPr>
              <w:pStyle w:val="TableRow-left"/>
              <w:keepNext/>
              <w:keepLines/>
            </w:pPr>
          </w:p>
        </w:tc>
        <w:tc>
          <w:tcPr>
            <w:tcW w:w="799" w:type="pct"/>
            <w:vAlign w:val="center"/>
            <w:hideMark/>
          </w:tcPr>
          <w:p w:rsidR="0000273D" w:rsidRPr="00B05165" w:rsidRDefault="0000273D" w:rsidP="00242751">
            <w:pPr>
              <w:spacing w:after="0"/>
              <w:rPr>
                <w:rFonts w:ascii="Calibri" w:hAnsi="Calibri"/>
                <w:color w:val="000000"/>
                <w:sz w:val="20"/>
                <w:szCs w:val="20"/>
              </w:rPr>
            </w:pPr>
            <w:r w:rsidRPr="00B05165">
              <w:rPr>
                <w:rFonts w:ascii="Calibri" w:hAnsi="Calibri"/>
                <w:color w:val="000000"/>
                <w:sz w:val="20"/>
                <w:szCs w:val="20"/>
              </w:rPr>
              <w:t>Adjusted Gross Savings</w:t>
            </w:r>
          </w:p>
        </w:tc>
        <w:tc>
          <w:tcPr>
            <w:tcW w:w="596" w:type="pct"/>
            <w:shd w:val="clear" w:color="auto" w:fill="auto"/>
            <w:vAlign w:val="center"/>
            <w:hideMark/>
          </w:tcPr>
          <w:p w:rsidR="0000273D" w:rsidRPr="00B05165" w:rsidRDefault="0000273D" w:rsidP="00242751">
            <w:pPr>
              <w:spacing w:after="0"/>
              <w:jc w:val="right"/>
              <w:rPr>
                <w:rFonts w:ascii="Calibri" w:hAnsi="Calibri"/>
                <w:color w:val="000000"/>
                <w:sz w:val="20"/>
                <w:szCs w:val="20"/>
              </w:rPr>
            </w:pPr>
            <w:r w:rsidRPr="00B05165">
              <w:rPr>
                <w:rFonts w:ascii="Calibri" w:hAnsi="Calibri"/>
                <w:color w:val="000000"/>
                <w:sz w:val="20"/>
                <w:szCs w:val="20"/>
              </w:rPr>
              <w:t>1,074</w:t>
            </w:r>
          </w:p>
        </w:tc>
        <w:tc>
          <w:tcPr>
            <w:tcW w:w="735" w:type="pct"/>
            <w:shd w:val="clear" w:color="auto" w:fill="auto"/>
            <w:vAlign w:val="center"/>
            <w:hideMark/>
          </w:tcPr>
          <w:p w:rsidR="0000273D" w:rsidRPr="00B05165" w:rsidRDefault="0000273D" w:rsidP="00242751">
            <w:pPr>
              <w:spacing w:after="0"/>
              <w:jc w:val="right"/>
              <w:rPr>
                <w:rFonts w:ascii="Calibri" w:hAnsi="Calibri"/>
                <w:color w:val="000000"/>
                <w:sz w:val="20"/>
                <w:szCs w:val="20"/>
              </w:rPr>
            </w:pPr>
            <w:r w:rsidRPr="00B05165">
              <w:rPr>
                <w:rFonts w:ascii="Calibri" w:hAnsi="Calibri"/>
                <w:color w:val="000000"/>
                <w:sz w:val="20"/>
                <w:szCs w:val="20"/>
              </w:rPr>
              <w:t>1,278</w:t>
            </w:r>
          </w:p>
        </w:tc>
        <w:tc>
          <w:tcPr>
            <w:tcW w:w="645" w:type="pct"/>
            <w:shd w:val="clear" w:color="auto" w:fill="auto"/>
            <w:vAlign w:val="center"/>
            <w:hideMark/>
          </w:tcPr>
          <w:p w:rsidR="0000273D" w:rsidRPr="00B05165" w:rsidRDefault="0000273D" w:rsidP="00242751">
            <w:pPr>
              <w:spacing w:after="0"/>
              <w:jc w:val="right"/>
              <w:rPr>
                <w:rFonts w:ascii="Calibri" w:hAnsi="Calibri"/>
                <w:color w:val="000000"/>
                <w:sz w:val="20"/>
                <w:szCs w:val="20"/>
              </w:rPr>
            </w:pPr>
            <w:r w:rsidRPr="00B05165">
              <w:rPr>
                <w:rFonts w:ascii="Calibri" w:hAnsi="Calibri"/>
                <w:color w:val="000000"/>
                <w:sz w:val="20"/>
                <w:szCs w:val="20"/>
              </w:rPr>
              <w:t>84%</w:t>
            </w:r>
          </w:p>
        </w:tc>
        <w:tc>
          <w:tcPr>
            <w:tcW w:w="783" w:type="pct"/>
            <w:shd w:val="clear" w:color="auto" w:fill="auto"/>
            <w:vAlign w:val="center"/>
            <w:hideMark/>
          </w:tcPr>
          <w:p w:rsidR="0000273D" w:rsidRPr="00B05165" w:rsidRDefault="0000273D" w:rsidP="00242751">
            <w:pPr>
              <w:spacing w:after="0"/>
              <w:jc w:val="right"/>
              <w:rPr>
                <w:rFonts w:ascii="Calibri" w:hAnsi="Calibri"/>
                <w:color w:val="000000"/>
                <w:sz w:val="20"/>
                <w:szCs w:val="20"/>
              </w:rPr>
            </w:pPr>
            <w:r w:rsidRPr="00B05165">
              <w:rPr>
                <w:rFonts w:ascii="Calibri" w:hAnsi="Calibri"/>
                <w:color w:val="000000"/>
                <w:sz w:val="20"/>
                <w:szCs w:val="20"/>
              </w:rPr>
              <w:t>12%</w:t>
            </w:r>
          </w:p>
        </w:tc>
        <w:tc>
          <w:tcPr>
            <w:tcW w:w="869" w:type="pct"/>
            <w:shd w:val="clear" w:color="auto" w:fill="auto"/>
            <w:vAlign w:val="center"/>
            <w:hideMark/>
          </w:tcPr>
          <w:p w:rsidR="0000273D" w:rsidRPr="00B05165" w:rsidRDefault="0000273D" w:rsidP="00242751">
            <w:pPr>
              <w:spacing w:after="0"/>
              <w:jc w:val="right"/>
              <w:rPr>
                <w:rFonts w:ascii="Calibri" w:hAnsi="Calibri"/>
                <w:color w:val="000000"/>
                <w:sz w:val="20"/>
                <w:szCs w:val="20"/>
              </w:rPr>
            </w:pPr>
            <w:r w:rsidRPr="00B05165">
              <w:rPr>
                <w:rFonts w:ascii="Calibri" w:hAnsi="Calibri"/>
                <w:color w:val="000000"/>
                <w:sz w:val="20"/>
                <w:szCs w:val="20"/>
              </w:rPr>
              <w:t>15%</w:t>
            </w:r>
          </w:p>
        </w:tc>
      </w:tr>
      <w:tr w:rsidR="0000273D" w:rsidRPr="00B05165" w:rsidTr="00BF5572">
        <w:tc>
          <w:tcPr>
            <w:tcW w:w="573" w:type="pct"/>
            <w:vMerge w:val="restart"/>
            <w:vAlign w:val="center"/>
          </w:tcPr>
          <w:p w:rsidR="0000273D" w:rsidRPr="00B05165" w:rsidRDefault="0000273D" w:rsidP="00242751">
            <w:pPr>
              <w:pStyle w:val="TableRow-left"/>
              <w:keepNext/>
              <w:keepLines/>
            </w:pPr>
            <w:r w:rsidRPr="00B05165">
              <w:t>SP4</w:t>
            </w:r>
          </w:p>
        </w:tc>
        <w:tc>
          <w:tcPr>
            <w:tcW w:w="799" w:type="pct"/>
            <w:shd w:val="clear" w:color="auto" w:fill="auto"/>
            <w:vAlign w:val="center"/>
          </w:tcPr>
          <w:p w:rsidR="0000273D" w:rsidRPr="00B05165" w:rsidRDefault="0000273D" w:rsidP="00242751">
            <w:pPr>
              <w:pStyle w:val="TableRow-left"/>
              <w:keepNext/>
              <w:keepLines/>
            </w:pPr>
            <w:r w:rsidRPr="00B05165">
              <w:rPr>
                <w:rFonts w:ascii="Calibri" w:hAnsi="Calibri"/>
                <w:color w:val="000000"/>
                <w:szCs w:val="20"/>
              </w:rPr>
              <w:t>Gross Savings</w:t>
            </w:r>
          </w:p>
        </w:tc>
        <w:tc>
          <w:tcPr>
            <w:tcW w:w="596" w:type="pct"/>
            <w:shd w:val="clear" w:color="auto" w:fill="auto"/>
            <w:vAlign w:val="center"/>
          </w:tcPr>
          <w:p w:rsidR="0000273D" w:rsidRPr="00B05165" w:rsidRDefault="0000273D" w:rsidP="00242751">
            <w:pPr>
              <w:spacing w:after="0"/>
              <w:jc w:val="right"/>
              <w:rPr>
                <w:rFonts w:ascii="Calibri" w:hAnsi="Calibri"/>
                <w:color w:val="000000"/>
                <w:sz w:val="20"/>
                <w:szCs w:val="20"/>
              </w:rPr>
            </w:pPr>
            <w:r w:rsidRPr="00B05165">
              <w:rPr>
                <w:rFonts w:ascii="Calibri" w:hAnsi="Calibri"/>
                <w:color w:val="000000"/>
                <w:sz w:val="20"/>
                <w:szCs w:val="20"/>
              </w:rPr>
              <w:t>458</w:t>
            </w:r>
          </w:p>
        </w:tc>
        <w:tc>
          <w:tcPr>
            <w:tcW w:w="735" w:type="pct"/>
            <w:shd w:val="clear" w:color="auto" w:fill="auto"/>
            <w:vAlign w:val="center"/>
          </w:tcPr>
          <w:p w:rsidR="0000273D" w:rsidRPr="00B05165" w:rsidRDefault="0000273D" w:rsidP="00242751">
            <w:pPr>
              <w:spacing w:after="0"/>
              <w:jc w:val="right"/>
              <w:rPr>
                <w:rFonts w:ascii="Calibri" w:hAnsi="Calibri"/>
                <w:color w:val="000000"/>
                <w:sz w:val="20"/>
                <w:szCs w:val="20"/>
              </w:rPr>
            </w:pPr>
            <w:r w:rsidRPr="00B05165">
              <w:rPr>
                <w:rFonts w:ascii="Calibri" w:hAnsi="Calibri"/>
                <w:color w:val="000000"/>
                <w:sz w:val="20"/>
                <w:szCs w:val="20"/>
              </w:rPr>
              <w:t>1,037</w:t>
            </w:r>
          </w:p>
        </w:tc>
        <w:tc>
          <w:tcPr>
            <w:tcW w:w="645" w:type="pct"/>
            <w:shd w:val="clear" w:color="auto" w:fill="auto"/>
            <w:vAlign w:val="center"/>
          </w:tcPr>
          <w:p w:rsidR="0000273D" w:rsidRPr="00B05165" w:rsidRDefault="0000273D" w:rsidP="00242751">
            <w:pPr>
              <w:spacing w:after="0"/>
              <w:jc w:val="right"/>
              <w:rPr>
                <w:rFonts w:ascii="Calibri" w:hAnsi="Calibri"/>
                <w:color w:val="000000"/>
                <w:sz w:val="20"/>
                <w:szCs w:val="20"/>
              </w:rPr>
            </w:pPr>
            <w:r w:rsidRPr="00B05165">
              <w:rPr>
                <w:rFonts w:ascii="Calibri" w:hAnsi="Calibri"/>
                <w:color w:val="000000"/>
                <w:sz w:val="20"/>
                <w:szCs w:val="20"/>
              </w:rPr>
              <w:t>44%</w:t>
            </w:r>
          </w:p>
        </w:tc>
        <w:tc>
          <w:tcPr>
            <w:tcW w:w="783" w:type="pct"/>
            <w:shd w:val="clear" w:color="auto" w:fill="auto"/>
            <w:vAlign w:val="center"/>
          </w:tcPr>
          <w:p w:rsidR="0000273D" w:rsidRPr="00B05165" w:rsidRDefault="0000273D" w:rsidP="00242751">
            <w:pPr>
              <w:spacing w:after="0"/>
              <w:jc w:val="right"/>
              <w:rPr>
                <w:rFonts w:ascii="Calibri" w:hAnsi="Calibri"/>
                <w:color w:val="000000"/>
                <w:sz w:val="20"/>
                <w:szCs w:val="20"/>
              </w:rPr>
            </w:pPr>
            <w:r w:rsidRPr="00B05165">
              <w:rPr>
                <w:rFonts w:ascii="Calibri" w:hAnsi="Calibri"/>
                <w:color w:val="000000"/>
                <w:sz w:val="20"/>
                <w:szCs w:val="20"/>
              </w:rPr>
              <w:t>7%</w:t>
            </w:r>
          </w:p>
        </w:tc>
        <w:tc>
          <w:tcPr>
            <w:tcW w:w="869" w:type="pct"/>
            <w:shd w:val="clear" w:color="auto" w:fill="auto"/>
            <w:vAlign w:val="center"/>
          </w:tcPr>
          <w:p w:rsidR="0000273D" w:rsidRPr="00B05165" w:rsidRDefault="0000273D" w:rsidP="00242751">
            <w:pPr>
              <w:spacing w:after="0"/>
              <w:jc w:val="right"/>
              <w:rPr>
                <w:rFonts w:ascii="Calibri" w:hAnsi="Calibri"/>
                <w:color w:val="000000"/>
                <w:sz w:val="20"/>
                <w:szCs w:val="20"/>
              </w:rPr>
            </w:pPr>
            <w:r w:rsidRPr="00B05165">
              <w:rPr>
                <w:rFonts w:ascii="Calibri" w:hAnsi="Calibri"/>
                <w:color w:val="000000"/>
                <w:sz w:val="20"/>
                <w:szCs w:val="20"/>
              </w:rPr>
              <w:t>16%</w:t>
            </w:r>
          </w:p>
        </w:tc>
      </w:tr>
      <w:tr w:rsidR="0000273D" w:rsidRPr="00B05165" w:rsidTr="00BF5572">
        <w:tc>
          <w:tcPr>
            <w:tcW w:w="573" w:type="pct"/>
            <w:vMerge/>
          </w:tcPr>
          <w:p w:rsidR="0000273D" w:rsidRPr="00B05165" w:rsidRDefault="0000273D" w:rsidP="00242751">
            <w:pPr>
              <w:keepNext/>
              <w:keepLines/>
              <w:spacing w:after="0"/>
              <w:rPr>
                <w:rFonts w:ascii="Calibri" w:eastAsia="Times New Roman" w:hAnsi="Calibri" w:cs="Times New Roman"/>
                <w:color w:val="000000"/>
                <w:sz w:val="20"/>
                <w:szCs w:val="20"/>
              </w:rPr>
            </w:pPr>
          </w:p>
        </w:tc>
        <w:tc>
          <w:tcPr>
            <w:tcW w:w="799" w:type="pct"/>
            <w:vAlign w:val="center"/>
            <w:hideMark/>
          </w:tcPr>
          <w:p w:rsidR="0000273D" w:rsidRPr="00B05165" w:rsidRDefault="0000273D" w:rsidP="00242751">
            <w:pPr>
              <w:keepNext/>
              <w:keepLines/>
              <w:spacing w:after="0"/>
              <w:rPr>
                <w:rFonts w:ascii="Calibri" w:eastAsia="Times New Roman" w:hAnsi="Calibri" w:cs="Times New Roman"/>
                <w:color w:val="000000"/>
                <w:sz w:val="20"/>
                <w:szCs w:val="20"/>
              </w:rPr>
            </w:pPr>
            <w:r w:rsidRPr="00B05165">
              <w:rPr>
                <w:rFonts w:ascii="Calibri" w:hAnsi="Calibri"/>
                <w:color w:val="000000"/>
                <w:sz w:val="20"/>
                <w:szCs w:val="20"/>
              </w:rPr>
              <w:t>Adjusted Gross Savings</w:t>
            </w:r>
          </w:p>
        </w:tc>
        <w:tc>
          <w:tcPr>
            <w:tcW w:w="596" w:type="pct"/>
            <w:shd w:val="clear" w:color="auto" w:fill="auto"/>
            <w:vAlign w:val="center"/>
          </w:tcPr>
          <w:p w:rsidR="0000273D" w:rsidRPr="00B05165" w:rsidRDefault="0000273D" w:rsidP="00242751">
            <w:pPr>
              <w:spacing w:after="0"/>
              <w:jc w:val="right"/>
              <w:rPr>
                <w:rFonts w:ascii="Calibri" w:hAnsi="Calibri"/>
                <w:color w:val="000000"/>
                <w:sz w:val="20"/>
                <w:szCs w:val="20"/>
              </w:rPr>
            </w:pPr>
            <w:r w:rsidRPr="00B05165">
              <w:rPr>
                <w:rFonts w:ascii="Calibri" w:hAnsi="Calibri"/>
                <w:color w:val="000000"/>
                <w:sz w:val="20"/>
                <w:szCs w:val="20"/>
              </w:rPr>
              <w:t>629</w:t>
            </w:r>
          </w:p>
        </w:tc>
        <w:tc>
          <w:tcPr>
            <w:tcW w:w="735" w:type="pct"/>
            <w:shd w:val="clear" w:color="auto" w:fill="auto"/>
            <w:vAlign w:val="center"/>
          </w:tcPr>
          <w:p w:rsidR="0000273D" w:rsidRPr="00B05165" w:rsidRDefault="0000273D" w:rsidP="00242751">
            <w:pPr>
              <w:spacing w:after="0"/>
              <w:jc w:val="right"/>
              <w:rPr>
                <w:rFonts w:ascii="Calibri" w:hAnsi="Calibri"/>
                <w:color w:val="000000"/>
                <w:sz w:val="20"/>
                <w:szCs w:val="20"/>
              </w:rPr>
            </w:pPr>
            <w:r w:rsidRPr="00B05165">
              <w:rPr>
                <w:rFonts w:ascii="Calibri" w:hAnsi="Calibri"/>
                <w:color w:val="000000"/>
                <w:sz w:val="20"/>
                <w:szCs w:val="20"/>
              </w:rPr>
              <w:t>1,037</w:t>
            </w:r>
          </w:p>
        </w:tc>
        <w:tc>
          <w:tcPr>
            <w:tcW w:w="645" w:type="pct"/>
            <w:shd w:val="clear" w:color="auto" w:fill="auto"/>
            <w:vAlign w:val="center"/>
          </w:tcPr>
          <w:p w:rsidR="0000273D" w:rsidRPr="00B05165" w:rsidRDefault="0000273D" w:rsidP="00242751">
            <w:pPr>
              <w:spacing w:after="0"/>
              <w:jc w:val="right"/>
              <w:rPr>
                <w:rFonts w:ascii="Calibri" w:hAnsi="Calibri"/>
                <w:color w:val="000000"/>
                <w:sz w:val="20"/>
                <w:szCs w:val="20"/>
              </w:rPr>
            </w:pPr>
            <w:r w:rsidRPr="00B05165">
              <w:rPr>
                <w:rFonts w:ascii="Calibri" w:hAnsi="Calibri"/>
                <w:color w:val="000000"/>
                <w:sz w:val="20"/>
                <w:szCs w:val="20"/>
              </w:rPr>
              <w:t>61%</w:t>
            </w:r>
          </w:p>
        </w:tc>
        <w:tc>
          <w:tcPr>
            <w:tcW w:w="783" w:type="pct"/>
            <w:shd w:val="clear" w:color="auto" w:fill="auto"/>
            <w:vAlign w:val="center"/>
          </w:tcPr>
          <w:p w:rsidR="0000273D" w:rsidRPr="00B05165" w:rsidRDefault="0000273D" w:rsidP="00242751">
            <w:pPr>
              <w:spacing w:after="0"/>
              <w:jc w:val="right"/>
              <w:rPr>
                <w:rFonts w:ascii="Calibri" w:hAnsi="Calibri"/>
                <w:color w:val="000000"/>
                <w:sz w:val="20"/>
                <w:szCs w:val="20"/>
              </w:rPr>
            </w:pPr>
            <w:r w:rsidRPr="00B05165">
              <w:rPr>
                <w:rFonts w:ascii="Calibri" w:hAnsi="Calibri"/>
                <w:color w:val="000000"/>
                <w:sz w:val="20"/>
                <w:szCs w:val="20"/>
              </w:rPr>
              <w:t>10%</w:t>
            </w:r>
          </w:p>
        </w:tc>
        <w:tc>
          <w:tcPr>
            <w:tcW w:w="869" w:type="pct"/>
            <w:shd w:val="clear" w:color="auto" w:fill="auto"/>
            <w:vAlign w:val="center"/>
          </w:tcPr>
          <w:p w:rsidR="0000273D" w:rsidRPr="00B05165" w:rsidRDefault="0000273D" w:rsidP="00242751">
            <w:pPr>
              <w:spacing w:after="0"/>
              <w:jc w:val="right"/>
              <w:rPr>
                <w:rFonts w:ascii="Calibri" w:hAnsi="Calibri"/>
                <w:color w:val="000000"/>
                <w:sz w:val="20"/>
                <w:szCs w:val="20"/>
              </w:rPr>
            </w:pPr>
            <w:r w:rsidRPr="00B05165">
              <w:rPr>
                <w:rFonts w:ascii="Calibri" w:hAnsi="Calibri"/>
                <w:color w:val="000000"/>
                <w:sz w:val="20"/>
                <w:szCs w:val="20"/>
              </w:rPr>
              <w:t>16%</w:t>
            </w:r>
          </w:p>
        </w:tc>
      </w:tr>
    </w:tbl>
    <w:p w:rsidR="0000273D" w:rsidRPr="00B05165" w:rsidRDefault="0000273D" w:rsidP="0000273D">
      <w:pPr>
        <w:pStyle w:val="NormalAfterTablesandFigures"/>
      </w:pPr>
    </w:p>
    <w:p w:rsidR="0000273D" w:rsidRPr="00281C1C" w:rsidRDefault="0000273D" w:rsidP="0000273D">
      <w:pPr>
        <w:pStyle w:val="Heading3"/>
      </w:pPr>
      <w:r w:rsidRPr="00281C1C">
        <w:t>Natural Gas Savings</w:t>
      </w:r>
    </w:p>
    <w:p w:rsidR="0000273D" w:rsidRPr="00A46C81" w:rsidRDefault="0000273D" w:rsidP="00BF5572">
      <w:pPr>
        <w:pStyle w:val="Heading4"/>
      </w:pPr>
      <w:r w:rsidRPr="00A46C81">
        <w:t>Billing Analysis Results</w:t>
      </w:r>
    </w:p>
    <w:p w:rsidR="0000273D" w:rsidRPr="00A46C81" w:rsidRDefault="002506E1" w:rsidP="00BF5572">
      <w:r>
        <w:fldChar w:fldCharType="begin"/>
      </w:r>
      <w:r>
        <w:instrText xml:space="preserve"> REF _Ref382913875 \h  \* MERGEFORMAT </w:instrText>
      </w:r>
      <w:r>
        <w:fldChar w:fldCharType="separate"/>
      </w:r>
      <w:r w:rsidR="00CD20CF" w:rsidRPr="00A46C81">
        <w:t xml:space="preserve">Table </w:t>
      </w:r>
      <w:r w:rsidR="00CD20CF">
        <w:rPr>
          <w:noProof/>
        </w:rPr>
        <w:t>75</w:t>
      </w:r>
      <w:r>
        <w:fldChar w:fldCharType="end"/>
      </w:r>
      <w:r w:rsidR="0000273D" w:rsidRPr="00A46C81">
        <w:t xml:space="preserve"> compares changes in energy consumption </w:t>
      </w:r>
      <w:r w:rsidR="0000273D">
        <w:t xml:space="preserve">for HES-IE SP1 and SP4 </w:t>
      </w:r>
      <w:r w:rsidR="0000273D" w:rsidRPr="00A46C81">
        <w:t xml:space="preserve">from the pre- to post-program periods for the participant and comparison groups. </w:t>
      </w:r>
      <w:r w:rsidR="005A42B3">
        <w:t>Analysis include</w:t>
      </w:r>
      <w:r w:rsidR="000E6E3C">
        <w:t>d</w:t>
      </w:r>
      <w:r w:rsidR="005A42B3">
        <w:t xml:space="preserve"> e</w:t>
      </w:r>
      <w:r w:rsidR="0000273D" w:rsidRPr="00A46C81">
        <w:t>stimated</w:t>
      </w:r>
      <w:r w:rsidR="005A42B3">
        <w:t>,</w:t>
      </w:r>
      <w:r w:rsidR="0000273D" w:rsidRPr="00A46C81">
        <w:t xml:space="preserve"> adjusted</w:t>
      </w:r>
      <w:r w:rsidR="005A42B3">
        <w:t>,</w:t>
      </w:r>
      <w:r w:rsidR="0000273D" w:rsidRPr="00A46C81">
        <w:t xml:space="preserve"> gross savings, calculated based on the “percent of pre” approach</w:t>
      </w:r>
      <w:r w:rsidR="000E6E3C">
        <w:t xml:space="preserve">, as </w:t>
      </w:r>
      <w:r w:rsidR="0000273D" w:rsidRPr="00A46C81">
        <w:t xml:space="preserve">discussed </w:t>
      </w:r>
      <w:r w:rsidR="002E016E" w:rsidRPr="007D1DC8">
        <w:t xml:space="preserve">in the </w:t>
      </w:r>
      <w:r w:rsidR="002E016E">
        <w:t xml:space="preserve">Methodology </w:t>
      </w:r>
      <w:r w:rsidR="00150AD4">
        <w:t xml:space="preserve">section </w:t>
      </w:r>
      <w:r w:rsidR="000E6E3C">
        <w:t xml:space="preserve">of </w:t>
      </w:r>
      <w:r w:rsidR="002E016E">
        <w:t>Volume 1</w:t>
      </w:r>
      <w:r w:rsidR="0000273D">
        <w:t>.</w:t>
      </w:r>
      <w:r w:rsidR="0000273D">
        <w:rPr>
          <w:rStyle w:val="FootnoteReference"/>
        </w:rPr>
        <w:footnoteReference w:id="32"/>
      </w:r>
      <w:r w:rsidR="0000273D">
        <w:t xml:space="preserve"> </w:t>
      </w:r>
    </w:p>
    <w:p w:rsidR="0000273D" w:rsidRPr="00A46C81" w:rsidRDefault="0000273D" w:rsidP="00573DAD">
      <w:pPr>
        <w:pStyle w:val="Caption"/>
      </w:pPr>
      <w:bookmarkStart w:id="129" w:name="_Ref382913875"/>
      <w:r w:rsidRPr="00A46C81">
        <w:t xml:space="preserve">Table </w:t>
      </w:r>
      <w:r w:rsidR="002506E1">
        <w:fldChar w:fldCharType="begin"/>
      </w:r>
      <w:r w:rsidR="002506E1">
        <w:instrText xml:space="preserve"> SEQ Table \* ARABIC </w:instrText>
      </w:r>
      <w:r w:rsidR="002506E1">
        <w:fldChar w:fldCharType="separate"/>
      </w:r>
      <w:r w:rsidR="00CD20CF">
        <w:rPr>
          <w:noProof/>
        </w:rPr>
        <w:t>75</w:t>
      </w:r>
      <w:r w:rsidR="002506E1">
        <w:rPr>
          <w:noProof/>
        </w:rPr>
        <w:fldChar w:fldCharType="end"/>
      </w:r>
      <w:bookmarkEnd w:id="129"/>
      <w:r w:rsidRPr="00A46C81">
        <w:t>. HES</w:t>
      </w:r>
      <w:r>
        <w:t xml:space="preserve">-IE SP1 and SP4 </w:t>
      </w:r>
      <w:r w:rsidRPr="00A46C81">
        <w:t>Natural Gas Billing Analysis: Savings Summary, Overall</w:t>
      </w:r>
      <w:r w:rsidR="00B154B7">
        <w:t>*</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41"/>
        <w:gridCol w:w="1393"/>
        <w:gridCol w:w="635"/>
        <w:gridCol w:w="959"/>
        <w:gridCol w:w="897"/>
        <w:gridCol w:w="1243"/>
        <w:gridCol w:w="1048"/>
        <w:gridCol w:w="1009"/>
        <w:gridCol w:w="1051"/>
      </w:tblGrid>
      <w:tr w:rsidR="0000273D" w:rsidRPr="0098042D" w:rsidTr="00B154B7">
        <w:tc>
          <w:tcPr>
            <w:tcW w:w="700" w:type="pct"/>
            <w:shd w:val="clear" w:color="000000" w:fill="005DAA"/>
            <w:vAlign w:val="center"/>
          </w:tcPr>
          <w:p w:rsidR="0000273D" w:rsidRPr="0098042D" w:rsidRDefault="0000273D" w:rsidP="00573DAD">
            <w:pPr>
              <w:pStyle w:val="TableHeading-left"/>
              <w:keepNext/>
              <w:keepLines/>
              <w:jc w:val="center"/>
            </w:pPr>
            <w:r>
              <w:t>HES-IE Subprogram</w:t>
            </w:r>
          </w:p>
        </w:tc>
        <w:tc>
          <w:tcPr>
            <w:tcW w:w="727" w:type="pct"/>
            <w:shd w:val="clear" w:color="000000" w:fill="005DAA"/>
            <w:vAlign w:val="center"/>
            <w:hideMark/>
          </w:tcPr>
          <w:p w:rsidR="0000273D" w:rsidRPr="0098042D" w:rsidRDefault="0000273D" w:rsidP="00573DAD">
            <w:pPr>
              <w:pStyle w:val="TableHeading-left"/>
              <w:keepNext/>
              <w:keepLines/>
              <w:jc w:val="center"/>
            </w:pPr>
            <w:r w:rsidRPr="0098042D">
              <w:t>Group</w:t>
            </w:r>
          </w:p>
        </w:tc>
        <w:tc>
          <w:tcPr>
            <w:tcW w:w="332" w:type="pct"/>
            <w:shd w:val="clear" w:color="000000" w:fill="005DAA"/>
            <w:vAlign w:val="center"/>
            <w:hideMark/>
          </w:tcPr>
          <w:p w:rsidR="0000273D" w:rsidRPr="0098042D" w:rsidRDefault="0000273D" w:rsidP="00573DAD">
            <w:pPr>
              <w:pStyle w:val="TableHeading-centered"/>
              <w:keepNext/>
              <w:keepLines/>
            </w:pPr>
            <w:r w:rsidRPr="0098042D">
              <w:t>n</w:t>
            </w:r>
          </w:p>
        </w:tc>
        <w:tc>
          <w:tcPr>
            <w:tcW w:w="501" w:type="pct"/>
            <w:shd w:val="clear" w:color="000000" w:fill="005DAA"/>
            <w:vAlign w:val="center"/>
            <w:hideMark/>
          </w:tcPr>
          <w:p w:rsidR="0000273D" w:rsidRPr="0098042D" w:rsidRDefault="0000273D" w:rsidP="00573DAD">
            <w:pPr>
              <w:pStyle w:val="TableHeading-centered"/>
              <w:keepNext/>
              <w:keepLines/>
            </w:pPr>
            <w:r w:rsidRPr="0098042D">
              <w:t>PRENAC</w:t>
            </w:r>
          </w:p>
        </w:tc>
        <w:tc>
          <w:tcPr>
            <w:tcW w:w="468" w:type="pct"/>
            <w:shd w:val="clear" w:color="000000" w:fill="005DAA"/>
            <w:vAlign w:val="center"/>
            <w:hideMark/>
          </w:tcPr>
          <w:p w:rsidR="0000273D" w:rsidRPr="0098042D" w:rsidRDefault="0000273D" w:rsidP="00573DAD">
            <w:pPr>
              <w:pStyle w:val="TableHeading-centered"/>
              <w:keepNext/>
              <w:keepLines/>
            </w:pPr>
            <w:r w:rsidRPr="0098042D">
              <w:t>Model Savings (CCF)</w:t>
            </w:r>
          </w:p>
        </w:tc>
        <w:tc>
          <w:tcPr>
            <w:tcW w:w="649" w:type="pct"/>
            <w:shd w:val="clear" w:color="000000" w:fill="005DAA"/>
            <w:vAlign w:val="center"/>
            <w:hideMark/>
          </w:tcPr>
          <w:p w:rsidR="0000273D" w:rsidRPr="0098042D" w:rsidRDefault="0000273D" w:rsidP="00573DAD">
            <w:pPr>
              <w:pStyle w:val="TableHeading-centered"/>
              <w:keepNext/>
              <w:keepLines/>
            </w:pPr>
            <w:r w:rsidRPr="0098042D">
              <w:t>Savings as Percentage of Pre-Usage</w:t>
            </w:r>
          </w:p>
        </w:tc>
        <w:tc>
          <w:tcPr>
            <w:tcW w:w="547" w:type="pct"/>
            <w:shd w:val="clear" w:color="000000" w:fill="005DAA"/>
            <w:vAlign w:val="center"/>
            <w:hideMark/>
          </w:tcPr>
          <w:p w:rsidR="0000273D" w:rsidRPr="0098042D" w:rsidRDefault="0000273D" w:rsidP="00573DAD">
            <w:pPr>
              <w:pStyle w:val="TableHeading-centered"/>
              <w:keepNext/>
              <w:keepLines/>
            </w:pPr>
            <w:r w:rsidRPr="0098042D">
              <w:t>Relative Precision at 90%</w:t>
            </w:r>
          </w:p>
        </w:tc>
        <w:tc>
          <w:tcPr>
            <w:tcW w:w="527" w:type="pct"/>
            <w:shd w:val="clear" w:color="000000" w:fill="005DAA"/>
            <w:vAlign w:val="center"/>
            <w:hideMark/>
          </w:tcPr>
          <w:p w:rsidR="0000273D" w:rsidRPr="0098042D" w:rsidRDefault="0000273D" w:rsidP="00573DAD">
            <w:pPr>
              <w:pStyle w:val="TableHeading-centered"/>
              <w:keepNext/>
              <w:keepLines/>
            </w:pPr>
            <w:r w:rsidRPr="0098042D">
              <w:t>Savings Lower 90% (CCF)</w:t>
            </w:r>
          </w:p>
        </w:tc>
        <w:tc>
          <w:tcPr>
            <w:tcW w:w="549" w:type="pct"/>
            <w:shd w:val="clear" w:color="000000" w:fill="005DAA"/>
            <w:vAlign w:val="center"/>
            <w:hideMark/>
          </w:tcPr>
          <w:p w:rsidR="0000273D" w:rsidRPr="0098042D" w:rsidRDefault="0000273D" w:rsidP="00573DAD">
            <w:pPr>
              <w:pStyle w:val="TableHeading-centered"/>
              <w:keepNext/>
              <w:keepLines/>
            </w:pPr>
            <w:r w:rsidRPr="0098042D">
              <w:t>Savings Upper 90% (CCF)</w:t>
            </w:r>
          </w:p>
        </w:tc>
      </w:tr>
      <w:tr w:rsidR="0000273D" w:rsidRPr="0098042D" w:rsidTr="00B154B7">
        <w:tc>
          <w:tcPr>
            <w:tcW w:w="700" w:type="pct"/>
            <w:vMerge w:val="restart"/>
            <w:vAlign w:val="center"/>
          </w:tcPr>
          <w:p w:rsidR="0000273D" w:rsidRPr="0098042D" w:rsidRDefault="0000273D" w:rsidP="00573DAD">
            <w:pPr>
              <w:pStyle w:val="TableRow-left"/>
              <w:keepNext/>
              <w:keepLines/>
            </w:pPr>
            <w:r>
              <w:t>SP1</w:t>
            </w:r>
          </w:p>
        </w:tc>
        <w:tc>
          <w:tcPr>
            <w:tcW w:w="727" w:type="pct"/>
            <w:shd w:val="clear" w:color="auto" w:fill="auto"/>
            <w:vAlign w:val="center"/>
            <w:hideMark/>
          </w:tcPr>
          <w:p w:rsidR="0000273D" w:rsidRPr="0098042D" w:rsidRDefault="0000273D" w:rsidP="00573DAD">
            <w:pPr>
              <w:pStyle w:val="TableRow-left"/>
              <w:keepNext/>
              <w:keepLines/>
            </w:pPr>
            <w:r w:rsidRPr="0098042D">
              <w:t>Participants</w:t>
            </w:r>
          </w:p>
        </w:tc>
        <w:tc>
          <w:tcPr>
            <w:tcW w:w="332" w:type="pct"/>
            <w:shd w:val="clear" w:color="auto" w:fill="auto"/>
            <w:vAlign w:val="center"/>
          </w:tcPr>
          <w:p w:rsidR="0000273D" w:rsidRDefault="0000273D" w:rsidP="00140FD2">
            <w:pPr>
              <w:keepNext/>
              <w:keepLines/>
              <w:spacing w:after="0"/>
              <w:jc w:val="right"/>
              <w:rPr>
                <w:rFonts w:ascii="Calibri" w:hAnsi="Calibri"/>
                <w:color w:val="000000"/>
                <w:sz w:val="20"/>
                <w:szCs w:val="20"/>
              </w:rPr>
            </w:pPr>
            <w:r>
              <w:rPr>
                <w:rFonts w:ascii="Calibri" w:hAnsi="Calibri"/>
                <w:color w:val="000000"/>
                <w:sz w:val="20"/>
                <w:szCs w:val="20"/>
              </w:rPr>
              <w:t>23</w:t>
            </w:r>
            <w:r w:rsidR="00140FD2">
              <w:rPr>
                <w:rFonts w:ascii="Calibri" w:hAnsi="Calibri"/>
                <w:color w:val="000000"/>
                <w:sz w:val="20"/>
                <w:szCs w:val="20"/>
              </w:rPr>
              <w:t>1</w:t>
            </w:r>
          </w:p>
        </w:tc>
        <w:tc>
          <w:tcPr>
            <w:tcW w:w="501" w:type="pct"/>
            <w:shd w:val="clear" w:color="auto" w:fill="auto"/>
            <w:vAlign w:val="center"/>
          </w:tcPr>
          <w:p w:rsidR="0000273D" w:rsidRDefault="0000273D" w:rsidP="00573DAD">
            <w:pPr>
              <w:keepNext/>
              <w:keepLines/>
              <w:spacing w:after="0"/>
              <w:jc w:val="right"/>
              <w:rPr>
                <w:rFonts w:ascii="Calibri" w:hAnsi="Calibri"/>
                <w:color w:val="000000"/>
                <w:sz w:val="20"/>
                <w:szCs w:val="20"/>
              </w:rPr>
            </w:pPr>
            <w:r>
              <w:rPr>
                <w:rFonts w:ascii="Calibri" w:hAnsi="Calibri"/>
                <w:color w:val="000000"/>
                <w:sz w:val="20"/>
                <w:szCs w:val="20"/>
              </w:rPr>
              <w:t>1,006</w:t>
            </w:r>
          </w:p>
        </w:tc>
        <w:tc>
          <w:tcPr>
            <w:tcW w:w="468" w:type="pct"/>
            <w:shd w:val="clear" w:color="auto" w:fill="auto"/>
            <w:vAlign w:val="center"/>
          </w:tcPr>
          <w:p w:rsidR="0000273D" w:rsidRDefault="0000273D" w:rsidP="00573DAD">
            <w:pPr>
              <w:keepNext/>
              <w:keepLines/>
              <w:spacing w:after="0"/>
              <w:jc w:val="right"/>
              <w:rPr>
                <w:rFonts w:ascii="Calibri" w:hAnsi="Calibri"/>
                <w:color w:val="000000"/>
                <w:sz w:val="20"/>
                <w:szCs w:val="20"/>
              </w:rPr>
            </w:pPr>
            <w:r>
              <w:rPr>
                <w:rFonts w:ascii="Calibri" w:hAnsi="Calibri"/>
                <w:color w:val="000000"/>
                <w:sz w:val="20"/>
                <w:szCs w:val="20"/>
              </w:rPr>
              <w:t>97</w:t>
            </w:r>
          </w:p>
        </w:tc>
        <w:tc>
          <w:tcPr>
            <w:tcW w:w="649" w:type="pct"/>
            <w:shd w:val="clear" w:color="auto" w:fill="auto"/>
            <w:vAlign w:val="center"/>
          </w:tcPr>
          <w:p w:rsidR="0000273D" w:rsidRPr="00781BE9" w:rsidRDefault="0000273D" w:rsidP="00573DAD">
            <w:pPr>
              <w:keepNext/>
              <w:keepLines/>
              <w:spacing w:after="0"/>
              <w:jc w:val="right"/>
              <w:rPr>
                <w:rFonts w:ascii="Calibri" w:hAnsi="Calibri"/>
                <w:color w:val="000000"/>
                <w:sz w:val="20"/>
                <w:szCs w:val="20"/>
              </w:rPr>
            </w:pPr>
            <w:r w:rsidRPr="00781BE9">
              <w:rPr>
                <w:rFonts w:ascii="Calibri" w:hAnsi="Calibri"/>
                <w:color w:val="000000"/>
                <w:sz w:val="20"/>
                <w:szCs w:val="20"/>
              </w:rPr>
              <w:t>10%</w:t>
            </w:r>
          </w:p>
        </w:tc>
        <w:tc>
          <w:tcPr>
            <w:tcW w:w="547" w:type="pct"/>
            <w:shd w:val="clear" w:color="auto" w:fill="auto"/>
            <w:vAlign w:val="center"/>
          </w:tcPr>
          <w:p w:rsidR="0000273D" w:rsidRPr="00781BE9" w:rsidRDefault="0000273D" w:rsidP="00573DAD">
            <w:pPr>
              <w:keepNext/>
              <w:keepLines/>
              <w:spacing w:after="0"/>
              <w:jc w:val="right"/>
              <w:rPr>
                <w:rFonts w:ascii="Calibri" w:hAnsi="Calibri"/>
                <w:color w:val="000000"/>
                <w:sz w:val="20"/>
                <w:szCs w:val="20"/>
              </w:rPr>
            </w:pPr>
            <w:r w:rsidRPr="00781BE9">
              <w:t>±</w:t>
            </w:r>
            <w:r w:rsidRPr="00781BE9">
              <w:rPr>
                <w:rFonts w:ascii="Calibri" w:hAnsi="Calibri"/>
                <w:color w:val="000000"/>
                <w:sz w:val="20"/>
                <w:szCs w:val="20"/>
              </w:rPr>
              <w:t>15%</w:t>
            </w:r>
          </w:p>
        </w:tc>
        <w:tc>
          <w:tcPr>
            <w:tcW w:w="527" w:type="pct"/>
            <w:shd w:val="clear" w:color="auto" w:fill="auto"/>
            <w:vAlign w:val="center"/>
          </w:tcPr>
          <w:p w:rsidR="0000273D" w:rsidRPr="00781BE9" w:rsidRDefault="0000273D" w:rsidP="00573DAD">
            <w:pPr>
              <w:keepNext/>
              <w:keepLines/>
              <w:spacing w:after="0"/>
              <w:jc w:val="right"/>
              <w:rPr>
                <w:rFonts w:ascii="Calibri" w:hAnsi="Calibri"/>
                <w:color w:val="000000"/>
                <w:sz w:val="20"/>
                <w:szCs w:val="20"/>
              </w:rPr>
            </w:pPr>
            <w:r w:rsidRPr="00781BE9">
              <w:rPr>
                <w:rFonts w:ascii="Calibri" w:hAnsi="Calibri"/>
                <w:color w:val="000000"/>
                <w:sz w:val="20"/>
                <w:szCs w:val="20"/>
              </w:rPr>
              <w:t>83</w:t>
            </w:r>
          </w:p>
        </w:tc>
        <w:tc>
          <w:tcPr>
            <w:tcW w:w="549" w:type="pct"/>
            <w:shd w:val="clear" w:color="auto" w:fill="auto"/>
            <w:vAlign w:val="center"/>
          </w:tcPr>
          <w:p w:rsidR="0000273D" w:rsidRPr="00781BE9" w:rsidRDefault="0000273D" w:rsidP="00573DAD">
            <w:pPr>
              <w:keepNext/>
              <w:keepLines/>
              <w:spacing w:after="0"/>
              <w:jc w:val="right"/>
              <w:rPr>
                <w:rFonts w:ascii="Calibri" w:hAnsi="Calibri"/>
                <w:color w:val="000000"/>
                <w:sz w:val="20"/>
                <w:szCs w:val="20"/>
              </w:rPr>
            </w:pPr>
            <w:r w:rsidRPr="00781BE9">
              <w:rPr>
                <w:rFonts w:ascii="Calibri" w:hAnsi="Calibri"/>
                <w:color w:val="000000"/>
                <w:sz w:val="20"/>
                <w:szCs w:val="20"/>
              </w:rPr>
              <w:t>111</w:t>
            </w:r>
          </w:p>
        </w:tc>
      </w:tr>
      <w:tr w:rsidR="0000273D" w:rsidRPr="0098042D" w:rsidTr="00B154B7">
        <w:tc>
          <w:tcPr>
            <w:tcW w:w="700" w:type="pct"/>
            <w:vMerge/>
            <w:vAlign w:val="center"/>
          </w:tcPr>
          <w:p w:rsidR="0000273D" w:rsidRPr="0098042D" w:rsidRDefault="0000273D" w:rsidP="00573DAD">
            <w:pPr>
              <w:pStyle w:val="TableRow-left"/>
              <w:keepNext/>
              <w:keepLines/>
            </w:pPr>
          </w:p>
        </w:tc>
        <w:tc>
          <w:tcPr>
            <w:tcW w:w="727" w:type="pct"/>
            <w:shd w:val="clear" w:color="auto" w:fill="auto"/>
            <w:vAlign w:val="center"/>
            <w:hideMark/>
          </w:tcPr>
          <w:p w:rsidR="0000273D" w:rsidRPr="0098042D" w:rsidRDefault="0000273D" w:rsidP="00573DAD">
            <w:pPr>
              <w:pStyle w:val="TableRow-left"/>
              <w:keepNext/>
              <w:keepLines/>
            </w:pPr>
            <w:r w:rsidRPr="0098042D">
              <w:t>Comparison</w:t>
            </w:r>
            <w:r w:rsidR="00B154B7">
              <w:t>**</w:t>
            </w:r>
          </w:p>
        </w:tc>
        <w:tc>
          <w:tcPr>
            <w:tcW w:w="332" w:type="pct"/>
            <w:shd w:val="clear" w:color="auto" w:fill="auto"/>
            <w:vAlign w:val="center"/>
          </w:tcPr>
          <w:p w:rsidR="0000273D" w:rsidRDefault="00B154B7" w:rsidP="00573DAD">
            <w:pPr>
              <w:keepNext/>
              <w:keepLines/>
              <w:spacing w:after="0"/>
              <w:jc w:val="right"/>
              <w:rPr>
                <w:rFonts w:ascii="Calibri" w:hAnsi="Calibri"/>
                <w:color w:val="000000"/>
                <w:sz w:val="20"/>
                <w:szCs w:val="20"/>
              </w:rPr>
            </w:pPr>
            <w:r>
              <w:rPr>
                <w:rFonts w:ascii="Calibri" w:hAnsi="Calibri"/>
                <w:color w:val="000000"/>
                <w:sz w:val="20"/>
                <w:szCs w:val="20"/>
              </w:rPr>
              <w:t>664</w:t>
            </w:r>
          </w:p>
        </w:tc>
        <w:tc>
          <w:tcPr>
            <w:tcW w:w="501" w:type="pct"/>
            <w:shd w:val="clear" w:color="auto" w:fill="auto"/>
            <w:vAlign w:val="center"/>
          </w:tcPr>
          <w:p w:rsidR="0000273D" w:rsidRDefault="00B154B7" w:rsidP="00573DAD">
            <w:pPr>
              <w:keepNext/>
              <w:keepLines/>
              <w:spacing w:after="0"/>
              <w:jc w:val="right"/>
              <w:rPr>
                <w:rFonts w:ascii="Calibri" w:hAnsi="Calibri"/>
                <w:color w:val="000000"/>
                <w:sz w:val="20"/>
                <w:szCs w:val="20"/>
              </w:rPr>
            </w:pPr>
            <w:r>
              <w:rPr>
                <w:rFonts w:ascii="Calibri" w:hAnsi="Calibri"/>
                <w:color w:val="000000"/>
                <w:sz w:val="20"/>
                <w:szCs w:val="20"/>
              </w:rPr>
              <w:t>873</w:t>
            </w:r>
          </w:p>
        </w:tc>
        <w:tc>
          <w:tcPr>
            <w:tcW w:w="468" w:type="pct"/>
            <w:shd w:val="clear" w:color="auto" w:fill="auto"/>
            <w:vAlign w:val="center"/>
          </w:tcPr>
          <w:p w:rsidR="0000273D" w:rsidRDefault="00B154B7" w:rsidP="00573DAD">
            <w:pPr>
              <w:keepNext/>
              <w:keepLines/>
              <w:spacing w:after="0"/>
              <w:jc w:val="right"/>
              <w:rPr>
                <w:rFonts w:ascii="Calibri" w:hAnsi="Calibri"/>
                <w:color w:val="000000"/>
                <w:sz w:val="20"/>
                <w:szCs w:val="20"/>
              </w:rPr>
            </w:pPr>
            <w:r>
              <w:rPr>
                <w:rFonts w:ascii="Calibri" w:hAnsi="Calibri"/>
                <w:color w:val="000000"/>
                <w:sz w:val="20"/>
                <w:szCs w:val="20"/>
              </w:rPr>
              <w:t>13</w:t>
            </w:r>
          </w:p>
        </w:tc>
        <w:tc>
          <w:tcPr>
            <w:tcW w:w="649" w:type="pct"/>
            <w:shd w:val="clear" w:color="auto" w:fill="auto"/>
            <w:vAlign w:val="center"/>
          </w:tcPr>
          <w:p w:rsidR="0000273D" w:rsidRPr="00781BE9" w:rsidRDefault="00B154B7" w:rsidP="00573DAD">
            <w:pPr>
              <w:keepNext/>
              <w:keepLines/>
              <w:spacing w:after="0"/>
              <w:jc w:val="right"/>
              <w:rPr>
                <w:rFonts w:ascii="Calibri" w:hAnsi="Calibri"/>
                <w:color w:val="000000"/>
                <w:sz w:val="20"/>
                <w:szCs w:val="20"/>
              </w:rPr>
            </w:pPr>
            <w:r>
              <w:rPr>
                <w:rFonts w:ascii="Calibri" w:hAnsi="Calibri"/>
                <w:color w:val="000000"/>
                <w:sz w:val="20"/>
                <w:szCs w:val="20"/>
              </w:rPr>
              <w:t>1</w:t>
            </w:r>
            <w:r w:rsidR="0000273D" w:rsidRPr="00781BE9">
              <w:rPr>
                <w:rFonts w:ascii="Calibri" w:hAnsi="Calibri"/>
                <w:color w:val="000000"/>
                <w:sz w:val="20"/>
                <w:szCs w:val="20"/>
              </w:rPr>
              <w:t>%</w:t>
            </w:r>
          </w:p>
        </w:tc>
        <w:tc>
          <w:tcPr>
            <w:tcW w:w="547" w:type="pct"/>
            <w:shd w:val="clear" w:color="auto" w:fill="auto"/>
            <w:vAlign w:val="center"/>
          </w:tcPr>
          <w:p w:rsidR="0000273D" w:rsidRPr="00781BE9" w:rsidRDefault="0000273D" w:rsidP="00573DAD">
            <w:pPr>
              <w:keepNext/>
              <w:keepLines/>
              <w:spacing w:after="0"/>
              <w:jc w:val="right"/>
              <w:rPr>
                <w:rFonts w:ascii="Calibri" w:hAnsi="Calibri"/>
                <w:color w:val="000000"/>
                <w:sz w:val="20"/>
                <w:szCs w:val="20"/>
              </w:rPr>
            </w:pPr>
            <w:r w:rsidRPr="00781BE9">
              <w:t>±</w:t>
            </w:r>
            <w:r w:rsidR="00B154B7">
              <w:rPr>
                <w:rFonts w:ascii="Calibri" w:hAnsi="Calibri"/>
                <w:color w:val="000000"/>
                <w:sz w:val="20"/>
                <w:szCs w:val="20"/>
              </w:rPr>
              <w:t>62</w:t>
            </w:r>
            <w:r w:rsidRPr="00781BE9">
              <w:rPr>
                <w:rFonts w:ascii="Calibri" w:hAnsi="Calibri"/>
                <w:color w:val="000000"/>
                <w:sz w:val="20"/>
                <w:szCs w:val="20"/>
              </w:rPr>
              <w:t>%</w:t>
            </w:r>
          </w:p>
        </w:tc>
        <w:tc>
          <w:tcPr>
            <w:tcW w:w="527" w:type="pct"/>
            <w:shd w:val="clear" w:color="auto" w:fill="auto"/>
            <w:vAlign w:val="center"/>
          </w:tcPr>
          <w:p w:rsidR="0000273D" w:rsidRPr="00781BE9" w:rsidRDefault="00B154B7" w:rsidP="00573DAD">
            <w:pPr>
              <w:keepNext/>
              <w:keepLines/>
              <w:spacing w:after="0"/>
              <w:jc w:val="right"/>
              <w:rPr>
                <w:rFonts w:ascii="Calibri" w:hAnsi="Calibri"/>
                <w:color w:val="000000"/>
                <w:sz w:val="20"/>
                <w:szCs w:val="20"/>
              </w:rPr>
            </w:pPr>
            <w:r>
              <w:rPr>
                <w:rFonts w:ascii="Calibri" w:hAnsi="Calibri"/>
                <w:color w:val="000000"/>
                <w:sz w:val="20"/>
                <w:szCs w:val="20"/>
              </w:rPr>
              <w:t>5</w:t>
            </w:r>
          </w:p>
        </w:tc>
        <w:tc>
          <w:tcPr>
            <w:tcW w:w="549" w:type="pct"/>
            <w:shd w:val="clear" w:color="auto" w:fill="auto"/>
            <w:vAlign w:val="center"/>
          </w:tcPr>
          <w:p w:rsidR="0000273D" w:rsidRPr="00781BE9" w:rsidRDefault="00B154B7" w:rsidP="00573DAD">
            <w:pPr>
              <w:keepNext/>
              <w:keepLines/>
              <w:spacing w:after="0"/>
              <w:jc w:val="right"/>
              <w:rPr>
                <w:rFonts w:ascii="Calibri" w:hAnsi="Calibri"/>
                <w:color w:val="000000"/>
                <w:sz w:val="20"/>
                <w:szCs w:val="20"/>
              </w:rPr>
            </w:pPr>
            <w:r>
              <w:rPr>
                <w:rFonts w:ascii="Calibri" w:hAnsi="Calibri"/>
                <w:color w:val="000000"/>
                <w:sz w:val="20"/>
                <w:szCs w:val="20"/>
              </w:rPr>
              <w:t>21</w:t>
            </w:r>
          </w:p>
        </w:tc>
      </w:tr>
      <w:tr w:rsidR="0000273D" w:rsidRPr="0098042D" w:rsidTr="00B154B7">
        <w:tc>
          <w:tcPr>
            <w:tcW w:w="700" w:type="pct"/>
            <w:vMerge/>
            <w:vAlign w:val="center"/>
          </w:tcPr>
          <w:p w:rsidR="0000273D" w:rsidRPr="0098042D" w:rsidRDefault="0000273D" w:rsidP="00573DAD">
            <w:pPr>
              <w:pStyle w:val="TableRow-left"/>
              <w:keepNext/>
              <w:keepLines/>
            </w:pPr>
          </w:p>
        </w:tc>
        <w:tc>
          <w:tcPr>
            <w:tcW w:w="727" w:type="pct"/>
            <w:shd w:val="clear" w:color="auto" w:fill="auto"/>
            <w:vAlign w:val="center"/>
            <w:hideMark/>
          </w:tcPr>
          <w:p w:rsidR="0000273D" w:rsidRPr="0098042D" w:rsidRDefault="0000273D" w:rsidP="00573DAD">
            <w:pPr>
              <w:pStyle w:val="TableRow-left"/>
              <w:keepNext/>
              <w:keepLines/>
            </w:pPr>
            <w:r w:rsidRPr="0098042D">
              <w:t>Adjusted gross</w:t>
            </w:r>
          </w:p>
        </w:tc>
        <w:tc>
          <w:tcPr>
            <w:tcW w:w="332" w:type="pct"/>
            <w:shd w:val="clear" w:color="auto" w:fill="auto"/>
            <w:vAlign w:val="center"/>
          </w:tcPr>
          <w:p w:rsidR="0000273D" w:rsidRDefault="0000273D" w:rsidP="00140FD2">
            <w:pPr>
              <w:keepNext/>
              <w:keepLines/>
              <w:spacing w:after="0"/>
              <w:jc w:val="right"/>
              <w:rPr>
                <w:rFonts w:ascii="Calibri" w:hAnsi="Calibri"/>
                <w:color w:val="000000"/>
                <w:sz w:val="20"/>
                <w:szCs w:val="20"/>
              </w:rPr>
            </w:pPr>
            <w:r>
              <w:rPr>
                <w:rFonts w:ascii="Calibri" w:hAnsi="Calibri"/>
                <w:color w:val="000000"/>
                <w:sz w:val="20"/>
                <w:szCs w:val="20"/>
              </w:rPr>
              <w:t>23</w:t>
            </w:r>
            <w:r w:rsidR="00140FD2">
              <w:rPr>
                <w:rFonts w:ascii="Calibri" w:hAnsi="Calibri"/>
                <w:color w:val="000000"/>
                <w:sz w:val="20"/>
                <w:szCs w:val="20"/>
              </w:rPr>
              <w:t>1</w:t>
            </w:r>
          </w:p>
        </w:tc>
        <w:tc>
          <w:tcPr>
            <w:tcW w:w="501" w:type="pct"/>
            <w:shd w:val="clear" w:color="auto" w:fill="auto"/>
            <w:vAlign w:val="center"/>
          </w:tcPr>
          <w:p w:rsidR="0000273D" w:rsidRDefault="0000273D" w:rsidP="00573DAD">
            <w:pPr>
              <w:keepNext/>
              <w:keepLines/>
              <w:spacing w:after="0"/>
              <w:jc w:val="right"/>
              <w:rPr>
                <w:rFonts w:ascii="Calibri" w:hAnsi="Calibri"/>
                <w:color w:val="000000"/>
                <w:sz w:val="20"/>
                <w:szCs w:val="20"/>
              </w:rPr>
            </w:pPr>
            <w:r>
              <w:rPr>
                <w:rFonts w:ascii="Calibri" w:hAnsi="Calibri"/>
                <w:color w:val="000000"/>
                <w:sz w:val="20"/>
                <w:szCs w:val="20"/>
              </w:rPr>
              <w:t>1,006</w:t>
            </w:r>
          </w:p>
        </w:tc>
        <w:tc>
          <w:tcPr>
            <w:tcW w:w="468" w:type="pct"/>
            <w:shd w:val="clear" w:color="auto" w:fill="auto"/>
            <w:vAlign w:val="center"/>
          </w:tcPr>
          <w:p w:rsidR="0000273D" w:rsidRDefault="00B154B7" w:rsidP="00573DAD">
            <w:pPr>
              <w:keepNext/>
              <w:keepLines/>
              <w:spacing w:after="0"/>
              <w:jc w:val="right"/>
              <w:rPr>
                <w:rFonts w:ascii="Calibri" w:hAnsi="Calibri"/>
                <w:color w:val="000000"/>
                <w:sz w:val="20"/>
                <w:szCs w:val="20"/>
              </w:rPr>
            </w:pPr>
            <w:r>
              <w:rPr>
                <w:rFonts w:ascii="Calibri" w:hAnsi="Calibri"/>
                <w:color w:val="000000"/>
                <w:sz w:val="20"/>
                <w:szCs w:val="20"/>
              </w:rPr>
              <w:t>82</w:t>
            </w:r>
          </w:p>
        </w:tc>
        <w:tc>
          <w:tcPr>
            <w:tcW w:w="649" w:type="pct"/>
            <w:shd w:val="clear" w:color="auto" w:fill="auto"/>
            <w:vAlign w:val="center"/>
          </w:tcPr>
          <w:p w:rsidR="0000273D" w:rsidRPr="00781BE9" w:rsidRDefault="0000273D" w:rsidP="00573DAD">
            <w:pPr>
              <w:keepNext/>
              <w:keepLines/>
              <w:spacing w:after="0"/>
              <w:jc w:val="right"/>
              <w:rPr>
                <w:rFonts w:ascii="Calibri" w:hAnsi="Calibri"/>
                <w:color w:val="000000"/>
                <w:sz w:val="20"/>
                <w:szCs w:val="20"/>
              </w:rPr>
            </w:pPr>
            <w:r w:rsidRPr="00781BE9">
              <w:rPr>
                <w:rFonts w:ascii="Calibri" w:hAnsi="Calibri"/>
                <w:color w:val="000000"/>
                <w:sz w:val="20"/>
                <w:szCs w:val="20"/>
              </w:rPr>
              <w:t>8%</w:t>
            </w:r>
          </w:p>
        </w:tc>
        <w:tc>
          <w:tcPr>
            <w:tcW w:w="547" w:type="pct"/>
            <w:shd w:val="clear" w:color="auto" w:fill="auto"/>
            <w:vAlign w:val="center"/>
          </w:tcPr>
          <w:p w:rsidR="0000273D" w:rsidRPr="00781BE9" w:rsidRDefault="0000273D" w:rsidP="00573DAD">
            <w:pPr>
              <w:keepNext/>
              <w:keepLines/>
              <w:spacing w:after="0"/>
              <w:jc w:val="right"/>
              <w:rPr>
                <w:rFonts w:ascii="Calibri" w:hAnsi="Calibri"/>
                <w:color w:val="000000"/>
                <w:sz w:val="20"/>
                <w:szCs w:val="20"/>
              </w:rPr>
            </w:pPr>
            <w:r w:rsidRPr="00781BE9">
              <w:t>±</w:t>
            </w:r>
            <w:r w:rsidR="00B154B7">
              <w:rPr>
                <w:rFonts w:ascii="Calibri" w:hAnsi="Calibri"/>
                <w:color w:val="000000"/>
                <w:sz w:val="20"/>
                <w:szCs w:val="20"/>
              </w:rPr>
              <w:t>2</w:t>
            </w:r>
            <w:r w:rsidRPr="00781BE9">
              <w:rPr>
                <w:rFonts w:ascii="Calibri" w:hAnsi="Calibri"/>
                <w:color w:val="000000"/>
                <w:sz w:val="20"/>
                <w:szCs w:val="20"/>
              </w:rPr>
              <w:t>0%</w:t>
            </w:r>
          </w:p>
        </w:tc>
        <w:tc>
          <w:tcPr>
            <w:tcW w:w="527" w:type="pct"/>
            <w:shd w:val="clear" w:color="auto" w:fill="auto"/>
            <w:vAlign w:val="center"/>
          </w:tcPr>
          <w:p w:rsidR="0000273D" w:rsidRPr="00781BE9" w:rsidRDefault="00B154B7" w:rsidP="00573DAD">
            <w:pPr>
              <w:keepNext/>
              <w:keepLines/>
              <w:spacing w:after="0"/>
              <w:jc w:val="right"/>
              <w:rPr>
                <w:rFonts w:ascii="Calibri" w:hAnsi="Calibri"/>
                <w:color w:val="000000"/>
                <w:sz w:val="20"/>
                <w:szCs w:val="20"/>
              </w:rPr>
            </w:pPr>
            <w:r>
              <w:rPr>
                <w:rFonts w:ascii="Calibri" w:hAnsi="Calibri"/>
                <w:color w:val="000000"/>
                <w:sz w:val="20"/>
                <w:szCs w:val="20"/>
              </w:rPr>
              <w:t>66</w:t>
            </w:r>
          </w:p>
        </w:tc>
        <w:tc>
          <w:tcPr>
            <w:tcW w:w="549" w:type="pct"/>
            <w:shd w:val="clear" w:color="auto" w:fill="auto"/>
            <w:vAlign w:val="center"/>
          </w:tcPr>
          <w:p w:rsidR="0000273D" w:rsidRPr="00781BE9" w:rsidRDefault="00B154B7" w:rsidP="00573DAD">
            <w:pPr>
              <w:keepNext/>
              <w:keepLines/>
              <w:spacing w:after="0"/>
              <w:jc w:val="right"/>
              <w:rPr>
                <w:rFonts w:ascii="Calibri" w:hAnsi="Calibri"/>
                <w:color w:val="000000"/>
                <w:sz w:val="20"/>
                <w:szCs w:val="20"/>
              </w:rPr>
            </w:pPr>
            <w:r>
              <w:rPr>
                <w:rFonts w:ascii="Calibri" w:hAnsi="Calibri"/>
                <w:color w:val="000000"/>
                <w:sz w:val="20"/>
                <w:szCs w:val="20"/>
              </w:rPr>
              <w:t>99</w:t>
            </w:r>
          </w:p>
        </w:tc>
      </w:tr>
      <w:tr w:rsidR="0000273D" w:rsidRPr="0098042D" w:rsidTr="00B154B7">
        <w:tc>
          <w:tcPr>
            <w:tcW w:w="700" w:type="pct"/>
            <w:vMerge w:val="restart"/>
            <w:vAlign w:val="center"/>
          </w:tcPr>
          <w:p w:rsidR="0000273D" w:rsidRPr="0098042D" w:rsidRDefault="0000273D" w:rsidP="00573DAD">
            <w:pPr>
              <w:pStyle w:val="TableRow-left"/>
              <w:keepNext/>
              <w:keepLines/>
            </w:pPr>
            <w:r>
              <w:t>SP4</w:t>
            </w:r>
          </w:p>
        </w:tc>
        <w:tc>
          <w:tcPr>
            <w:tcW w:w="727" w:type="pct"/>
            <w:shd w:val="clear" w:color="auto" w:fill="auto"/>
            <w:vAlign w:val="center"/>
          </w:tcPr>
          <w:p w:rsidR="0000273D" w:rsidRPr="0098042D" w:rsidRDefault="0000273D" w:rsidP="00573DAD">
            <w:pPr>
              <w:pStyle w:val="TableRow-left"/>
              <w:keepNext/>
              <w:keepLines/>
            </w:pPr>
            <w:r w:rsidRPr="0098042D">
              <w:t>Participants</w:t>
            </w:r>
          </w:p>
        </w:tc>
        <w:tc>
          <w:tcPr>
            <w:tcW w:w="332" w:type="pct"/>
            <w:shd w:val="clear" w:color="auto" w:fill="auto"/>
            <w:vAlign w:val="center"/>
          </w:tcPr>
          <w:p w:rsidR="0000273D" w:rsidRDefault="0000273D" w:rsidP="00573DAD">
            <w:pPr>
              <w:keepNext/>
              <w:keepLines/>
              <w:spacing w:after="0"/>
              <w:jc w:val="right"/>
              <w:rPr>
                <w:rFonts w:ascii="Calibri" w:hAnsi="Calibri"/>
                <w:color w:val="000000"/>
                <w:sz w:val="20"/>
                <w:szCs w:val="20"/>
              </w:rPr>
            </w:pPr>
            <w:r>
              <w:rPr>
                <w:rFonts w:ascii="Calibri" w:hAnsi="Calibri"/>
                <w:color w:val="000000"/>
                <w:sz w:val="20"/>
                <w:szCs w:val="20"/>
              </w:rPr>
              <w:t>114</w:t>
            </w:r>
          </w:p>
        </w:tc>
        <w:tc>
          <w:tcPr>
            <w:tcW w:w="501" w:type="pct"/>
            <w:shd w:val="clear" w:color="auto" w:fill="auto"/>
            <w:vAlign w:val="center"/>
          </w:tcPr>
          <w:p w:rsidR="0000273D" w:rsidRDefault="0000273D" w:rsidP="00573DAD">
            <w:pPr>
              <w:keepNext/>
              <w:keepLines/>
              <w:spacing w:after="0"/>
              <w:jc w:val="right"/>
              <w:rPr>
                <w:rFonts w:ascii="Calibri" w:hAnsi="Calibri"/>
                <w:color w:val="000000"/>
                <w:sz w:val="20"/>
                <w:szCs w:val="20"/>
              </w:rPr>
            </w:pPr>
            <w:r>
              <w:rPr>
                <w:rFonts w:ascii="Calibri" w:hAnsi="Calibri"/>
                <w:color w:val="000000"/>
                <w:sz w:val="20"/>
                <w:szCs w:val="20"/>
              </w:rPr>
              <w:t>723</w:t>
            </w:r>
          </w:p>
        </w:tc>
        <w:tc>
          <w:tcPr>
            <w:tcW w:w="468" w:type="pct"/>
            <w:shd w:val="clear" w:color="auto" w:fill="auto"/>
            <w:vAlign w:val="center"/>
          </w:tcPr>
          <w:p w:rsidR="0000273D" w:rsidRDefault="0000273D" w:rsidP="00573DAD">
            <w:pPr>
              <w:keepNext/>
              <w:keepLines/>
              <w:spacing w:after="0"/>
              <w:jc w:val="right"/>
              <w:rPr>
                <w:rFonts w:ascii="Calibri" w:hAnsi="Calibri"/>
                <w:color w:val="000000"/>
                <w:sz w:val="20"/>
                <w:szCs w:val="20"/>
              </w:rPr>
            </w:pPr>
            <w:r>
              <w:rPr>
                <w:rFonts w:ascii="Calibri" w:hAnsi="Calibri"/>
                <w:color w:val="000000"/>
                <w:sz w:val="20"/>
                <w:szCs w:val="20"/>
              </w:rPr>
              <w:t>43</w:t>
            </w:r>
          </w:p>
        </w:tc>
        <w:tc>
          <w:tcPr>
            <w:tcW w:w="649" w:type="pct"/>
            <w:shd w:val="clear" w:color="auto" w:fill="auto"/>
            <w:vAlign w:val="center"/>
          </w:tcPr>
          <w:p w:rsidR="0000273D" w:rsidRPr="00781BE9" w:rsidRDefault="0000273D" w:rsidP="00573DAD">
            <w:pPr>
              <w:keepNext/>
              <w:keepLines/>
              <w:spacing w:after="0"/>
              <w:jc w:val="right"/>
              <w:rPr>
                <w:rFonts w:ascii="Calibri" w:hAnsi="Calibri"/>
                <w:color w:val="000000"/>
                <w:sz w:val="20"/>
                <w:szCs w:val="20"/>
              </w:rPr>
            </w:pPr>
            <w:r w:rsidRPr="00781BE9">
              <w:rPr>
                <w:rFonts w:ascii="Calibri" w:hAnsi="Calibri"/>
                <w:color w:val="000000"/>
                <w:sz w:val="20"/>
                <w:szCs w:val="20"/>
              </w:rPr>
              <w:t>6%</w:t>
            </w:r>
          </w:p>
        </w:tc>
        <w:tc>
          <w:tcPr>
            <w:tcW w:w="547" w:type="pct"/>
            <w:shd w:val="clear" w:color="auto" w:fill="auto"/>
            <w:vAlign w:val="center"/>
          </w:tcPr>
          <w:p w:rsidR="0000273D" w:rsidRPr="00781BE9" w:rsidRDefault="0000273D" w:rsidP="00573DAD">
            <w:pPr>
              <w:keepNext/>
              <w:keepLines/>
              <w:spacing w:after="0"/>
              <w:jc w:val="right"/>
              <w:rPr>
                <w:rFonts w:ascii="Calibri" w:hAnsi="Calibri"/>
                <w:color w:val="000000"/>
                <w:sz w:val="20"/>
                <w:szCs w:val="20"/>
              </w:rPr>
            </w:pPr>
            <w:r w:rsidRPr="00781BE9">
              <w:t>±</w:t>
            </w:r>
            <w:r w:rsidRPr="00781BE9">
              <w:rPr>
                <w:rFonts w:ascii="Calibri" w:hAnsi="Calibri"/>
                <w:color w:val="000000"/>
                <w:sz w:val="20"/>
                <w:szCs w:val="20"/>
              </w:rPr>
              <w:t>39%</w:t>
            </w:r>
          </w:p>
        </w:tc>
        <w:tc>
          <w:tcPr>
            <w:tcW w:w="527" w:type="pct"/>
            <w:shd w:val="clear" w:color="auto" w:fill="auto"/>
            <w:vAlign w:val="center"/>
          </w:tcPr>
          <w:p w:rsidR="0000273D" w:rsidRPr="00781BE9" w:rsidRDefault="0000273D" w:rsidP="00573DAD">
            <w:pPr>
              <w:keepNext/>
              <w:keepLines/>
              <w:spacing w:after="0"/>
              <w:jc w:val="right"/>
              <w:rPr>
                <w:rFonts w:ascii="Calibri" w:hAnsi="Calibri"/>
                <w:color w:val="000000"/>
                <w:sz w:val="20"/>
                <w:szCs w:val="20"/>
              </w:rPr>
            </w:pPr>
            <w:r w:rsidRPr="00781BE9">
              <w:rPr>
                <w:rFonts w:ascii="Calibri" w:hAnsi="Calibri"/>
                <w:color w:val="000000"/>
                <w:sz w:val="20"/>
                <w:szCs w:val="20"/>
              </w:rPr>
              <w:t>26</w:t>
            </w:r>
          </w:p>
        </w:tc>
        <w:tc>
          <w:tcPr>
            <w:tcW w:w="549" w:type="pct"/>
            <w:shd w:val="clear" w:color="auto" w:fill="auto"/>
            <w:vAlign w:val="center"/>
          </w:tcPr>
          <w:p w:rsidR="0000273D" w:rsidRPr="00781BE9" w:rsidRDefault="0000273D" w:rsidP="00573DAD">
            <w:pPr>
              <w:keepNext/>
              <w:keepLines/>
              <w:spacing w:after="0"/>
              <w:jc w:val="right"/>
              <w:rPr>
                <w:rFonts w:ascii="Calibri" w:hAnsi="Calibri"/>
                <w:color w:val="000000"/>
                <w:sz w:val="20"/>
                <w:szCs w:val="20"/>
              </w:rPr>
            </w:pPr>
            <w:r w:rsidRPr="00781BE9">
              <w:rPr>
                <w:rFonts w:ascii="Calibri" w:hAnsi="Calibri"/>
                <w:color w:val="000000"/>
                <w:sz w:val="20"/>
                <w:szCs w:val="20"/>
              </w:rPr>
              <w:t>59</w:t>
            </w:r>
          </w:p>
        </w:tc>
      </w:tr>
      <w:tr w:rsidR="0000273D" w:rsidRPr="0098042D" w:rsidTr="00B154B7">
        <w:tc>
          <w:tcPr>
            <w:tcW w:w="700" w:type="pct"/>
            <w:vMerge/>
          </w:tcPr>
          <w:p w:rsidR="0000273D" w:rsidRPr="0098042D" w:rsidRDefault="0000273D" w:rsidP="00573DAD">
            <w:pPr>
              <w:pStyle w:val="TableRow-left"/>
              <w:keepNext/>
              <w:keepLines/>
            </w:pPr>
          </w:p>
        </w:tc>
        <w:tc>
          <w:tcPr>
            <w:tcW w:w="727" w:type="pct"/>
            <w:shd w:val="clear" w:color="auto" w:fill="auto"/>
            <w:vAlign w:val="center"/>
          </w:tcPr>
          <w:p w:rsidR="0000273D" w:rsidRPr="0098042D" w:rsidRDefault="0000273D" w:rsidP="00573DAD">
            <w:pPr>
              <w:pStyle w:val="TableRow-left"/>
              <w:keepNext/>
              <w:keepLines/>
            </w:pPr>
            <w:r w:rsidRPr="0098042D">
              <w:t>Comparison</w:t>
            </w:r>
            <w:r w:rsidR="00C97A73">
              <w:t>*</w:t>
            </w:r>
            <w:r w:rsidR="00B154B7">
              <w:t>*</w:t>
            </w:r>
          </w:p>
        </w:tc>
        <w:tc>
          <w:tcPr>
            <w:tcW w:w="332" w:type="pct"/>
            <w:shd w:val="clear" w:color="auto" w:fill="auto"/>
            <w:vAlign w:val="center"/>
          </w:tcPr>
          <w:p w:rsidR="0000273D" w:rsidRDefault="00B154B7" w:rsidP="00573DAD">
            <w:pPr>
              <w:keepNext/>
              <w:keepLines/>
              <w:spacing w:after="0"/>
              <w:jc w:val="right"/>
              <w:rPr>
                <w:rFonts w:ascii="Calibri" w:hAnsi="Calibri"/>
                <w:color w:val="000000"/>
                <w:sz w:val="20"/>
                <w:szCs w:val="20"/>
              </w:rPr>
            </w:pPr>
            <w:r>
              <w:rPr>
                <w:rFonts w:ascii="Calibri" w:hAnsi="Calibri"/>
                <w:color w:val="000000"/>
                <w:sz w:val="20"/>
                <w:szCs w:val="20"/>
              </w:rPr>
              <w:t>664</w:t>
            </w:r>
          </w:p>
        </w:tc>
        <w:tc>
          <w:tcPr>
            <w:tcW w:w="501" w:type="pct"/>
            <w:shd w:val="clear" w:color="auto" w:fill="auto"/>
            <w:vAlign w:val="center"/>
          </w:tcPr>
          <w:p w:rsidR="0000273D" w:rsidRDefault="00B154B7" w:rsidP="00573DAD">
            <w:pPr>
              <w:keepNext/>
              <w:keepLines/>
              <w:spacing w:after="0"/>
              <w:jc w:val="right"/>
              <w:rPr>
                <w:rFonts w:ascii="Calibri" w:hAnsi="Calibri"/>
                <w:color w:val="000000"/>
                <w:sz w:val="20"/>
                <w:szCs w:val="20"/>
              </w:rPr>
            </w:pPr>
            <w:r>
              <w:rPr>
                <w:rFonts w:ascii="Calibri" w:hAnsi="Calibri"/>
                <w:color w:val="000000"/>
                <w:sz w:val="20"/>
                <w:szCs w:val="20"/>
              </w:rPr>
              <w:t>873</w:t>
            </w:r>
          </w:p>
        </w:tc>
        <w:tc>
          <w:tcPr>
            <w:tcW w:w="468" w:type="pct"/>
            <w:shd w:val="clear" w:color="auto" w:fill="auto"/>
            <w:vAlign w:val="center"/>
          </w:tcPr>
          <w:p w:rsidR="0000273D" w:rsidRDefault="00B154B7" w:rsidP="00573DAD">
            <w:pPr>
              <w:keepNext/>
              <w:keepLines/>
              <w:spacing w:after="0"/>
              <w:jc w:val="right"/>
              <w:rPr>
                <w:rFonts w:ascii="Calibri" w:hAnsi="Calibri"/>
                <w:color w:val="000000"/>
                <w:sz w:val="20"/>
                <w:szCs w:val="20"/>
              </w:rPr>
            </w:pPr>
            <w:r>
              <w:rPr>
                <w:rFonts w:ascii="Calibri" w:hAnsi="Calibri"/>
                <w:color w:val="000000"/>
                <w:sz w:val="20"/>
                <w:szCs w:val="20"/>
              </w:rPr>
              <w:t>13</w:t>
            </w:r>
          </w:p>
        </w:tc>
        <w:tc>
          <w:tcPr>
            <w:tcW w:w="649" w:type="pct"/>
            <w:shd w:val="clear" w:color="auto" w:fill="auto"/>
            <w:vAlign w:val="center"/>
          </w:tcPr>
          <w:p w:rsidR="0000273D" w:rsidRPr="00781BE9" w:rsidRDefault="00B154B7" w:rsidP="00573DAD">
            <w:pPr>
              <w:keepNext/>
              <w:keepLines/>
              <w:spacing w:after="0"/>
              <w:jc w:val="right"/>
              <w:rPr>
                <w:rFonts w:ascii="Calibri" w:hAnsi="Calibri"/>
                <w:color w:val="000000"/>
                <w:sz w:val="20"/>
                <w:szCs w:val="20"/>
              </w:rPr>
            </w:pPr>
            <w:r>
              <w:rPr>
                <w:rFonts w:ascii="Calibri" w:hAnsi="Calibri"/>
                <w:color w:val="000000"/>
                <w:sz w:val="20"/>
                <w:szCs w:val="20"/>
              </w:rPr>
              <w:t>1</w:t>
            </w:r>
            <w:r w:rsidR="0000273D" w:rsidRPr="00781BE9">
              <w:rPr>
                <w:rFonts w:ascii="Calibri" w:hAnsi="Calibri"/>
                <w:color w:val="000000"/>
                <w:sz w:val="20"/>
                <w:szCs w:val="20"/>
              </w:rPr>
              <w:t>%</w:t>
            </w:r>
          </w:p>
        </w:tc>
        <w:tc>
          <w:tcPr>
            <w:tcW w:w="547" w:type="pct"/>
            <w:shd w:val="clear" w:color="auto" w:fill="auto"/>
            <w:vAlign w:val="center"/>
          </w:tcPr>
          <w:p w:rsidR="0000273D" w:rsidRPr="00781BE9" w:rsidRDefault="0000273D" w:rsidP="00573DAD">
            <w:pPr>
              <w:keepNext/>
              <w:keepLines/>
              <w:spacing w:after="0"/>
              <w:jc w:val="right"/>
              <w:rPr>
                <w:rFonts w:ascii="Calibri" w:hAnsi="Calibri"/>
                <w:color w:val="000000"/>
                <w:sz w:val="20"/>
                <w:szCs w:val="20"/>
              </w:rPr>
            </w:pPr>
            <w:r w:rsidRPr="00781BE9">
              <w:t>±</w:t>
            </w:r>
            <w:r w:rsidR="00B154B7">
              <w:rPr>
                <w:rFonts w:ascii="Calibri" w:hAnsi="Calibri"/>
                <w:color w:val="000000"/>
                <w:sz w:val="20"/>
                <w:szCs w:val="20"/>
              </w:rPr>
              <w:t>62</w:t>
            </w:r>
            <w:r w:rsidRPr="00781BE9">
              <w:rPr>
                <w:rFonts w:ascii="Calibri" w:hAnsi="Calibri"/>
                <w:color w:val="000000"/>
                <w:sz w:val="20"/>
                <w:szCs w:val="20"/>
              </w:rPr>
              <w:t>%</w:t>
            </w:r>
          </w:p>
        </w:tc>
        <w:tc>
          <w:tcPr>
            <w:tcW w:w="527" w:type="pct"/>
            <w:shd w:val="clear" w:color="auto" w:fill="auto"/>
            <w:vAlign w:val="center"/>
          </w:tcPr>
          <w:p w:rsidR="0000273D" w:rsidRPr="00781BE9" w:rsidRDefault="00B154B7" w:rsidP="00573DAD">
            <w:pPr>
              <w:keepNext/>
              <w:keepLines/>
              <w:spacing w:after="0"/>
              <w:jc w:val="right"/>
              <w:rPr>
                <w:rFonts w:ascii="Calibri" w:hAnsi="Calibri"/>
                <w:color w:val="000000"/>
                <w:sz w:val="20"/>
                <w:szCs w:val="20"/>
              </w:rPr>
            </w:pPr>
            <w:r>
              <w:rPr>
                <w:rFonts w:ascii="Calibri" w:hAnsi="Calibri"/>
                <w:color w:val="000000"/>
                <w:sz w:val="20"/>
                <w:szCs w:val="20"/>
              </w:rPr>
              <w:t>5</w:t>
            </w:r>
          </w:p>
        </w:tc>
        <w:tc>
          <w:tcPr>
            <w:tcW w:w="549" w:type="pct"/>
            <w:shd w:val="clear" w:color="auto" w:fill="auto"/>
            <w:vAlign w:val="center"/>
          </w:tcPr>
          <w:p w:rsidR="0000273D" w:rsidRPr="00781BE9" w:rsidRDefault="00B154B7" w:rsidP="00573DAD">
            <w:pPr>
              <w:keepNext/>
              <w:keepLines/>
              <w:spacing w:after="0"/>
              <w:jc w:val="right"/>
              <w:rPr>
                <w:rFonts w:ascii="Calibri" w:hAnsi="Calibri"/>
                <w:color w:val="000000"/>
                <w:sz w:val="20"/>
                <w:szCs w:val="20"/>
              </w:rPr>
            </w:pPr>
            <w:r>
              <w:rPr>
                <w:rFonts w:ascii="Calibri" w:hAnsi="Calibri"/>
                <w:color w:val="000000"/>
                <w:sz w:val="20"/>
                <w:szCs w:val="20"/>
              </w:rPr>
              <w:t>21</w:t>
            </w:r>
          </w:p>
        </w:tc>
      </w:tr>
      <w:tr w:rsidR="0000273D" w:rsidRPr="0098042D" w:rsidTr="00B154B7">
        <w:tc>
          <w:tcPr>
            <w:tcW w:w="700" w:type="pct"/>
            <w:vMerge/>
          </w:tcPr>
          <w:p w:rsidR="0000273D" w:rsidRPr="0098042D" w:rsidRDefault="0000273D" w:rsidP="00573DAD">
            <w:pPr>
              <w:pStyle w:val="TableRow-left"/>
              <w:keepNext/>
              <w:keepLines/>
            </w:pPr>
          </w:p>
        </w:tc>
        <w:tc>
          <w:tcPr>
            <w:tcW w:w="727" w:type="pct"/>
            <w:shd w:val="clear" w:color="auto" w:fill="auto"/>
            <w:vAlign w:val="center"/>
          </w:tcPr>
          <w:p w:rsidR="0000273D" w:rsidRPr="0098042D" w:rsidRDefault="0000273D" w:rsidP="00573DAD">
            <w:pPr>
              <w:pStyle w:val="TableRow-left"/>
              <w:keepNext/>
              <w:keepLines/>
            </w:pPr>
            <w:r w:rsidRPr="0098042D">
              <w:t>Adjusted gross</w:t>
            </w:r>
          </w:p>
        </w:tc>
        <w:tc>
          <w:tcPr>
            <w:tcW w:w="332" w:type="pct"/>
            <w:shd w:val="clear" w:color="auto" w:fill="auto"/>
            <w:vAlign w:val="center"/>
          </w:tcPr>
          <w:p w:rsidR="0000273D" w:rsidRDefault="0000273D" w:rsidP="00573DAD">
            <w:pPr>
              <w:keepNext/>
              <w:keepLines/>
              <w:spacing w:after="0"/>
              <w:jc w:val="right"/>
              <w:rPr>
                <w:rFonts w:ascii="Calibri" w:hAnsi="Calibri"/>
                <w:color w:val="000000"/>
                <w:sz w:val="20"/>
                <w:szCs w:val="20"/>
              </w:rPr>
            </w:pPr>
            <w:r>
              <w:rPr>
                <w:rFonts w:ascii="Calibri" w:hAnsi="Calibri"/>
                <w:color w:val="000000"/>
                <w:sz w:val="20"/>
                <w:szCs w:val="20"/>
              </w:rPr>
              <w:t>114</w:t>
            </w:r>
          </w:p>
        </w:tc>
        <w:tc>
          <w:tcPr>
            <w:tcW w:w="501" w:type="pct"/>
            <w:shd w:val="clear" w:color="auto" w:fill="auto"/>
            <w:vAlign w:val="center"/>
          </w:tcPr>
          <w:p w:rsidR="0000273D" w:rsidRDefault="0000273D" w:rsidP="00573DAD">
            <w:pPr>
              <w:keepNext/>
              <w:keepLines/>
              <w:spacing w:after="0"/>
              <w:jc w:val="right"/>
              <w:rPr>
                <w:rFonts w:ascii="Calibri" w:hAnsi="Calibri"/>
                <w:color w:val="000000"/>
                <w:sz w:val="20"/>
                <w:szCs w:val="20"/>
              </w:rPr>
            </w:pPr>
            <w:r>
              <w:rPr>
                <w:rFonts w:ascii="Calibri" w:hAnsi="Calibri"/>
                <w:color w:val="000000"/>
                <w:sz w:val="20"/>
                <w:szCs w:val="20"/>
              </w:rPr>
              <w:t>723</w:t>
            </w:r>
          </w:p>
        </w:tc>
        <w:tc>
          <w:tcPr>
            <w:tcW w:w="468" w:type="pct"/>
            <w:shd w:val="clear" w:color="auto" w:fill="auto"/>
            <w:vAlign w:val="center"/>
          </w:tcPr>
          <w:p w:rsidR="0000273D" w:rsidRDefault="00B154B7" w:rsidP="00573DAD">
            <w:pPr>
              <w:keepNext/>
              <w:keepLines/>
              <w:spacing w:after="0"/>
              <w:jc w:val="right"/>
              <w:rPr>
                <w:rFonts w:ascii="Calibri" w:hAnsi="Calibri"/>
                <w:color w:val="000000"/>
                <w:sz w:val="20"/>
                <w:szCs w:val="20"/>
              </w:rPr>
            </w:pPr>
            <w:r>
              <w:rPr>
                <w:rFonts w:ascii="Calibri" w:hAnsi="Calibri"/>
                <w:color w:val="000000"/>
                <w:sz w:val="20"/>
                <w:szCs w:val="20"/>
              </w:rPr>
              <w:t>32</w:t>
            </w:r>
          </w:p>
        </w:tc>
        <w:tc>
          <w:tcPr>
            <w:tcW w:w="649" w:type="pct"/>
            <w:shd w:val="clear" w:color="auto" w:fill="auto"/>
            <w:vAlign w:val="center"/>
          </w:tcPr>
          <w:p w:rsidR="0000273D" w:rsidRDefault="00B154B7" w:rsidP="00573DAD">
            <w:pPr>
              <w:keepNext/>
              <w:keepLines/>
              <w:spacing w:after="0"/>
              <w:jc w:val="right"/>
              <w:rPr>
                <w:rFonts w:ascii="Calibri" w:hAnsi="Calibri"/>
                <w:color w:val="000000"/>
                <w:sz w:val="20"/>
                <w:szCs w:val="20"/>
              </w:rPr>
            </w:pPr>
            <w:r>
              <w:rPr>
                <w:rFonts w:ascii="Calibri" w:hAnsi="Calibri"/>
                <w:color w:val="000000"/>
                <w:sz w:val="20"/>
                <w:szCs w:val="20"/>
              </w:rPr>
              <w:t>4</w:t>
            </w:r>
            <w:r w:rsidR="0000273D">
              <w:rPr>
                <w:rFonts w:ascii="Calibri" w:hAnsi="Calibri"/>
                <w:color w:val="000000"/>
                <w:sz w:val="20"/>
                <w:szCs w:val="20"/>
              </w:rPr>
              <w:t>%</w:t>
            </w:r>
          </w:p>
        </w:tc>
        <w:tc>
          <w:tcPr>
            <w:tcW w:w="547" w:type="pct"/>
            <w:shd w:val="clear" w:color="auto" w:fill="auto"/>
            <w:vAlign w:val="center"/>
          </w:tcPr>
          <w:p w:rsidR="0000273D" w:rsidRDefault="0000273D" w:rsidP="00573DAD">
            <w:pPr>
              <w:keepNext/>
              <w:keepLines/>
              <w:spacing w:after="0"/>
              <w:jc w:val="right"/>
              <w:rPr>
                <w:rFonts w:ascii="Calibri" w:hAnsi="Calibri"/>
                <w:color w:val="000000"/>
                <w:sz w:val="20"/>
                <w:szCs w:val="20"/>
              </w:rPr>
            </w:pPr>
            <w:r w:rsidRPr="0098042D">
              <w:t>±</w:t>
            </w:r>
            <w:r w:rsidR="00B154B7">
              <w:rPr>
                <w:rFonts w:ascii="Calibri" w:hAnsi="Calibri"/>
                <w:color w:val="000000"/>
                <w:sz w:val="20"/>
                <w:szCs w:val="20"/>
              </w:rPr>
              <w:t>58</w:t>
            </w:r>
            <w:r>
              <w:rPr>
                <w:rFonts w:ascii="Calibri" w:hAnsi="Calibri"/>
                <w:color w:val="000000"/>
                <w:sz w:val="20"/>
                <w:szCs w:val="20"/>
              </w:rPr>
              <w:t>%</w:t>
            </w:r>
          </w:p>
        </w:tc>
        <w:tc>
          <w:tcPr>
            <w:tcW w:w="527" w:type="pct"/>
            <w:shd w:val="clear" w:color="auto" w:fill="auto"/>
            <w:vAlign w:val="center"/>
          </w:tcPr>
          <w:p w:rsidR="0000273D" w:rsidRDefault="00B154B7" w:rsidP="00573DAD">
            <w:pPr>
              <w:keepNext/>
              <w:keepLines/>
              <w:spacing w:after="0"/>
              <w:jc w:val="right"/>
              <w:rPr>
                <w:rFonts w:ascii="Calibri" w:hAnsi="Calibri"/>
                <w:color w:val="000000"/>
                <w:sz w:val="20"/>
                <w:szCs w:val="20"/>
              </w:rPr>
            </w:pPr>
            <w:r>
              <w:rPr>
                <w:rFonts w:ascii="Calibri" w:hAnsi="Calibri"/>
                <w:color w:val="000000"/>
                <w:sz w:val="20"/>
                <w:szCs w:val="20"/>
              </w:rPr>
              <w:t>13</w:t>
            </w:r>
          </w:p>
        </w:tc>
        <w:tc>
          <w:tcPr>
            <w:tcW w:w="549" w:type="pct"/>
            <w:shd w:val="clear" w:color="auto" w:fill="auto"/>
            <w:vAlign w:val="center"/>
          </w:tcPr>
          <w:p w:rsidR="0000273D" w:rsidRDefault="00B154B7" w:rsidP="00573DAD">
            <w:pPr>
              <w:keepNext/>
              <w:keepLines/>
              <w:spacing w:after="0"/>
              <w:jc w:val="right"/>
              <w:rPr>
                <w:rFonts w:ascii="Calibri" w:hAnsi="Calibri"/>
                <w:color w:val="000000"/>
                <w:sz w:val="20"/>
                <w:szCs w:val="20"/>
              </w:rPr>
            </w:pPr>
            <w:r>
              <w:rPr>
                <w:rFonts w:ascii="Calibri" w:hAnsi="Calibri"/>
                <w:color w:val="000000"/>
                <w:sz w:val="20"/>
                <w:szCs w:val="20"/>
              </w:rPr>
              <w:t>51</w:t>
            </w:r>
          </w:p>
        </w:tc>
      </w:tr>
    </w:tbl>
    <w:p w:rsidR="00B154B7" w:rsidRPr="002068C8" w:rsidRDefault="00B154B7" w:rsidP="00573DAD">
      <w:pPr>
        <w:pStyle w:val="NormalAfterTablesandFigures"/>
        <w:keepNext/>
        <w:keepLines/>
        <w:rPr>
          <w:sz w:val="20"/>
          <w:szCs w:val="20"/>
          <w:highlight w:val="yellow"/>
        </w:rPr>
      </w:pPr>
      <w:r w:rsidRPr="002068C8">
        <w:rPr>
          <w:rFonts w:ascii="Calibri" w:eastAsia="Times New Roman" w:hAnsi="Calibri" w:cs="Times New Roman"/>
          <w:color w:val="000000"/>
          <w:sz w:val="20"/>
          <w:szCs w:val="20"/>
        </w:rPr>
        <w:t>*</w:t>
      </w:r>
      <w:r>
        <w:rPr>
          <w:rFonts w:ascii="Calibri" w:eastAsia="Times New Roman" w:hAnsi="Calibri" w:cs="Times New Roman"/>
          <w:color w:val="000000"/>
          <w:sz w:val="20"/>
          <w:szCs w:val="20"/>
        </w:rPr>
        <w:t>Smaller SP1/SP4 participant samples resulted in decreased model precision</w:t>
      </w:r>
      <w:r w:rsidRPr="002068C8">
        <w:rPr>
          <w:rFonts w:ascii="Calibri" w:eastAsia="Times New Roman" w:hAnsi="Calibri" w:cs="Times New Roman"/>
          <w:color w:val="000000"/>
          <w:sz w:val="20"/>
          <w:szCs w:val="20"/>
        </w:rPr>
        <w:t>.</w:t>
      </w:r>
    </w:p>
    <w:p w:rsidR="00B154B7" w:rsidRDefault="00B154B7" w:rsidP="00242751">
      <w:pPr>
        <w:pStyle w:val="NormalAfterTablesandFigures"/>
        <w:keepNext/>
        <w:keepLines/>
        <w:ind w:left="180" w:hanging="180"/>
        <w:rPr>
          <w:rFonts w:ascii="Calibri" w:eastAsia="Times New Roman" w:hAnsi="Calibri" w:cs="Times New Roman"/>
          <w:color w:val="000000"/>
          <w:sz w:val="20"/>
          <w:szCs w:val="20"/>
        </w:rPr>
      </w:pPr>
      <w:r w:rsidRPr="002068C8">
        <w:rPr>
          <w:rFonts w:ascii="Calibri" w:eastAsia="Times New Roman" w:hAnsi="Calibri" w:cs="Times New Roman"/>
          <w:color w:val="000000"/>
          <w:sz w:val="20"/>
          <w:szCs w:val="20"/>
        </w:rPr>
        <w:t>*</w:t>
      </w:r>
      <w:r>
        <w:rPr>
          <w:rFonts w:ascii="Calibri" w:eastAsia="Times New Roman" w:hAnsi="Calibri" w:cs="Times New Roman"/>
          <w:color w:val="000000"/>
          <w:sz w:val="20"/>
          <w:szCs w:val="20"/>
        </w:rPr>
        <w:t xml:space="preserve">*Due to insufficient sample sizes, the HES-IE SP2/SP3 comparison group </w:t>
      </w:r>
      <w:r w:rsidR="001769E8">
        <w:rPr>
          <w:rFonts w:ascii="Calibri" w:eastAsia="Times New Roman" w:hAnsi="Calibri" w:cs="Times New Roman"/>
          <w:color w:val="000000"/>
          <w:sz w:val="20"/>
          <w:szCs w:val="20"/>
        </w:rPr>
        <w:t xml:space="preserve">was </w:t>
      </w:r>
      <w:r>
        <w:rPr>
          <w:rFonts w:ascii="Calibri" w:eastAsia="Times New Roman" w:hAnsi="Calibri" w:cs="Times New Roman"/>
          <w:color w:val="000000"/>
          <w:sz w:val="20"/>
          <w:szCs w:val="20"/>
        </w:rPr>
        <w:t>used to control for exogenous effects</w:t>
      </w:r>
      <w:r w:rsidR="000E6E3C">
        <w:rPr>
          <w:rFonts w:ascii="Calibri" w:eastAsia="Times New Roman" w:hAnsi="Calibri" w:cs="Times New Roman"/>
          <w:color w:val="000000"/>
          <w:sz w:val="20"/>
          <w:szCs w:val="20"/>
        </w:rPr>
        <w:t xml:space="preserve"> and </w:t>
      </w:r>
      <w:r w:rsidR="001769E8">
        <w:rPr>
          <w:rFonts w:ascii="Calibri" w:eastAsia="Times New Roman" w:hAnsi="Calibri" w:cs="Times New Roman"/>
          <w:color w:val="000000"/>
          <w:sz w:val="20"/>
          <w:szCs w:val="20"/>
        </w:rPr>
        <w:t xml:space="preserve">should </w:t>
      </w:r>
      <w:r w:rsidR="002F1D9E">
        <w:rPr>
          <w:rFonts w:ascii="Calibri" w:eastAsia="Times New Roman" w:hAnsi="Calibri" w:cs="Times New Roman"/>
          <w:color w:val="000000"/>
          <w:sz w:val="20"/>
          <w:szCs w:val="20"/>
        </w:rPr>
        <w:t>represent</w:t>
      </w:r>
      <w:r w:rsidR="001769E8">
        <w:rPr>
          <w:rFonts w:ascii="Calibri" w:eastAsia="Times New Roman" w:hAnsi="Calibri" w:cs="Times New Roman"/>
          <w:color w:val="000000"/>
          <w:sz w:val="20"/>
          <w:szCs w:val="20"/>
        </w:rPr>
        <w:t xml:space="preserve"> an appropriate sample of nonparticipants for SP1 and SP4.</w:t>
      </w:r>
    </w:p>
    <w:p w:rsidR="001769E8" w:rsidRPr="002068C8" w:rsidRDefault="001769E8" w:rsidP="00B154B7">
      <w:pPr>
        <w:pStyle w:val="NormalAfterTablesandFigures"/>
        <w:rPr>
          <w:sz w:val="20"/>
          <w:szCs w:val="20"/>
          <w:highlight w:val="yellow"/>
        </w:rPr>
      </w:pPr>
    </w:p>
    <w:p w:rsidR="0000273D" w:rsidRPr="00A46C81" w:rsidRDefault="0000273D" w:rsidP="002068C8">
      <w:r w:rsidRPr="00A46C81">
        <w:lastRenderedPageBreak/>
        <w:t xml:space="preserve">Participants achieved estimated gross energy savings of </w:t>
      </w:r>
      <w:r>
        <w:t>97</w:t>
      </w:r>
      <w:r w:rsidRPr="00A46C81">
        <w:t xml:space="preserve"> CCF</w:t>
      </w:r>
      <w:r>
        <w:t xml:space="preserve"> for SP1 and 43 CCF for SP4</w:t>
      </w:r>
      <w:r w:rsidRPr="00A46C81">
        <w:t xml:space="preserve">. A decrease in gas usage in the comparison group resulted in an adjusted gross savings estimate of </w:t>
      </w:r>
      <w:r w:rsidR="001769E8">
        <w:t>82</w:t>
      </w:r>
      <w:r>
        <w:t xml:space="preserve"> CCF for SP1 and </w:t>
      </w:r>
      <w:r w:rsidR="001769E8">
        <w:t>32</w:t>
      </w:r>
      <w:r>
        <w:t xml:space="preserve"> CCF for SP4</w:t>
      </w:r>
      <w:r w:rsidRPr="00A46C81">
        <w:t>.</w:t>
      </w:r>
    </w:p>
    <w:p w:rsidR="0000273D" w:rsidRPr="00783F84" w:rsidRDefault="002506E1" w:rsidP="002068C8">
      <w:pPr>
        <w:rPr>
          <w:highlight w:val="yellow"/>
        </w:rPr>
      </w:pPr>
      <w:r>
        <w:fldChar w:fldCharType="begin"/>
      </w:r>
      <w:r>
        <w:instrText xml:space="preserve"> REF _Ref382989688 \h  \* MERGEFORMAT </w:instrText>
      </w:r>
      <w:r>
        <w:fldChar w:fldCharType="separate"/>
      </w:r>
      <w:r w:rsidR="00CD20CF" w:rsidRPr="00A46C81">
        <w:t xml:space="preserve">Table </w:t>
      </w:r>
      <w:r w:rsidR="00CD20CF">
        <w:rPr>
          <w:noProof/>
        </w:rPr>
        <w:t>76</w:t>
      </w:r>
      <w:r>
        <w:fldChar w:fldCharType="end"/>
      </w:r>
      <w:r w:rsidR="0000273D" w:rsidRPr="00A46C81">
        <w:t xml:space="preserve"> presents additional</w:t>
      </w:r>
      <w:r w:rsidR="00032C95">
        <w:t>,</w:t>
      </w:r>
      <w:r w:rsidR="0000273D" w:rsidRPr="00A46C81">
        <w:t xml:space="preserve"> utility-specific models that disaggregate the overall HES</w:t>
      </w:r>
      <w:r w:rsidR="0000273D">
        <w:t xml:space="preserve">-IE SP1 and SP4 </w:t>
      </w:r>
      <w:r w:rsidR="0000273D" w:rsidRPr="00A46C81">
        <w:t xml:space="preserve">results </w:t>
      </w:r>
      <w:r w:rsidR="000E6E3C">
        <w:t>(</w:t>
      </w:r>
      <w:r w:rsidR="0000273D" w:rsidRPr="00A46C81">
        <w:t>shown above</w:t>
      </w:r>
      <w:r w:rsidR="000E6E3C">
        <w:t>)</w:t>
      </w:r>
      <w:r w:rsidR="0000273D" w:rsidRPr="00A46C81">
        <w:t xml:space="preserve"> for the participant, comparison group, and adjusted gross savings estimates.</w:t>
      </w:r>
    </w:p>
    <w:p w:rsidR="0000273D" w:rsidRDefault="0000273D" w:rsidP="001B48EB">
      <w:pPr>
        <w:pStyle w:val="Caption"/>
      </w:pPr>
      <w:bookmarkStart w:id="130" w:name="_Ref382989688"/>
      <w:r w:rsidRPr="00A46C81">
        <w:t xml:space="preserve">Table </w:t>
      </w:r>
      <w:r w:rsidR="002506E1">
        <w:fldChar w:fldCharType="begin"/>
      </w:r>
      <w:r w:rsidR="002506E1">
        <w:instrText xml:space="preserve"> SEQ Table \* ARABIC </w:instrText>
      </w:r>
      <w:r w:rsidR="002506E1">
        <w:fldChar w:fldCharType="separate"/>
      </w:r>
      <w:r w:rsidR="00CD20CF">
        <w:rPr>
          <w:noProof/>
        </w:rPr>
        <w:t>76</w:t>
      </w:r>
      <w:r w:rsidR="002506E1">
        <w:rPr>
          <w:noProof/>
        </w:rPr>
        <w:fldChar w:fldCharType="end"/>
      </w:r>
      <w:bookmarkEnd w:id="130"/>
      <w:r w:rsidRPr="00A46C81">
        <w:t xml:space="preserve">. HES-IE </w:t>
      </w:r>
      <w:r>
        <w:t xml:space="preserve">SP1 and SP4 </w:t>
      </w:r>
      <w:r w:rsidRPr="00A46C81">
        <w:t>Natural Gas Billing Analysis: Savings Summary, by Utility</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47"/>
        <w:gridCol w:w="1330"/>
        <w:gridCol w:w="1061"/>
        <w:gridCol w:w="1061"/>
        <w:gridCol w:w="1151"/>
        <w:gridCol w:w="1188"/>
        <w:gridCol w:w="1243"/>
        <w:gridCol w:w="1195"/>
      </w:tblGrid>
      <w:tr w:rsidR="00143CFF" w:rsidRPr="00143CFF" w:rsidTr="00242751">
        <w:tc>
          <w:tcPr>
            <w:tcW w:w="714" w:type="pct"/>
            <w:shd w:val="clear" w:color="000000" w:fill="005DAA"/>
            <w:vAlign w:val="center"/>
            <w:hideMark/>
          </w:tcPr>
          <w:p w:rsidR="00143CFF" w:rsidRPr="00143CFF" w:rsidRDefault="00143CFF" w:rsidP="00242751">
            <w:pPr>
              <w:keepNext/>
              <w:keepLines/>
              <w:spacing w:after="0"/>
              <w:jc w:val="center"/>
              <w:rPr>
                <w:rFonts w:ascii="Calibri" w:eastAsia="Times New Roman" w:hAnsi="Calibri" w:cs="Times New Roman"/>
                <w:b/>
                <w:bCs/>
                <w:color w:val="FFFFFF"/>
              </w:rPr>
            </w:pPr>
            <w:r w:rsidRPr="00143CFF">
              <w:rPr>
                <w:rFonts w:ascii="Calibri" w:eastAsia="Times New Roman" w:hAnsi="Calibri" w:cs="Times New Roman"/>
                <w:b/>
                <w:bCs/>
                <w:color w:val="FFFFFF"/>
              </w:rPr>
              <w:t>HES-IE Subprogram</w:t>
            </w:r>
          </w:p>
        </w:tc>
        <w:tc>
          <w:tcPr>
            <w:tcW w:w="705" w:type="pct"/>
            <w:shd w:val="clear" w:color="000000" w:fill="005DAA"/>
            <w:vAlign w:val="center"/>
            <w:hideMark/>
          </w:tcPr>
          <w:p w:rsidR="00143CFF" w:rsidRPr="00143CFF" w:rsidRDefault="00143CFF" w:rsidP="00242751">
            <w:pPr>
              <w:keepNext/>
              <w:keepLines/>
              <w:spacing w:after="0"/>
              <w:jc w:val="center"/>
              <w:rPr>
                <w:rFonts w:ascii="Calibri" w:eastAsia="Times New Roman" w:hAnsi="Calibri" w:cs="Times New Roman"/>
                <w:b/>
                <w:bCs/>
                <w:color w:val="FFFFFF"/>
              </w:rPr>
            </w:pPr>
            <w:r w:rsidRPr="00143CFF">
              <w:rPr>
                <w:rFonts w:ascii="Calibri" w:eastAsia="Times New Roman" w:hAnsi="Calibri" w:cs="Times New Roman"/>
                <w:b/>
                <w:bCs/>
                <w:color w:val="FFFFFF"/>
              </w:rPr>
              <w:t>Group</w:t>
            </w:r>
          </w:p>
        </w:tc>
        <w:tc>
          <w:tcPr>
            <w:tcW w:w="564" w:type="pct"/>
            <w:shd w:val="clear" w:color="000000" w:fill="005DAA"/>
            <w:vAlign w:val="center"/>
            <w:hideMark/>
          </w:tcPr>
          <w:p w:rsidR="00143CFF" w:rsidRPr="00143CFF" w:rsidRDefault="00143CFF" w:rsidP="00242751">
            <w:pPr>
              <w:keepNext/>
              <w:keepLines/>
              <w:spacing w:after="0"/>
              <w:jc w:val="center"/>
              <w:rPr>
                <w:rFonts w:ascii="Calibri" w:eastAsia="Times New Roman" w:hAnsi="Calibri" w:cs="Times New Roman"/>
                <w:b/>
                <w:bCs/>
                <w:color w:val="FFFFFF"/>
              </w:rPr>
            </w:pPr>
            <w:r w:rsidRPr="00143CFF">
              <w:rPr>
                <w:rFonts w:ascii="Calibri" w:eastAsia="Times New Roman" w:hAnsi="Calibri" w:cs="Times New Roman"/>
                <w:b/>
                <w:bCs/>
                <w:color w:val="FFFFFF"/>
              </w:rPr>
              <w:t>Utility</w:t>
            </w:r>
          </w:p>
        </w:tc>
        <w:tc>
          <w:tcPr>
            <w:tcW w:w="564" w:type="pct"/>
            <w:shd w:val="clear" w:color="000000" w:fill="005DAA"/>
            <w:vAlign w:val="center"/>
            <w:hideMark/>
          </w:tcPr>
          <w:p w:rsidR="00143CFF" w:rsidRPr="00143CFF" w:rsidRDefault="00143CFF" w:rsidP="00242751">
            <w:pPr>
              <w:keepNext/>
              <w:keepLines/>
              <w:spacing w:after="0"/>
              <w:jc w:val="center"/>
              <w:rPr>
                <w:rFonts w:ascii="Calibri" w:eastAsia="Times New Roman" w:hAnsi="Calibri" w:cs="Times New Roman"/>
                <w:b/>
                <w:bCs/>
                <w:color w:val="FFFFFF"/>
              </w:rPr>
            </w:pPr>
            <w:r w:rsidRPr="00143CFF">
              <w:rPr>
                <w:rFonts w:ascii="Calibri" w:eastAsia="Times New Roman" w:hAnsi="Calibri" w:cs="Times New Roman"/>
                <w:b/>
                <w:bCs/>
                <w:color w:val="FFFFFF"/>
              </w:rPr>
              <w:t>n</w:t>
            </w:r>
          </w:p>
        </w:tc>
        <w:tc>
          <w:tcPr>
            <w:tcW w:w="611" w:type="pct"/>
            <w:shd w:val="clear" w:color="000000" w:fill="005DAA"/>
            <w:vAlign w:val="center"/>
            <w:hideMark/>
          </w:tcPr>
          <w:p w:rsidR="00143CFF" w:rsidRPr="00143CFF" w:rsidRDefault="00140FD2" w:rsidP="00242751">
            <w:pPr>
              <w:keepNext/>
              <w:keepLines/>
              <w:spacing w:after="0"/>
              <w:jc w:val="center"/>
              <w:rPr>
                <w:rFonts w:ascii="Calibri" w:eastAsia="Times New Roman" w:hAnsi="Calibri" w:cs="Times New Roman"/>
                <w:b/>
                <w:bCs/>
                <w:color w:val="FFFFFF"/>
              </w:rPr>
            </w:pPr>
            <w:r>
              <w:rPr>
                <w:rFonts w:ascii="Calibri" w:eastAsia="Times New Roman" w:hAnsi="Calibri" w:cs="Times New Roman"/>
                <w:b/>
                <w:bCs/>
                <w:color w:val="FFFFFF"/>
              </w:rPr>
              <w:t>PRENAC</w:t>
            </w:r>
          </w:p>
        </w:tc>
        <w:tc>
          <w:tcPr>
            <w:tcW w:w="630" w:type="pct"/>
            <w:shd w:val="clear" w:color="000000" w:fill="005DAA"/>
            <w:vAlign w:val="center"/>
            <w:hideMark/>
          </w:tcPr>
          <w:p w:rsidR="00143CFF" w:rsidRPr="00143CFF" w:rsidRDefault="00143CFF" w:rsidP="00242751">
            <w:pPr>
              <w:keepNext/>
              <w:keepLines/>
              <w:spacing w:after="0"/>
              <w:jc w:val="center"/>
              <w:rPr>
                <w:rFonts w:ascii="Calibri" w:eastAsia="Times New Roman" w:hAnsi="Calibri" w:cs="Times New Roman"/>
                <w:b/>
                <w:bCs/>
                <w:color w:val="FFFFFF"/>
              </w:rPr>
            </w:pPr>
            <w:r w:rsidRPr="00143CFF">
              <w:rPr>
                <w:rFonts w:ascii="Calibri" w:eastAsia="Times New Roman" w:hAnsi="Calibri" w:cs="Times New Roman"/>
                <w:b/>
                <w:bCs/>
                <w:color w:val="FFFFFF"/>
              </w:rPr>
              <w:t>Model Savings (CCF)</w:t>
            </w:r>
          </w:p>
        </w:tc>
        <w:tc>
          <w:tcPr>
            <w:tcW w:w="578" w:type="pct"/>
            <w:shd w:val="clear" w:color="000000" w:fill="005DAA"/>
            <w:vAlign w:val="center"/>
            <w:hideMark/>
          </w:tcPr>
          <w:p w:rsidR="00143CFF" w:rsidRPr="00143CFF" w:rsidRDefault="00143CFF" w:rsidP="00242751">
            <w:pPr>
              <w:keepNext/>
              <w:keepLines/>
              <w:spacing w:after="0"/>
              <w:jc w:val="center"/>
              <w:rPr>
                <w:rFonts w:ascii="Calibri" w:eastAsia="Times New Roman" w:hAnsi="Calibri" w:cs="Times New Roman"/>
                <w:b/>
                <w:bCs/>
                <w:color w:val="FFFFFF"/>
              </w:rPr>
            </w:pPr>
            <w:r w:rsidRPr="00143CFF">
              <w:rPr>
                <w:rFonts w:ascii="Calibri" w:eastAsia="Times New Roman" w:hAnsi="Calibri" w:cs="Times New Roman"/>
                <w:b/>
                <w:bCs/>
                <w:color w:val="FFFFFF"/>
              </w:rPr>
              <w:t>Savings as Percent</w:t>
            </w:r>
            <w:r w:rsidR="00140FD2">
              <w:rPr>
                <w:rFonts w:ascii="Calibri" w:eastAsia="Times New Roman" w:hAnsi="Calibri" w:cs="Times New Roman"/>
                <w:b/>
                <w:bCs/>
                <w:color w:val="FFFFFF"/>
              </w:rPr>
              <w:t>age</w:t>
            </w:r>
            <w:r w:rsidRPr="00143CFF">
              <w:rPr>
                <w:rFonts w:ascii="Calibri" w:eastAsia="Times New Roman" w:hAnsi="Calibri" w:cs="Times New Roman"/>
                <w:b/>
                <w:bCs/>
                <w:color w:val="FFFFFF"/>
              </w:rPr>
              <w:t xml:space="preserve"> of Pre-Usage</w:t>
            </w:r>
          </w:p>
        </w:tc>
        <w:tc>
          <w:tcPr>
            <w:tcW w:w="634" w:type="pct"/>
            <w:shd w:val="clear" w:color="000000" w:fill="005DAA"/>
            <w:vAlign w:val="center"/>
            <w:hideMark/>
          </w:tcPr>
          <w:p w:rsidR="00143CFF" w:rsidRPr="00143CFF" w:rsidRDefault="00143CFF" w:rsidP="00242751">
            <w:pPr>
              <w:keepNext/>
              <w:keepLines/>
              <w:spacing w:after="0"/>
              <w:jc w:val="center"/>
              <w:rPr>
                <w:rFonts w:ascii="Calibri" w:eastAsia="Times New Roman" w:hAnsi="Calibri" w:cs="Times New Roman"/>
                <w:b/>
                <w:bCs/>
                <w:color w:val="FFFFFF"/>
              </w:rPr>
            </w:pPr>
            <w:r w:rsidRPr="00143CFF">
              <w:rPr>
                <w:rFonts w:ascii="Calibri" w:eastAsia="Times New Roman" w:hAnsi="Calibri" w:cs="Times New Roman"/>
                <w:b/>
                <w:bCs/>
                <w:color w:val="FFFFFF"/>
              </w:rPr>
              <w:t xml:space="preserve">Relative Precision </w:t>
            </w:r>
            <w:r w:rsidR="00140FD2">
              <w:rPr>
                <w:rFonts w:ascii="Calibri" w:eastAsia="Times New Roman" w:hAnsi="Calibri" w:cs="Times New Roman"/>
                <w:b/>
                <w:bCs/>
                <w:color w:val="FFFFFF"/>
              </w:rPr>
              <w:t xml:space="preserve">at </w:t>
            </w:r>
            <w:r w:rsidRPr="00143CFF">
              <w:rPr>
                <w:rFonts w:ascii="Calibri" w:eastAsia="Times New Roman" w:hAnsi="Calibri" w:cs="Times New Roman"/>
                <w:b/>
                <w:bCs/>
                <w:color w:val="FFFFFF"/>
              </w:rPr>
              <w:t>90%</w:t>
            </w:r>
          </w:p>
        </w:tc>
      </w:tr>
      <w:tr w:rsidR="00143CFF" w:rsidRPr="00143CFF" w:rsidTr="00242751">
        <w:tc>
          <w:tcPr>
            <w:tcW w:w="714" w:type="pct"/>
            <w:vMerge w:val="restart"/>
            <w:shd w:val="clear" w:color="auto" w:fill="auto"/>
            <w:vAlign w:val="center"/>
            <w:hideMark/>
          </w:tcPr>
          <w:p w:rsidR="00143CFF" w:rsidRPr="00143CFF" w:rsidRDefault="00143CFF" w:rsidP="00242751">
            <w:pPr>
              <w:keepNext/>
              <w:keepLines/>
              <w:spacing w:after="0"/>
              <w:jc w:val="center"/>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SP1</w:t>
            </w:r>
          </w:p>
        </w:tc>
        <w:tc>
          <w:tcPr>
            <w:tcW w:w="705" w:type="pct"/>
            <w:vMerge w:val="restart"/>
            <w:shd w:val="clear" w:color="auto" w:fill="auto"/>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Participant</w:t>
            </w:r>
          </w:p>
        </w:tc>
        <w:tc>
          <w:tcPr>
            <w:tcW w:w="564" w:type="pct"/>
            <w:shd w:val="clear" w:color="auto" w:fill="auto"/>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CNG</w:t>
            </w:r>
          </w:p>
        </w:tc>
        <w:tc>
          <w:tcPr>
            <w:tcW w:w="56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130</w:t>
            </w:r>
          </w:p>
        </w:tc>
        <w:tc>
          <w:tcPr>
            <w:tcW w:w="611"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1,060</w:t>
            </w:r>
          </w:p>
        </w:tc>
        <w:tc>
          <w:tcPr>
            <w:tcW w:w="630"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108</w:t>
            </w:r>
          </w:p>
        </w:tc>
        <w:tc>
          <w:tcPr>
            <w:tcW w:w="578"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10%</w:t>
            </w:r>
          </w:p>
        </w:tc>
        <w:tc>
          <w:tcPr>
            <w:tcW w:w="63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2068C8">
              <w:rPr>
                <w:sz w:val="20"/>
                <w:szCs w:val="20"/>
              </w:rPr>
              <w:t>±</w:t>
            </w:r>
            <w:r w:rsidRPr="00143CFF">
              <w:rPr>
                <w:rFonts w:ascii="Calibri" w:eastAsia="Times New Roman" w:hAnsi="Calibri" w:cs="Times New Roman"/>
                <w:color w:val="000000"/>
                <w:sz w:val="20"/>
                <w:szCs w:val="20"/>
              </w:rPr>
              <w:t>19%</w:t>
            </w:r>
          </w:p>
        </w:tc>
      </w:tr>
      <w:tr w:rsidR="00143CFF" w:rsidRPr="00143CFF" w:rsidTr="00242751">
        <w:tc>
          <w:tcPr>
            <w:tcW w:w="714" w:type="pct"/>
            <w:vMerge/>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p>
        </w:tc>
        <w:tc>
          <w:tcPr>
            <w:tcW w:w="705" w:type="pct"/>
            <w:vMerge/>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p>
        </w:tc>
        <w:tc>
          <w:tcPr>
            <w:tcW w:w="564" w:type="pct"/>
            <w:shd w:val="clear" w:color="auto" w:fill="auto"/>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YGS</w:t>
            </w:r>
          </w:p>
        </w:tc>
        <w:tc>
          <w:tcPr>
            <w:tcW w:w="56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101</w:t>
            </w:r>
          </w:p>
        </w:tc>
        <w:tc>
          <w:tcPr>
            <w:tcW w:w="611"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943</w:t>
            </w:r>
          </w:p>
        </w:tc>
        <w:tc>
          <w:tcPr>
            <w:tcW w:w="630"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82</w:t>
            </w:r>
          </w:p>
        </w:tc>
        <w:tc>
          <w:tcPr>
            <w:tcW w:w="578"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9%</w:t>
            </w:r>
          </w:p>
        </w:tc>
        <w:tc>
          <w:tcPr>
            <w:tcW w:w="63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2068C8">
              <w:rPr>
                <w:sz w:val="20"/>
                <w:szCs w:val="20"/>
              </w:rPr>
              <w:t>±</w:t>
            </w:r>
            <w:r w:rsidRPr="00143CFF">
              <w:rPr>
                <w:rFonts w:ascii="Calibri" w:eastAsia="Times New Roman" w:hAnsi="Calibri" w:cs="Times New Roman"/>
                <w:color w:val="000000"/>
                <w:sz w:val="20"/>
                <w:szCs w:val="20"/>
              </w:rPr>
              <w:t>22%</w:t>
            </w:r>
          </w:p>
        </w:tc>
      </w:tr>
      <w:tr w:rsidR="00143CFF" w:rsidRPr="00143CFF" w:rsidTr="00242751">
        <w:tc>
          <w:tcPr>
            <w:tcW w:w="714" w:type="pct"/>
            <w:vMerge/>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p>
        </w:tc>
        <w:tc>
          <w:tcPr>
            <w:tcW w:w="705" w:type="pct"/>
            <w:vMerge/>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p>
        </w:tc>
        <w:tc>
          <w:tcPr>
            <w:tcW w:w="564" w:type="pct"/>
            <w:shd w:val="clear" w:color="auto" w:fill="auto"/>
            <w:vAlign w:val="center"/>
            <w:hideMark/>
          </w:tcPr>
          <w:p w:rsidR="00143CFF" w:rsidRPr="00143CFF" w:rsidRDefault="00143CFF" w:rsidP="00242751">
            <w:pPr>
              <w:keepNext/>
              <w:keepLines/>
              <w:spacing w:after="0"/>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Overall</w:t>
            </w:r>
          </w:p>
        </w:tc>
        <w:tc>
          <w:tcPr>
            <w:tcW w:w="56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b/>
                <w:bCs/>
                <w:color w:val="005DAA"/>
                <w:sz w:val="20"/>
                <w:szCs w:val="20"/>
              </w:rPr>
            </w:pPr>
            <w:r>
              <w:rPr>
                <w:rFonts w:ascii="Calibri" w:eastAsia="Times New Roman" w:hAnsi="Calibri" w:cs="Times New Roman"/>
                <w:b/>
                <w:bCs/>
                <w:color w:val="005DAA"/>
                <w:sz w:val="20"/>
                <w:szCs w:val="20"/>
              </w:rPr>
              <w:t>231</w:t>
            </w:r>
          </w:p>
        </w:tc>
        <w:tc>
          <w:tcPr>
            <w:tcW w:w="611"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1,006</w:t>
            </w:r>
          </w:p>
        </w:tc>
        <w:tc>
          <w:tcPr>
            <w:tcW w:w="630"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97</w:t>
            </w:r>
          </w:p>
        </w:tc>
        <w:tc>
          <w:tcPr>
            <w:tcW w:w="578"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10%</w:t>
            </w:r>
          </w:p>
        </w:tc>
        <w:tc>
          <w:tcPr>
            <w:tcW w:w="63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±15%</w:t>
            </w:r>
          </w:p>
        </w:tc>
      </w:tr>
      <w:tr w:rsidR="00143CFF" w:rsidRPr="00143CFF" w:rsidTr="00242751">
        <w:tc>
          <w:tcPr>
            <w:tcW w:w="714" w:type="pct"/>
            <w:vMerge/>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p>
        </w:tc>
        <w:tc>
          <w:tcPr>
            <w:tcW w:w="705" w:type="pct"/>
            <w:vMerge w:val="restart"/>
            <w:shd w:val="clear" w:color="auto" w:fill="auto"/>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Comparison</w:t>
            </w:r>
          </w:p>
        </w:tc>
        <w:tc>
          <w:tcPr>
            <w:tcW w:w="564" w:type="pct"/>
            <w:shd w:val="clear" w:color="auto" w:fill="auto"/>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CNG</w:t>
            </w:r>
          </w:p>
        </w:tc>
        <w:tc>
          <w:tcPr>
            <w:tcW w:w="56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223</w:t>
            </w:r>
          </w:p>
        </w:tc>
        <w:tc>
          <w:tcPr>
            <w:tcW w:w="611"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981</w:t>
            </w:r>
          </w:p>
        </w:tc>
        <w:tc>
          <w:tcPr>
            <w:tcW w:w="630"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23</w:t>
            </w:r>
          </w:p>
        </w:tc>
        <w:tc>
          <w:tcPr>
            <w:tcW w:w="578"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2%</w:t>
            </w:r>
          </w:p>
        </w:tc>
        <w:tc>
          <w:tcPr>
            <w:tcW w:w="63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2068C8">
              <w:rPr>
                <w:sz w:val="20"/>
                <w:szCs w:val="20"/>
              </w:rPr>
              <w:t>±</w:t>
            </w:r>
            <w:r w:rsidRPr="00143CFF">
              <w:rPr>
                <w:rFonts w:ascii="Calibri" w:eastAsia="Times New Roman" w:hAnsi="Calibri" w:cs="Times New Roman"/>
                <w:color w:val="000000"/>
                <w:sz w:val="20"/>
                <w:szCs w:val="20"/>
              </w:rPr>
              <w:t>62%</w:t>
            </w:r>
          </w:p>
        </w:tc>
      </w:tr>
      <w:tr w:rsidR="00143CFF" w:rsidRPr="00143CFF" w:rsidTr="00242751">
        <w:tc>
          <w:tcPr>
            <w:tcW w:w="714" w:type="pct"/>
            <w:vMerge/>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p>
        </w:tc>
        <w:tc>
          <w:tcPr>
            <w:tcW w:w="705" w:type="pct"/>
            <w:vMerge/>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p>
        </w:tc>
        <w:tc>
          <w:tcPr>
            <w:tcW w:w="564" w:type="pct"/>
            <w:shd w:val="clear" w:color="auto" w:fill="auto"/>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YGS</w:t>
            </w:r>
          </w:p>
        </w:tc>
        <w:tc>
          <w:tcPr>
            <w:tcW w:w="56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188</w:t>
            </w:r>
          </w:p>
        </w:tc>
        <w:tc>
          <w:tcPr>
            <w:tcW w:w="611"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756</w:t>
            </w:r>
          </w:p>
        </w:tc>
        <w:tc>
          <w:tcPr>
            <w:tcW w:w="630"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18</w:t>
            </w:r>
          </w:p>
        </w:tc>
        <w:tc>
          <w:tcPr>
            <w:tcW w:w="578"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2%</w:t>
            </w:r>
          </w:p>
        </w:tc>
        <w:tc>
          <w:tcPr>
            <w:tcW w:w="63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2068C8">
              <w:rPr>
                <w:sz w:val="20"/>
                <w:szCs w:val="20"/>
              </w:rPr>
              <w:t>±</w:t>
            </w:r>
            <w:r w:rsidRPr="00143CFF">
              <w:rPr>
                <w:rFonts w:ascii="Calibri" w:eastAsia="Times New Roman" w:hAnsi="Calibri" w:cs="Times New Roman"/>
                <w:color w:val="000000"/>
                <w:sz w:val="20"/>
                <w:szCs w:val="20"/>
              </w:rPr>
              <w:t>76%</w:t>
            </w:r>
          </w:p>
        </w:tc>
      </w:tr>
      <w:tr w:rsidR="00143CFF" w:rsidRPr="00143CFF" w:rsidTr="00242751">
        <w:tc>
          <w:tcPr>
            <w:tcW w:w="714" w:type="pct"/>
            <w:vMerge/>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p>
        </w:tc>
        <w:tc>
          <w:tcPr>
            <w:tcW w:w="705" w:type="pct"/>
            <w:vMerge/>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p>
        </w:tc>
        <w:tc>
          <w:tcPr>
            <w:tcW w:w="564" w:type="pct"/>
            <w:shd w:val="clear" w:color="auto" w:fill="auto"/>
            <w:vAlign w:val="center"/>
            <w:hideMark/>
          </w:tcPr>
          <w:p w:rsidR="00143CFF" w:rsidRPr="00143CFF" w:rsidRDefault="00143CFF" w:rsidP="00242751">
            <w:pPr>
              <w:keepNext/>
              <w:keepLines/>
              <w:spacing w:after="0"/>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Overall</w:t>
            </w:r>
            <w:r w:rsidR="00140FD2">
              <w:rPr>
                <w:rFonts w:ascii="Calibri" w:eastAsia="Times New Roman" w:hAnsi="Calibri" w:cs="Times New Roman"/>
                <w:b/>
                <w:bCs/>
                <w:color w:val="005DAA"/>
                <w:sz w:val="20"/>
                <w:szCs w:val="20"/>
              </w:rPr>
              <w:t>*</w:t>
            </w:r>
          </w:p>
        </w:tc>
        <w:tc>
          <w:tcPr>
            <w:tcW w:w="56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b/>
                <w:bCs/>
                <w:color w:val="005DAA"/>
                <w:sz w:val="20"/>
                <w:szCs w:val="20"/>
              </w:rPr>
            </w:pPr>
            <w:r>
              <w:rPr>
                <w:rFonts w:ascii="Calibri" w:eastAsia="Times New Roman" w:hAnsi="Calibri" w:cs="Times New Roman"/>
                <w:b/>
                <w:bCs/>
                <w:color w:val="005DAA"/>
                <w:sz w:val="20"/>
                <w:szCs w:val="20"/>
              </w:rPr>
              <w:t>642</w:t>
            </w:r>
          </w:p>
        </w:tc>
        <w:tc>
          <w:tcPr>
            <w:tcW w:w="611"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873</w:t>
            </w:r>
          </w:p>
        </w:tc>
        <w:tc>
          <w:tcPr>
            <w:tcW w:w="630"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13</w:t>
            </w:r>
          </w:p>
        </w:tc>
        <w:tc>
          <w:tcPr>
            <w:tcW w:w="578"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1%</w:t>
            </w:r>
          </w:p>
        </w:tc>
        <w:tc>
          <w:tcPr>
            <w:tcW w:w="63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±62%</w:t>
            </w:r>
          </w:p>
        </w:tc>
      </w:tr>
      <w:tr w:rsidR="00143CFF" w:rsidRPr="00143CFF" w:rsidTr="00242751">
        <w:tc>
          <w:tcPr>
            <w:tcW w:w="714" w:type="pct"/>
            <w:vMerge/>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p>
        </w:tc>
        <w:tc>
          <w:tcPr>
            <w:tcW w:w="705" w:type="pct"/>
            <w:vMerge w:val="restart"/>
            <w:shd w:val="clear" w:color="auto" w:fill="auto"/>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Adjusted Gross</w:t>
            </w:r>
          </w:p>
        </w:tc>
        <w:tc>
          <w:tcPr>
            <w:tcW w:w="564" w:type="pct"/>
            <w:shd w:val="clear" w:color="auto" w:fill="auto"/>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CNG</w:t>
            </w:r>
          </w:p>
        </w:tc>
        <w:tc>
          <w:tcPr>
            <w:tcW w:w="56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130</w:t>
            </w:r>
          </w:p>
        </w:tc>
        <w:tc>
          <w:tcPr>
            <w:tcW w:w="611"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1,060</w:t>
            </w:r>
          </w:p>
        </w:tc>
        <w:tc>
          <w:tcPr>
            <w:tcW w:w="630"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84</w:t>
            </w:r>
          </w:p>
        </w:tc>
        <w:tc>
          <w:tcPr>
            <w:tcW w:w="578"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8%</w:t>
            </w:r>
          </w:p>
        </w:tc>
        <w:tc>
          <w:tcPr>
            <w:tcW w:w="63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2068C8">
              <w:rPr>
                <w:sz w:val="20"/>
                <w:szCs w:val="20"/>
              </w:rPr>
              <w:t>±</w:t>
            </w:r>
            <w:r w:rsidRPr="00143CFF">
              <w:rPr>
                <w:rFonts w:ascii="Calibri" w:eastAsia="Times New Roman" w:hAnsi="Calibri" w:cs="Times New Roman"/>
                <w:color w:val="000000"/>
                <w:sz w:val="20"/>
                <w:szCs w:val="20"/>
              </w:rPr>
              <w:t>30%</w:t>
            </w:r>
          </w:p>
        </w:tc>
      </w:tr>
      <w:tr w:rsidR="00143CFF" w:rsidRPr="00143CFF" w:rsidTr="00242751">
        <w:tc>
          <w:tcPr>
            <w:tcW w:w="714" w:type="pct"/>
            <w:vMerge/>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p>
        </w:tc>
        <w:tc>
          <w:tcPr>
            <w:tcW w:w="705" w:type="pct"/>
            <w:vMerge/>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p>
        </w:tc>
        <w:tc>
          <w:tcPr>
            <w:tcW w:w="564" w:type="pct"/>
            <w:shd w:val="clear" w:color="auto" w:fill="auto"/>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YGS</w:t>
            </w:r>
          </w:p>
        </w:tc>
        <w:tc>
          <w:tcPr>
            <w:tcW w:w="56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101</w:t>
            </w:r>
          </w:p>
        </w:tc>
        <w:tc>
          <w:tcPr>
            <w:tcW w:w="611"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943</w:t>
            </w:r>
          </w:p>
        </w:tc>
        <w:tc>
          <w:tcPr>
            <w:tcW w:w="630"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60</w:t>
            </w:r>
          </w:p>
        </w:tc>
        <w:tc>
          <w:tcPr>
            <w:tcW w:w="578"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6%</w:t>
            </w:r>
          </w:p>
        </w:tc>
        <w:tc>
          <w:tcPr>
            <w:tcW w:w="63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2068C8">
              <w:rPr>
                <w:sz w:val="20"/>
                <w:szCs w:val="20"/>
              </w:rPr>
              <w:t>±</w:t>
            </w:r>
            <w:r w:rsidRPr="00143CFF">
              <w:rPr>
                <w:rFonts w:ascii="Calibri" w:eastAsia="Times New Roman" w:hAnsi="Calibri" w:cs="Times New Roman"/>
                <w:color w:val="000000"/>
                <w:sz w:val="20"/>
                <w:szCs w:val="20"/>
              </w:rPr>
              <w:t>38%</w:t>
            </w:r>
          </w:p>
        </w:tc>
      </w:tr>
      <w:tr w:rsidR="00143CFF" w:rsidRPr="00143CFF" w:rsidTr="00242751">
        <w:tc>
          <w:tcPr>
            <w:tcW w:w="714" w:type="pct"/>
            <w:vMerge/>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p>
        </w:tc>
        <w:tc>
          <w:tcPr>
            <w:tcW w:w="705" w:type="pct"/>
            <w:vMerge/>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p>
        </w:tc>
        <w:tc>
          <w:tcPr>
            <w:tcW w:w="564" w:type="pct"/>
            <w:shd w:val="clear" w:color="auto" w:fill="auto"/>
            <w:vAlign w:val="center"/>
            <w:hideMark/>
          </w:tcPr>
          <w:p w:rsidR="00143CFF" w:rsidRPr="00143CFF" w:rsidRDefault="00143CFF" w:rsidP="00242751">
            <w:pPr>
              <w:keepNext/>
              <w:keepLines/>
              <w:spacing w:after="0"/>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Overall</w:t>
            </w:r>
          </w:p>
        </w:tc>
        <w:tc>
          <w:tcPr>
            <w:tcW w:w="56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b/>
                <w:bCs/>
                <w:color w:val="005DAA"/>
                <w:sz w:val="20"/>
                <w:szCs w:val="20"/>
              </w:rPr>
            </w:pPr>
            <w:r>
              <w:rPr>
                <w:rFonts w:ascii="Calibri" w:eastAsia="Times New Roman" w:hAnsi="Calibri" w:cs="Times New Roman"/>
                <w:b/>
                <w:bCs/>
                <w:color w:val="005DAA"/>
                <w:sz w:val="20"/>
                <w:szCs w:val="20"/>
              </w:rPr>
              <w:t>231</w:t>
            </w:r>
          </w:p>
        </w:tc>
        <w:tc>
          <w:tcPr>
            <w:tcW w:w="611"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1,006</w:t>
            </w:r>
          </w:p>
        </w:tc>
        <w:tc>
          <w:tcPr>
            <w:tcW w:w="630"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82</w:t>
            </w:r>
          </w:p>
        </w:tc>
        <w:tc>
          <w:tcPr>
            <w:tcW w:w="578"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8%</w:t>
            </w:r>
          </w:p>
        </w:tc>
        <w:tc>
          <w:tcPr>
            <w:tcW w:w="63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±20%</w:t>
            </w:r>
          </w:p>
        </w:tc>
      </w:tr>
      <w:tr w:rsidR="00143CFF" w:rsidRPr="00143CFF" w:rsidTr="00242751">
        <w:tc>
          <w:tcPr>
            <w:tcW w:w="714" w:type="pct"/>
            <w:vMerge w:val="restart"/>
            <w:shd w:val="clear" w:color="auto" w:fill="auto"/>
            <w:vAlign w:val="center"/>
            <w:hideMark/>
          </w:tcPr>
          <w:p w:rsidR="00143CFF" w:rsidRPr="00143CFF" w:rsidRDefault="00143CFF" w:rsidP="00242751">
            <w:pPr>
              <w:keepNext/>
              <w:keepLines/>
              <w:spacing w:after="0"/>
              <w:jc w:val="center"/>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SP4</w:t>
            </w:r>
          </w:p>
        </w:tc>
        <w:tc>
          <w:tcPr>
            <w:tcW w:w="705" w:type="pct"/>
            <w:vMerge w:val="restart"/>
            <w:shd w:val="clear" w:color="auto" w:fill="auto"/>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Participant</w:t>
            </w:r>
          </w:p>
        </w:tc>
        <w:tc>
          <w:tcPr>
            <w:tcW w:w="564" w:type="pct"/>
            <w:shd w:val="clear" w:color="auto" w:fill="auto"/>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CNG</w:t>
            </w:r>
          </w:p>
        </w:tc>
        <w:tc>
          <w:tcPr>
            <w:tcW w:w="564" w:type="pct"/>
            <w:shd w:val="clear" w:color="auto" w:fill="auto"/>
            <w:vAlign w:val="center"/>
            <w:hideMark/>
          </w:tcPr>
          <w:p w:rsidR="00143CFF" w:rsidRPr="00143CFF" w:rsidRDefault="002D3518" w:rsidP="00242751">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25</w:t>
            </w:r>
          </w:p>
        </w:tc>
        <w:tc>
          <w:tcPr>
            <w:tcW w:w="611"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1,031</w:t>
            </w:r>
          </w:p>
        </w:tc>
        <w:tc>
          <w:tcPr>
            <w:tcW w:w="630"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54</w:t>
            </w:r>
          </w:p>
        </w:tc>
        <w:tc>
          <w:tcPr>
            <w:tcW w:w="578"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5%</w:t>
            </w:r>
          </w:p>
        </w:tc>
        <w:tc>
          <w:tcPr>
            <w:tcW w:w="63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2068C8">
              <w:rPr>
                <w:sz w:val="20"/>
                <w:szCs w:val="20"/>
              </w:rPr>
              <w:t>±</w:t>
            </w:r>
            <w:r w:rsidRPr="00143CFF">
              <w:rPr>
                <w:rFonts w:ascii="Calibri" w:eastAsia="Times New Roman" w:hAnsi="Calibri" w:cs="Times New Roman"/>
                <w:color w:val="000000"/>
                <w:sz w:val="20"/>
                <w:szCs w:val="20"/>
              </w:rPr>
              <w:t>22%</w:t>
            </w:r>
          </w:p>
        </w:tc>
      </w:tr>
      <w:tr w:rsidR="00143CFF" w:rsidRPr="00143CFF" w:rsidTr="00242751">
        <w:tc>
          <w:tcPr>
            <w:tcW w:w="714" w:type="pct"/>
            <w:vMerge/>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p>
        </w:tc>
        <w:tc>
          <w:tcPr>
            <w:tcW w:w="705" w:type="pct"/>
            <w:vMerge/>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p>
        </w:tc>
        <w:tc>
          <w:tcPr>
            <w:tcW w:w="564" w:type="pct"/>
            <w:shd w:val="clear" w:color="auto" w:fill="auto"/>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YGS</w:t>
            </w:r>
          </w:p>
        </w:tc>
        <w:tc>
          <w:tcPr>
            <w:tcW w:w="56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89</w:t>
            </w:r>
          </w:p>
        </w:tc>
        <w:tc>
          <w:tcPr>
            <w:tcW w:w="611"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652</w:t>
            </w:r>
          </w:p>
        </w:tc>
        <w:tc>
          <w:tcPr>
            <w:tcW w:w="630"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40</w:t>
            </w:r>
          </w:p>
        </w:tc>
        <w:tc>
          <w:tcPr>
            <w:tcW w:w="578"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6%</w:t>
            </w:r>
          </w:p>
        </w:tc>
        <w:tc>
          <w:tcPr>
            <w:tcW w:w="63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2068C8">
              <w:rPr>
                <w:sz w:val="20"/>
                <w:szCs w:val="20"/>
              </w:rPr>
              <w:t>±</w:t>
            </w:r>
            <w:r w:rsidRPr="00143CFF">
              <w:rPr>
                <w:rFonts w:ascii="Calibri" w:eastAsia="Times New Roman" w:hAnsi="Calibri" w:cs="Times New Roman"/>
                <w:color w:val="000000"/>
                <w:sz w:val="20"/>
                <w:szCs w:val="20"/>
              </w:rPr>
              <w:t>49%</w:t>
            </w:r>
          </w:p>
        </w:tc>
      </w:tr>
      <w:tr w:rsidR="00143CFF" w:rsidRPr="00143CFF" w:rsidTr="00242751">
        <w:tc>
          <w:tcPr>
            <w:tcW w:w="714" w:type="pct"/>
            <w:vMerge/>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p>
        </w:tc>
        <w:tc>
          <w:tcPr>
            <w:tcW w:w="705" w:type="pct"/>
            <w:vMerge/>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p>
        </w:tc>
        <w:tc>
          <w:tcPr>
            <w:tcW w:w="564" w:type="pct"/>
            <w:shd w:val="clear" w:color="auto" w:fill="auto"/>
            <w:vAlign w:val="center"/>
            <w:hideMark/>
          </w:tcPr>
          <w:p w:rsidR="00143CFF" w:rsidRPr="00143CFF" w:rsidRDefault="00143CFF" w:rsidP="00242751">
            <w:pPr>
              <w:keepNext/>
              <w:keepLines/>
              <w:spacing w:after="0"/>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Overall</w:t>
            </w:r>
          </w:p>
        </w:tc>
        <w:tc>
          <w:tcPr>
            <w:tcW w:w="56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114</w:t>
            </w:r>
          </w:p>
        </w:tc>
        <w:tc>
          <w:tcPr>
            <w:tcW w:w="611"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723</w:t>
            </w:r>
          </w:p>
        </w:tc>
        <w:tc>
          <w:tcPr>
            <w:tcW w:w="630"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43</w:t>
            </w:r>
          </w:p>
        </w:tc>
        <w:tc>
          <w:tcPr>
            <w:tcW w:w="578"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6%</w:t>
            </w:r>
          </w:p>
        </w:tc>
        <w:tc>
          <w:tcPr>
            <w:tcW w:w="63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±39%</w:t>
            </w:r>
          </w:p>
        </w:tc>
      </w:tr>
      <w:tr w:rsidR="00143CFF" w:rsidRPr="00143CFF" w:rsidTr="00242751">
        <w:tc>
          <w:tcPr>
            <w:tcW w:w="714" w:type="pct"/>
            <w:vMerge/>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p>
        </w:tc>
        <w:tc>
          <w:tcPr>
            <w:tcW w:w="705" w:type="pct"/>
            <w:vMerge w:val="restart"/>
            <w:shd w:val="clear" w:color="auto" w:fill="auto"/>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Comparison</w:t>
            </w:r>
          </w:p>
        </w:tc>
        <w:tc>
          <w:tcPr>
            <w:tcW w:w="564" w:type="pct"/>
            <w:shd w:val="clear" w:color="auto" w:fill="auto"/>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CNG</w:t>
            </w:r>
          </w:p>
        </w:tc>
        <w:tc>
          <w:tcPr>
            <w:tcW w:w="56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223</w:t>
            </w:r>
          </w:p>
        </w:tc>
        <w:tc>
          <w:tcPr>
            <w:tcW w:w="611"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981</w:t>
            </w:r>
          </w:p>
        </w:tc>
        <w:tc>
          <w:tcPr>
            <w:tcW w:w="630"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23</w:t>
            </w:r>
          </w:p>
        </w:tc>
        <w:tc>
          <w:tcPr>
            <w:tcW w:w="578"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2%</w:t>
            </w:r>
          </w:p>
        </w:tc>
        <w:tc>
          <w:tcPr>
            <w:tcW w:w="63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2068C8">
              <w:rPr>
                <w:sz w:val="20"/>
                <w:szCs w:val="20"/>
              </w:rPr>
              <w:t>±</w:t>
            </w:r>
            <w:r w:rsidRPr="00143CFF">
              <w:rPr>
                <w:rFonts w:ascii="Calibri" w:eastAsia="Times New Roman" w:hAnsi="Calibri" w:cs="Times New Roman"/>
                <w:color w:val="000000"/>
                <w:sz w:val="20"/>
                <w:szCs w:val="20"/>
              </w:rPr>
              <w:t>62%</w:t>
            </w:r>
          </w:p>
        </w:tc>
      </w:tr>
      <w:tr w:rsidR="00143CFF" w:rsidRPr="00143CFF" w:rsidTr="00242751">
        <w:tc>
          <w:tcPr>
            <w:tcW w:w="714" w:type="pct"/>
            <w:vMerge/>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p>
        </w:tc>
        <w:tc>
          <w:tcPr>
            <w:tcW w:w="705" w:type="pct"/>
            <w:vMerge/>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p>
        </w:tc>
        <w:tc>
          <w:tcPr>
            <w:tcW w:w="564" w:type="pct"/>
            <w:shd w:val="clear" w:color="auto" w:fill="auto"/>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YGS</w:t>
            </w:r>
          </w:p>
        </w:tc>
        <w:tc>
          <w:tcPr>
            <w:tcW w:w="56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188</w:t>
            </w:r>
          </w:p>
        </w:tc>
        <w:tc>
          <w:tcPr>
            <w:tcW w:w="611"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756</w:t>
            </w:r>
          </w:p>
        </w:tc>
        <w:tc>
          <w:tcPr>
            <w:tcW w:w="630"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18</w:t>
            </w:r>
          </w:p>
        </w:tc>
        <w:tc>
          <w:tcPr>
            <w:tcW w:w="578"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2%</w:t>
            </w:r>
          </w:p>
        </w:tc>
        <w:tc>
          <w:tcPr>
            <w:tcW w:w="63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2068C8">
              <w:rPr>
                <w:sz w:val="20"/>
                <w:szCs w:val="20"/>
              </w:rPr>
              <w:t>±</w:t>
            </w:r>
            <w:r w:rsidRPr="00143CFF">
              <w:rPr>
                <w:rFonts w:ascii="Calibri" w:eastAsia="Times New Roman" w:hAnsi="Calibri" w:cs="Times New Roman"/>
                <w:color w:val="000000"/>
                <w:sz w:val="20"/>
                <w:szCs w:val="20"/>
              </w:rPr>
              <w:t>76%</w:t>
            </w:r>
          </w:p>
        </w:tc>
      </w:tr>
      <w:tr w:rsidR="00143CFF" w:rsidRPr="00143CFF" w:rsidTr="00242751">
        <w:tc>
          <w:tcPr>
            <w:tcW w:w="714" w:type="pct"/>
            <w:vMerge/>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p>
        </w:tc>
        <w:tc>
          <w:tcPr>
            <w:tcW w:w="705" w:type="pct"/>
            <w:vMerge/>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p>
        </w:tc>
        <w:tc>
          <w:tcPr>
            <w:tcW w:w="564" w:type="pct"/>
            <w:shd w:val="clear" w:color="auto" w:fill="auto"/>
            <w:vAlign w:val="center"/>
            <w:hideMark/>
          </w:tcPr>
          <w:p w:rsidR="00143CFF" w:rsidRPr="00143CFF" w:rsidRDefault="00143CFF" w:rsidP="00242751">
            <w:pPr>
              <w:keepNext/>
              <w:keepLines/>
              <w:spacing w:after="0"/>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Overall</w:t>
            </w:r>
            <w:r w:rsidR="00140FD2">
              <w:rPr>
                <w:rFonts w:ascii="Calibri" w:eastAsia="Times New Roman" w:hAnsi="Calibri" w:cs="Times New Roman"/>
                <w:b/>
                <w:bCs/>
                <w:color w:val="005DAA"/>
                <w:sz w:val="20"/>
                <w:szCs w:val="20"/>
              </w:rPr>
              <w:t>*</w:t>
            </w:r>
          </w:p>
        </w:tc>
        <w:tc>
          <w:tcPr>
            <w:tcW w:w="56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644</w:t>
            </w:r>
          </w:p>
        </w:tc>
        <w:tc>
          <w:tcPr>
            <w:tcW w:w="611"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873</w:t>
            </w:r>
          </w:p>
        </w:tc>
        <w:tc>
          <w:tcPr>
            <w:tcW w:w="630"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13</w:t>
            </w:r>
          </w:p>
        </w:tc>
        <w:tc>
          <w:tcPr>
            <w:tcW w:w="578"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1%</w:t>
            </w:r>
          </w:p>
        </w:tc>
        <w:tc>
          <w:tcPr>
            <w:tcW w:w="63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±62%</w:t>
            </w:r>
          </w:p>
        </w:tc>
      </w:tr>
      <w:tr w:rsidR="00143CFF" w:rsidRPr="00143CFF" w:rsidTr="00242751">
        <w:tc>
          <w:tcPr>
            <w:tcW w:w="714" w:type="pct"/>
            <w:vMerge/>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p>
        </w:tc>
        <w:tc>
          <w:tcPr>
            <w:tcW w:w="705" w:type="pct"/>
            <w:vMerge w:val="restart"/>
            <w:shd w:val="clear" w:color="auto" w:fill="auto"/>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Adjusted Gross</w:t>
            </w:r>
          </w:p>
        </w:tc>
        <w:tc>
          <w:tcPr>
            <w:tcW w:w="564" w:type="pct"/>
            <w:shd w:val="clear" w:color="auto" w:fill="auto"/>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CNG</w:t>
            </w:r>
          </w:p>
        </w:tc>
        <w:tc>
          <w:tcPr>
            <w:tcW w:w="564" w:type="pct"/>
            <w:shd w:val="clear" w:color="auto" w:fill="auto"/>
            <w:vAlign w:val="center"/>
            <w:hideMark/>
          </w:tcPr>
          <w:p w:rsidR="00143CFF" w:rsidRPr="00143CFF" w:rsidRDefault="002D3518" w:rsidP="00242751">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25</w:t>
            </w:r>
          </w:p>
        </w:tc>
        <w:tc>
          <w:tcPr>
            <w:tcW w:w="611"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1,031</w:t>
            </w:r>
          </w:p>
        </w:tc>
        <w:tc>
          <w:tcPr>
            <w:tcW w:w="630"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30</w:t>
            </w:r>
          </w:p>
        </w:tc>
        <w:tc>
          <w:tcPr>
            <w:tcW w:w="578"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3%</w:t>
            </w:r>
          </w:p>
        </w:tc>
        <w:tc>
          <w:tcPr>
            <w:tcW w:w="63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2068C8">
              <w:rPr>
                <w:sz w:val="20"/>
                <w:szCs w:val="20"/>
              </w:rPr>
              <w:t>±</w:t>
            </w:r>
            <w:r w:rsidRPr="00143CFF">
              <w:rPr>
                <w:rFonts w:ascii="Calibri" w:eastAsia="Times New Roman" w:hAnsi="Calibri" w:cs="Times New Roman"/>
                <w:color w:val="000000"/>
                <w:sz w:val="20"/>
                <w:szCs w:val="20"/>
              </w:rPr>
              <w:t>61%</w:t>
            </w:r>
          </w:p>
        </w:tc>
      </w:tr>
      <w:tr w:rsidR="00143CFF" w:rsidRPr="00143CFF" w:rsidTr="00242751">
        <w:tc>
          <w:tcPr>
            <w:tcW w:w="714" w:type="pct"/>
            <w:vMerge/>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p>
        </w:tc>
        <w:tc>
          <w:tcPr>
            <w:tcW w:w="705" w:type="pct"/>
            <w:vMerge/>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p>
        </w:tc>
        <w:tc>
          <w:tcPr>
            <w:tcW w:w="564" w:type="pct"/>
            <w:shd w:val="clear" w:color="auto" w:fill="auto"/>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YGS</w:t>
            </w:r>
          </w:p>
        </w:tc>
        <w:tc>
          <w:tcPr>
            <w:tcW w:w="56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89</w:t>
            </w:r>
          </w:p>
        </w:tc>
        <w:tc>
          <w:tcPr>
            <w:tcW w:w="611"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652</w:t>
            </w:r>
          </w:p>
        </w:tc>
        <w:tc>
          <w:tcPr>
            <w:tcW w:w="630"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25</w:t>
            </w:r>
          </w:p>
        </w:tc>
        <w:tc>
          <w:tcPr>
            <w:tcW w:w="578"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143CFF">
              <w:rPr>
                <w:rFonts w:ascii="Calibri" w:eastAsia="Times New Roman" w:hAnsi="Calibri" w:cs="Times New Roman"/>
                <w:color w:val="000000"/>
                <w:sz w:val="20"/>
                <w:szCs w:val="20"/>
              </w:rPr>
              <w:t>4%</w:t>
            </w:r>
          </w:p>
        </w:tc>
        <w:tc>
          <w:tcPr>
            <w:tcW w:w="63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color w:val="000000"/>
                <w:sz w:val="20"/>
                <w:szCs w:val="20"/>
              </w:rPr>
            </w:pPr>
            <w:r w:rsidRPr="002068C8">
              <w:rPr>
                <w:sz w:val="20"/>
                <w:szCs w:val="20"/>
              </w:rPr>
              <w:t>±</w:t>
            </w:r>
            <w:r w:rsidRPr="00143CFF">
              <w:rPr>
                <w:rFonts w:ascii="Calibri" w:eastAsia="Times New Roman" w:hAnsi="Calibri" w:cs="Times New Roman"/>
                <w:color w:val="000000"/>
                <w:sz w:val="20"/>
                <w:szCs w:val="20"/>
              </w:rPr>
              <w:t>97%</w:t>
            </w:r>
          </w:p>
        </w:tc>
      </w:tr>
      <w:tr w:rsidR="00143CFF" w:rsidRPr="00143CFF" w:rsidTr="00242751">
        <w:tc>
          <w:tcPr>
            <w:tcW w:w="714" w:type="pct"/>
            <w:vMerge/>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p>
        </w:tc>
        <w:tc>
          <w:tcPr>
            <w:tcW w:w="705" w:type="pct"/>
            <w:vMerge/>
            <w:vAlign w:val="center"/>
            <w:hideMark/>
          </w:tcPr>
          <w:p w:rsidR="00143CFF" w:rsidRPr="00143CFF" w:rsidRDefault="00143CFF" w:rsidP="00242751">
            <w:pPr>
              <w:keepNext/>
              <w:keepLines/>
              <w:spacing w:after="0"/>
              <w:rPr>
                <w:rFonts w:ascii="Calibri" w:eastAsia="Times New Roman" w:hAnsi="Calibri" w:cs="Times New Roman"/>
                <w:color w:val="000000"/>
                <w:sz w:val="20"/>
                <w:szCs w:val="20"/>
              </w:rPr>
            </w:pPr>
          </w:p>
        </w:tc>
        <w:tc>
          <w:tcPr>
            <w:tcW w:w="564" w:type="pct"/>
            <w:shd w:val="clear" w:color="auto" w:fill="auto"/>
            <w:vAlign w:val="center"/>
            <w:hideMark/>
          </w:tcPr>
          <w:p w:rsidR="00143CFF" w:rsidRPr="00143CFF" w:rsidRDefault="00143CFF" w:rsidP="00242751">
            <w:pPr>
              <w:keepNext/>
              <w:keepLines/>
              <w:spacing w:after="0"/>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Overall</w:t>
            </w:r>
          </w:p>
        </w:tc>
        <w:tc>
          <w:tcPr>
            <w:tcW w:w="56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114</w:t>
            </w:r>
          </w:p>
        </w:tc>
        <w:tc>
          <w:tcPr>
            <w:tcW w:w="611"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723</w:t>
            </w:r>
          </w:p>
        </w:tc>
        <w:tc>
          <w:tcPr>
            <w:tcW w:w="630"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32</w:t>
            </w:r>
          </w:p>
        </w:tc>
        <w:tc>
          <w:tcPr>
            <w:tcW w:w="578"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4%</w:t>
            </w:r>
          </w:p>
        </w:tc>
        <w:tc>
          <w:tcPr>
            <w:tcW w:w="634" w:type="pct"/>
            <w:shd w:val="clear" w:color="auto" w:fill="auto"/>
            <w:vAlign w:val="center"/>
            <w:hideMark/>
          </w:tcPr>
          <w:p w:rsidR="00143CFF" w:rsidRPr="00143CFF" w:rsidRDefault="00143CFF" w:rsidP="00242751">
            <w:pPr>
              <w:keepNext/>
              <w:keepLines/>
              <w:spacing w:after="0"/>
              <w:jc w:val="right"/>
              <w:rPr>
                <w:rFonts w:ascii="Calibri" w:eastAsia="Times New Roman" w:hAnsi="Calibri" w:cs="Times New Roman"/>
                <w:b/>
                <w:bCs/>
                <w:color w:val="005DAA"/>
                <w:sz w:val="20"/>
                <w:szCs w:val="20"/>
              </w:rPr>
            </w:pPr>
            <w:r w:rsidRPr="00143CFF">
              <w:rPr>
                <w:rFonts w:ascii="Calibri" w:eastAsia="Times New Roman" w:hAnsi="Calibri" w:cs="Times New Roman"/>
                <w:b/>
                <w:bCs/>
                <w:color w:val="005DAA"/>
                <w:sz w:val="20"/>
                <w:szCs w:val="20"/>
              </w:rPr>
              <w:t>±58%</w:t>
            </w:r>
          </w:p>
        </w:tc>
      </w:tr>
    </w:tbl>
    <w:p w:rsidR="00140FD2" w:rsidRPr="002068C8" w:rsidRDefault="00140FD2" w:rsidP="001B48EB">
      <w:pPr>
        <w:pStyle w:val="NormalAfterTablesandFigures"/>
        <w:keepNext/>
        <w:keepLines/>
        <w:rPr>
          <w:sz w:val="20"/>
          <w:szCs w:val="20"/>
          <w:highlight w:val="yellow"/>
        </w:rPr>
      </w:pPr>
      <w:r w:rsidRPr="002068C8">
        <w:rPr>
          <w:rFonts w:ascii="Calibri" w:eastAsia="Times New Roman" w:hAnsi="Calibri" w:cs="Times New Roman"/>
          <w:color w:val="000000"/>
          <w:sz w:val="20"/>
          <w:szCs w:val="20"/>
        </w:rPr>
        <w:t>*</w:t>
      </w:r>
      <w:r>
        <w:rPr>
          <w:rFonts w:ascii="Calibri" w:eastAsia="Times New Roman" w:hAnsi="Calibri" w:cs="Times New Roman"/>
          <w:color w:val="000000"/>
          <w:sz w:val="20"/>
          <w:szCs w:val="20"/>
        </w:rPr>
        <w:t xml:space="preserve">Overall comparison group for SP2/SP3 includes some nonparticipants from </w:t>
      </w:r>
      <w:r w:rsidR="000E6E3C">
        <w:rPr>
          <w:rFonts w:ascii="Calibri" w:eastAsia="Times New Roman" w:hAnsi="Calibri" w:cs="Times New Roman"/>
          <w:color w:val="000000"/>
          <w:sz w:val="20"/>
          <w:szCs w:val="20"/>
        </w:rPr>
        <w:t xml:space="preserve">the </w:t>
      </w:r>
      <w:r>
        <w:rPr>
          <w:rFonts w:ascii="Calibri" w:eastAsia="Times New Roman" w:hAnsi="Calibri" w:cs="Times New Roman"/>
          <w:color w:val="000000"/>
          <w:sz w:val="20"/>
          <w:szCs w:val="20"/>
        </w:rPr>
        <w:t>SCG territory</w:t>
      </w:r>
      <w:r w:rsidR="0095703C">
        <w:rPr>
          <w:rFonts w:ascii="Calibri" w:eastAsia="Times New Roman" w:hAnsi="Calibri" w:cs="Times New Roman"/>
          <w:color w:val="000000"/>
          <w:sz w:val="20"/>
          <w:szCs w:val="20"/>
        </w:rPr>
        <w:t>, providing increased sample sizes for this comparison</w:t>
      </w:r>
      <w:r>
        <w:rPr>
          <w:rFonts w:ascii="Calibri" w:eastAsia="Times New Roman" w:hAnsi="Calibri" w:cs="Times New Roman"/>
          <w:color w:val="000000"/>
          <w:sz w:val="20"/>
          <w:szCs w:val="20"/>
        </w:rPr>
        <w:t>.</w:t>
      </w:r>
    </w:p>
    <w:p w:rsidR="0000273D" w:rsidRPr="00783F84" w:rsidRDefault="0000273D" w:rsidP="0000273D">
      <w:pPr>
        <w:pStyle w:val="NormalAfterTablesandFigures"/>
        <w:rPr>
          <w:highlight w:val="yellow"/>
        </w:rPr>
      </w:pPr>
    </w:p>
    <w:p w:rsidR="0000273D" w:rsidRPr="00DA25EE" w:rsidRDefault="002506E1" w:rsidP="002068C8">
      <w:r>
        <w:fldChar w:fldCharType="begin"/>
      </w:r>
      <w:r>
        <w:instrText xml:space="preserve"> REF _Ref382990055 \h  \* MERGEFORMAT </w:instrText>
      </w:r>
      <w:r>
        <w:fldChar w:fldCharType="separate"/>
      </w:r>
      <w:r w:rsidR="00CD20CF" w:rsidRPr="00DA25EE">
        <w:t xml:space="preserve">Table </w:t>
      </w:r>
      <w:r w:rsidR="00CD20CF">
        <w:rPr>
          <w:noProof/>
        </w:rPr>
        <w:t>77</w:t>
      </w:r>
      <w:r>
        <w:fldChar w:fldCharType="end"/>
      </w:r>
      <w:r w:rsidR="0000273D" w:rsidRPr="00DA25EE">
        <w:t xml:space="preserve"> shows the frequency distribution of measure installations </w:t>
      </w:r>
      <w:r w:rsidR="000E6E3C">
        <w:t xml:space="preserve">from </w:t>
      </w:r>
      <w:r w:rsidR="0000273D" w:rsidRPr="00DA25EE">
        <w:t>the analysis sample of participants, by HES-IE subprogram, along with average reported savings per measure type.</w:t>
      </w:r>
      <w:r w:rsidR="002953AD">
        <w:t xml:space="preserve"> </w:t>
      </w:r>
    </w:p>
    <w:p w:rsidR="0000273D" w:rsidRDefault="0000273D" w:rsidP="002068C8">
      <w:pPr>
        <w:pStyle w:val="Caption"/>
        <w:pageBreakBefore/>
      </w:pPr>
      <w:bookmarkStart w:id="131" w:name="_Ref382990055"/>
      <w:r w:rsidRPr="00DA25EE">
        <w:lastRenderedPageBreak/>
        <w:t xml:space="preserve">Table </w:t>
      </w:r>
      <w:r w:rsidR="002506E1">
        <w:fldChar w:fldCharType="begin"/>
      </w:r>
      <w:r w:rsidR="002506E1">
        <w:instrText xml:space="preserve"> SEQ T</w:instrText>
      </w:r>
      <w:r w:rsidR="002506E1">
        <w:instrText xml:space="preserve">able \* ARABIC </w:instrText>
      </w:r>
      <w:r w:rsidR="002506E1">
        <w:fldChar w:fldCharType="separate"/>
      </w:r>
      <w:r w:rsidR="00CD20CF">
        <w:rPr>
          <w:noProof/>
        </w:rPr>
        <w:t>77</w:t>
      </w:r>
      <w:r w:rsidR="002506E1">
        <w:rPr>
          <w:noProof/>
        </w:rPr>
        <w:fldChar w:fldCharType="end"/>
      </w:r>
      <w:bookmarkEnd w:id="131"/>
      <w:r w:rsidRPr="00DA25EE">
        <w:t>. HES-IE SP1 and SP4 Natural Gas Analysis: Measure Distribution of Final Model Sample</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70"/>
        <w:gridCol w:w="3394"/>
        <w:gridCol w:w="1205"/>
        <w:gridCol w:w="1266"/>
        <w:gridCol w:w="1187"/>
        <w:gridCol w:w="1254"/>
      </w:tblGrid>
      <w:tr w:rsidR="0000273D" w:rsidRPr="00DA25EE" w:rsidTr="00550EE6">
        <w:tc>
          <w:tcPr>
            <w:tcW w:w="663" w:type="pct"/>
            <w:vMerge w:val="restart"/>
            <w:shd w:val="clear" w:color="000000" w:fill="005DAA"/>
            <w:vAlign w:val="center"/>
            <w:hideMark/>
          </w:tcPr>
          <w:p w:rsidR="0000273D" w:rsidRPr="00DA25EE" w:rsidRDefault="0000273D" w:rsidP="007F01D3">
            <w:pPr>
              <w:spacing w:after="0"/>
              <w:jc w:val="center"/>
              <w:rPr>
                <w:rFonts w:ascii="Calibri" w:eastAsia="Times New Roman" w:hAnsi="Calibri" w:cs="Times New Roman"/>
                <w:b/>
                <w:bCs/>
                <w:color w:val="FFFFFF"/>
              </w:rPr>
            </w:pPr>
            <w:r w:rsidRPr="00DA25EE">
              <w:rPr>
                <w:rFonts w:ascii="Calibri" w:eastAsia="Times New Roman" w:hAnsi="Calibri" w:cs="Times New Roman"/>
                <w:b/>
                <w:bCs/>
                <w:color w:val="FFFFFF"/>
              </w:rPr>
              <w:t>Category</w:t>
            </w:r>
          </w:p>
        </w:tc>
        <w:tc>
          <w:tcPr>
            <w:tcW w:w="1772" w:type="pct"/>
            <w:vMerge w:val="restart"/>
            <w:shd w:val="clear" w:color="000000" w:fill="005DAA"/>
            <w:vAlign w:val="center"/>
            <w:hideMark/>
          </w:tcPr>
          <w:p w:rsidR="0000273D" w:rsidRPr="00DA25EE" w:rsidRDefault="0000273D" w:rsidP="007F01D3">
            <w:pPr>
              <w:spacing w:after="0"/>
              <w:jc w:val="center"/>
              <w:rPr>
                <w:rFonts w:ascii="Calibri" w:eastAsia="Times New Roman" w:hAnsi="Calibri" w:cs="Times New Roman"/>
                <w:b/>
                <w:bCs/>
                <w:color w:val="FFFFFF"/>
              </w:rPr>
            </w:pPr>
            <w:r w:rsidRPr="00DA25EE">
              <w:rPr>
                <w:rFonts w:ascii="Calibri" w:eastAsia="Times New Roman" w:hAnsi="Calibri" w:cs="Times New Roman"/>
                <w:b/>
                <w:bCs/>
                <w:color w:val="FFFFFF"/>
              </w:rPr>
              <w:t>Measure</w:t>
            </w:r>
          </w:p>
        </w:tc>
        <w:tc>
          <w:tcPr>
            <w:tcW w:w="1290" w:type="pct"/>
            <w:gridSpan w:val="2"/>
            <w:shd w:val="clear" w:color="000000" w:fill="005DAA"/>
            <w:vAlign w:val="center"/>
            <w:hideMark/>
          </w:tcPr>
          <w:p w:rsidR="0000273D" w:rsidRPr="00DA25EE" w:rsidRDefault="0000273D" w:rsidP="007F01D3">
            <w:pPr>
              <w:spacing w:after="0"/>
              <w:jc w:val="center"/>
              <w:rPr>
                <w:rFonts w:ascii="Calibri" w:eastAsia="Times New Roman" w:hAnsi="Calibri" w:cs="Times New Roman"/>
                <w:b/>
                <w:bCs/>
                <w:color w:val="FFFFFF"/>
              </w:rPr>
            </w:pPr>
            <w:r w:rsidRPr="00DA25EE">
              <w:rPr>
                <w:rFonts w:ascii="Calibri" w:eastAsia="Times New Roman" w:hAnsi="Calibri" w:cs="Times New Roman"/>
                <w:b/>
                <w:bCs/>
                <w:color w:val="FFFFFF"/>
              </w:rPr>
              <w:t>Percentage of Sample</w:t>
            </w:r>
          </w:p>
        </w:tc>
        <w:tc>
          <w:tcPr>
            <w:tcW w:w="1275" w:type="pct"/>
            <w:gridSpan w:val="2"/>
            <w:shd w:val="clear" w:color="000000" w:fill="005DAA"/>
            <w:vAlign w:val="center"/>
            <w:hideMark/>
          </w:tcPr>
          <w:p w:rsidR="0000273D" w:rsidRPr="00DA25EE" w:rsidRDefault="0000273D" w:rsidP="007F01D3">
            <w:pPr>
              <w:spacing w:after="0"/>
              <w:jc w:val="center"/>
              <w:rPr>
                <w:rFonts w:ascii="Calibri" w:eastAsia="Times New Roman" w:hAnsi="Calibri" w:cs="Times New Roman"/>
                <w:b/>
                <w:bCs/>
                <w:color w:val="FFFFFF"/>
              </w:rPr>
            </w:pPr>
            <w:r w:rsidRPr="00DA25EE">
              <w:rPr>
                <w:rFonts w:ascii="Calibri" w:eastAsia="Times New Roman" w:hAnsi="Calibri" w:cs="Times New Roman"/>
                <w:b/>
                <w:bCs/>
                <w:color w:val="FFFFFF"/>
              </w:rPr>
              <w:t xml:space="preserve">Average </w:t>
            </w:r>
            <w:r w:rsidRPr="00DA25EE">
              <w:rPr>
                <w:rFonts w:ascii="Calibri" w:eastAsia="Times New Roman" w:hAnsi="Calibri" w:cs="Times New Roman"/>
                <w:b/>
                <w:bCs/>
                <w:i/>
                <w:iCs/>
                <w:color w:val="FFFFFF"/>
              </w:rPr>
              <w:t>Ex Ante</w:t>
            </w:r>
            <w:r w:rsidRPr="00DA25EE">
              <w:rPr>
                <w:rFonts w:ascii="Calibri" w:eastAsia="Times New Roman" w:hAnsi="Calibri" w:cs="Times New Roman"/>
                <w:b/>
                <w:bCs/>
                <w:color w:val="FFFFFF"/>
              </w:rPr>
              <w:t xml:space="preserve"> Savings by Measure (CCF per Participant)</w:t>
            </w:r>
          </w:p>
        </w:tc>
      </w:tr>
      <w:tr w:rsidR="0000273D" w:rsidRPr="00DA25EE" w:rsidTr="007F01D3">
        <w:tc>
          <w:tcPr>
            <w:tcW w:w="663" w:type="pct"/>
            <w:vMerge/>
            <w:tcBorders>
              <w:bottom w:val="single" w:sz="4" w:space="0" w:color="BFBFBF"/>
            </w:tcBorders>
            <w:vAlign w:val="center"/>
            <w:hideMark/>
          </w:tcPr>
          <w:p w:rsidR="0000273D" w:rsidRPr="00DA25EE" w:rsidRDefault="0000273D" w:rsidP="007F01D3">
            <w:pPr>
              <w:spacing w:after="0"/>
              <w:jc w:val="center"/>
              <w:rPr>
                <w:rFonts w:ascii="Calibri" w:eastAsia="Times New Roman" w:hAnsi="Calibri" w:cs="Times New Roman"/>
                <w:b/>
                <w:bCs/>
                <w:color w:val="FFFFFF"/>
              </w:rPr>
            </w:pPr>
          </w:p>
        </w:tc>
        <w:tc>
          <w:tcPr>
            <w:tcW w:w="1772" w:type="pct"/>
            <w:vMerge/>
            <w:tcBorders>
              <w:bottom w:val="single" w:sz="4" w:space="0" w:color="BFBFBF"/>
            </w:tcBorders>
            <w:vAlign w:val="center"/>
            <w:hideMark/>
          </w:tcPr>
          <w:p w:rsidR="0000273D" w:rsidRPr="00DA25EE" w:rsidRDefault="0000273D" w:rsidP="007F01D3">
            <w:pPr>
              <w:spacing w:after="0"/>
              <w:jc w:val="center"/>
              <w:rPr>
                <w:rFonts w:ascii="Calibri" w:eastAsia="Times New Roman" w:hAnsi="Calibri" w:cs="Times New Roman"/>
                <w:b/>
                <w:bCs/>
                <w:color w:val="FFFFFF"/>
              </w:rPr>
            </w:pPr>
          </w:p>
        </w:tc>
        <w:tc>
          <w:tcPr>
            <w:tcW w:w="629" w:type="pct"/>
            <w:tcBorders>
              <w:bottom w:val="single" w:sz="4" w:space="0" w:color="BFBFBF"/>
            </w:tcBorders>
            <w:shd w:val="clear" w:color="000000" w:fill="005DAA"/>
            <w:vAlign w:val="center"/>
            <w:hideMark/>
          </w:tcPr>
          <w:p w:rsidR="0000273D" w:rsidRPr="00DA25EE" w:rsidRDefault="0000273D" w:rsidP="007F01D3">
            <w:pPr>
              <w:spacing w:after="0"/>
              <w:jc w:val="center"/>
              <w:rPr>
                <w:rFonts w:ascii="Calibri" w:eastAsia="Times New Roman" w:hAnsi="Calibri" w:cs="Times New Roman"/>
                <w:b/>
                <w:bCs/>
                <w:color w:val="FFFFFF"/>
              </w:rPr>
            </w:pPr>
            <w:r w:rsidRPr="00DA25EE">
              <w:rPr>
                <w:rFonts w:ascii="Calibri" w:eastAsia="Times New Roman" w:hAnsi="Calibri" w:cs="Times New Roman"/>
                <w:b/>
                <w:bCs/>
                <w:color w:val="FFFFFF"/>
              </w:rPr>
              <w:t>SP1</w:t>
            </w:r>
          </w:p>
        </w:tc>
        <w:tc>
          <w:tcPr>
            <w:tcW w:w="661" w:type="pct"/>
            <w:tcBorders>
              <w:bottom w:val="single" w:sz="4" w:space="0" w:color="BFBFBF"/>
            </w:tcBorders>
            <w:shd w:val="clear" w:color="000000" w:fill="005DAA"/>
            <w:vAlign w:val="center"/>
            <w:hideMark/>
          </w:tcPr>
          <w:p w:rsidR="0000273D" w:rsidRPr="00DA25EE" w:rsidRDefault="0000273D" w:rsidP="007F01D3">
            <w:pPr>
              <w:spacing w:after="0"/>
              <w:jc w:val="center"/>
              <w:rPr>
                <w:rFonts w:ascii="Calibri" w:eastAsia="Times New Roman" w:hAnsi="Calibri" w:cs="Times New Roman"/>
                <w:b/>
                <w:bCs/>
                <w:color w:val="FFFFFF"/>
              </w:rPr>
            </w:pPr>
            <w:r w:rsidRPr="00DA25EE">
              <w:rPr>
                <w:rFonts w:ascii="Calibri" w:eastAsia="Times New Roman" w:hAnsi="Calibri" w:cs="Times New Roman"/>
                <w:b/>
                <w:bCs/>
                <w:color w:val="FFFFFF"/>
              </w:rPr>
              <w:t>SP4**</w:t>
            </w:r>
          </w:p>
        </w:tc>
        <w:tc>
          <w:tcPr>
            <w:tcW w:w="620" w:type="pct"/>
            <w:tcBorders>
              <w:bottom w:val="single" w:sz="4" w:space="0" w:color="BFBFBF"/>
            </w:tcBorders>
            <w:shd w:val="clear" w:color="000000" w:fill="005DAA"/>
            <w:vAlign w:val="center"/>
            <w:hideMark/>
          </w:tcPr>
          <w:p w:rsidR="0000273D" w:rsidRPr="00DA25EE" w:rsidRDefault="0000273D" w:rsidP="007F01D3">
            <w:pPr>
              <w:spacing w:after="0"/>
              <w:jc w:val="center"/>
              <w:rPr>
                <w:rFonts w:ascii="Calibri" w:eastAsia="Times New Roman" w:hAnsi="Calibri" w:cs="Times New Roman"/>
                <w:b/>
                <w:bCs/>
                <w:color w:val="FFFFFF"/>
              </w:rPr>
            </w:pPr>
            <w:r w:rsidRPr="00DA25EE">
              <w:rPr>
                <w:rFonts w:ascii="Calibri" w:eastAsia="Times New Roman" w:hAnsi="Calibri" w:cs="Times New Roman"/>
                <w:b/>
                <w:bCs/>
                <w:color w:val="FFFFFF"/>
              </w:rPr>
              <w:t>SP1</w:t>
            </w:r>
          </w:p>
        </w:tc>
        <w:tc>
          <w:tcPr>
            <w:tcW w:w="655" w:type="pct"/>
            <w:tcBorders>
              <w:bottom w:val="single" w:sz="4" w:space="0" w:color="BFBFBF"/>
            </w:tcBorders>
            <w:shd w:val="clear" w:color="000000" w:fill="005DAA"/>
            <w:vAlign w:val="center"/>
            <w:hideMark/>
          </w:tcPr>
          <w:p w:rsidR="0000273D" w:rsidRPr="00DA25EE" w:rsidRDefault="0000273D" w:rsidP="007F01D3">
            <w:pPr>
              <w:spacing w:after="0"/>
              <w:jc w:val="center"/>
              <w:rPr>
                <w:rFonts w:ascii="Calibri" w:eastAsia="Times New Roman" w:hAnsi="Calibri" w:cs="Times New Roman"/>
                <w:b/>
                <w:bCs/>
                <w:color w:val="FFFFFF"/>
              </w:rPr>
            </w:pPr>
            <w:r w:rsidRPr="00DA25EE">
              <w:rPr>
                <w:rFonts w:ascii="Calibri" w:eastAsia="Times New Roman" w:hAnsi="Calibri" w:cs="Times New Roman"/>
                <w:b/>
                <w:bCs/>
                <w:color w:val="FFFFFF"/>
              </w:rPr>
              <w:t>SP4**</w:t>
            </w:r>
          </w:p>
        </w:tc>
      </w:tr>
      <w:tr w:rsidR="0000273D" w:rsidRPr="00DA25EE" w:rsidTr="00550EE6">
        <w:tc>
          <w:tcPr>
            <w:tcW w:w="663" w:type="pct"/>
            <w:vMerge w:val="restart"/>
            <w:shd w:val="clear" w:color="auto" w:fill="auto"/>
            <w:vAlign w:val="center"/>
            <w:hideMark/>
          </w:tcPr>
          <w:p w:rsidR="0000273D" w:rsidRPr="00DA25EE" w:rsidRDefault="0000273D" w:rsidP="007F01D3">
            <w:pPr>
              <w:spacing w:after="0"/>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Shell</w:t>
            </w:r>
          </w:p>
        </w:tc>
        <w:tc>
          <w:tcPr>
            <w:tcW w:w="1772" w:type="pct"/>
            <w:shd w:val="clear" w:color="auto" w:fill="auto"/>
            <w:vAlign w:val="center"/>
            <w:hideMark/>
          </w:tcPr>
          <w:p w:rsidR="0000273D" w:rsidRPr="00DA25EE" w:rsidRDefault="0000273D" w:rsidP="007F01D3">
            <w:pPr>
              <w:spacing w:after="0"/>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Air Sealing</w:t>
            </w:r>
          </w:p>
        </w:tc>
        <w:tc>
          <w:tcPr>
            <w:tcW w:w="629"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63%</w:t>
            </w:r>
          </w:p>
        </w:tc>
        <w:tc>
          <w:tcPr>
            <w:tcW w:w="661"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42%</w:t>
            </w:r>
          </w:p>
        </w:tc>
        <w:tc>
          <w:tcPr>
            <w:tcW w:w="620"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57</w:t>
            </w:r>
          </w:p>
        </w:tc>
        <w:tc>
          <w:tcPr>
            <w:tcW w:w="655"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40</w:t>
            </w:r>
          </w:p>
        </w:tc>
      </w:tr>
      <w:tr w:rsidR="0000273D" w:rsidRPr="00DA25EE" w:rsidTr="007F01D3">
        <w:tc>
          <w:tcPr>
            <w:tcW w:w="663" w:type="pct"/>
            <w:vMerge/>
            <w:shd w:val="clear" w:color="auto" w:fill="auto"/>
            <w:vAlign w:val="center"/>
            <w:hideMark/>
          </w:tcPr>
          <w:p w:rsidR="0000273D" w:rsidRPr="00DA25EE" w:rsidRDefault="0000273D" w:rsidP="007F01D3">
            <w:pPr>
              <w:spacing w:after="0"/>
              <w:rPr>
                <w:rFonts w:ascii="Calibri" w:eastAsia="Times New Roman" w:hAnsi="Calibri" w:cs="Times New Roman"/>
                <w:color w:val="000000"/>
                <w:sz w:val="20"/>
                <w:szCs w:val="20"/>
              </w:rPr>
            </w:pPr>
          </w:p>
        </w:tc>
        <w:tc>
          <w:tcPr>
            <w:tcW w:w="1772" w:type="pct"/>
            <w:shd w:val="clear" w:color="auto" w:fill="auto"/>
            <w:vAlign w:val="center"/>
            <w:hideMark/>
          </w:tcPr>
          <w:p w:rsidR="0000273D" w:rsidRPr="00DA25EE" w:rsidRDefault="0000273D" w:rsidP="007F01D3">
            <w:pPr>
              <w:spacing w:after="0"/>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Attic Insulation</w:t>
            </w:r>
          </w:p>
        </w:tc>
        <w:tc>
          <w:tcPr>
            <w:tcW w:w="629"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11%</w:t>
            </w:r>
          </w:p>
        </w:tc>
        <w:tc>
          <w:tcPr>
            <w:tcW w:w="661"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n/a</w:t>
            </w:r>
          </w:p>
        </w:tc>
        <w:tc>
          <w:tcPr>
            <w:tcW w:w="620"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41</w:t>
            </w:r>
          </w:p>
        </w:tc>
        <w:tc>
          <w:tcPr>
            <w:tcW w:w="655"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n/a</w:t>
            </w:r>
          </w:p>
        </w:tc>
      </w:tr>
      <w:tr w:rsidR="0000273D" w:rsidRPr="00DA25EE" w:rsidTr="007F01D3">
        <w:tc>
          <w:tcPr>
            <w:tcW w:w="663" w:type="pct"/>
            <w:vMerge/>
            <w:shd w:val="clear" w:color="auto" w:fill="auto"/>
            <w:vAlign w:val="center"/>
            <w:hideMark/>
          </w:tcPr>
          <w:p w:rsidR="0000273D" w:rsidRPr="00DA25EE" w:rsidRDefault="0000273D" w:rsidP="007F01D3">
            <w:pPr>
              <w:spacing w:after="0"/>
              <w:rPr>
                <w:rFonts w:ascii="Calibri" w:eastAsia="Times New Roman" w:hAnsi="Calibri" w:cs="Times New Roman"/>
                <w:color w:val="000000"/>
                <w:sz w:val="20"/>
                <w:szCs w:val="20"/>
              </w:rPr>
            </w:pPr>
          </w:p>
        </w:tc>
        <w:tc>
          <w:tcPr>
            <w:tcW w:w="1772" w:type="pct"/>
            <w:shd w:val="clear" w:color="auto" w:fill="auto"/>
            <w:vAlign w:val="center"/>
            <w:hideMark/>
          </w:tcPr>
          <w:p w:rsidR="0000273D" w:rsidRPr="00DA25EE" w:rsidRDefault="0000273D" w:rsidP="007F01D3">
            <w:pPr>
              <w:spacing w:after="0"/>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Wall Insulation</w:t>
            </w:r>
          </w:p>
        </w:tc>
        <w:tc>
          <w:tcPr>
            <w:tcW w:w="629"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6%</w:t>
            </w:r>
          </w:p>
        </w:tc>
        <w:tc>
          <w:tcPr>
            <w:tcW w:w="661"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n/a</w:t>
            </w:r>
          </w:p>
        </w:tc>
        <w:tc>
          <w:tcPr>
            <w:tcW w:w="620"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127</w:t>
            </w:r>
          </w:p>
        </w:tc>
        <w:tc>
          <w:tcPr>
            <w:tcW w:w="655"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n/a</w:t>
            </w:r>
          </w:p>
        </w:tc>
      </w:tr>
      <w:tr w:rsidR="0000273D" w:rsidRPr="00DA25EE" w:rsidTr="007F01D3">
        <w:tc>
          <w:tcPr>
            <w:tcW w:w="663" w:type="pct"/>
            <w:vMerge/>
            <w:shd w:val="clear" w:color="auto" w:fill="auto"/>
            <w:vAlign w:val="center"/>
            <w:hideMark/>
          </w:tcPr>
          <w:p w:rsidR="0000273D" w:rsidRPr="00DA25EE" w:rsidRDefault="0000273D" w:rsidP="007F01D3">
            <w:pPr>
              <w:spacing w:after="0"/>
              <w:rPr>
                <w:rFonts w:ascii="Calibri" w:eastAsia="Times New Roman" w:hAnsi="Calibri" w:cs="Times New Roman"/>
                <w:color w:val="000000"/>
                <w:sz w:val="20"/>
                <w:szCs w:val="20"/>
              </w:rPr>
            </w:pPr>
          </w:p>
        </w:tc>
        <w:tc>
          <w:tcPr>
            <w:tcW w:w="1772" w:type="pct"/>
            <w:shd w:val="clear" w:color="auto" w:fill="auto"/>
            <w:vAlign w:val="center"/>
            <w:hideMark/>
          </w:tcPr>
          <w:p w:rsidR="0000273D" w:rsidRPr="00DA25EE" w:rsidRDefault="0000273D" w:rsidP="007F01D3">
            <w:pPr>
              <w:spacing w:after="0"/>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Windows</w:t>
            </w:r>
          </w:p>
        </w:tc>
        <w:tc>
          <w:tcPr>
            <w:tcW w:w="629"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4%</w:t>
            </w:r>
          </w:p>
        </w:tc>
        <w:tc>
          <w:tcPr>
            <w:tcW w:w="661"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n/a</w:t>
            </w:r>
          </w:p>
        </w:tc>
        <w:tc>
          <w:tcPr>
            <w:tcW w:w="620"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7</w:t>
            </w:r>
          </w:p>
        </w:tc>
        <w:tc>
          <w:tcPr>
            <w:tcW w:w="655"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n/a</w:t>
            </w:r>
          </w:p>
        </w:tc>
      </w:tr>
      <w:tr w:rsidR="0000273D" w:rsidRPr="00DA25EE" w:rsidTr="00550EE6">
        <w:tc>
          <w:tcPr>
            <w:tcW w:w="663" w:type="pct"/>
            <w:vMerge w:val="restart"/>
            <w:shd w:val="clear" w:color="auto" w:fill="auto"/>
            <w:vAlign w:val="center"/>
            <w:hideMark/>
          </w:tcPr>
          <w:p w:rsidR="0000273D" w:rsidRPr="00DA25EE" w:rsidRDefault="0000273D" w:rsidP="007F01D3">
            <w:pPr>
              <w:spacing w:after="0"/>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Water Heat</w:t>
            </w:r>
          </w:p>
        </w:tc>
        <w:tc>
          <w:tcPr>
            <w:tcW w:w="1772" w:type="pct"/>
            <w:shd w:val="clear" w:color="auto" w:fill="auto"/>
            <w:vAlign w:val="center"/>
            <w:hideMark/>
          </w:tcPr>
          <w:p w:rsidR="0000273D" w:rsidRPr="00DA25EE" w:rsidRDefault="0000273D" w:rsidP="007F01D3">
            <w:pPr>
              <w:spacing w:after="0"/>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DHW Bundle*</w:t>
            </w:r>
          </w:p>
        </w:tc>
        <w:tc>
          <w:tcPr>
            <w:tcW w:w="629"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77%</w:t>
            </w:r>
          </w:p>
        </w:tc>
        <w:tc>
          <w:tcPr>
            <w:tcW w:w="661"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96%</w:t>
            </w:r>
          </w:p>
        </w:tc>
        <w:tc>
          <w:tcPr>
            <w:tcW w:w="620"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41</w:t>
            </w:r>
          </w:p>
        </w:tc>
        <w:tc>
          <w:tcPr>
            <w:tcW w:w="655"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41</w:t>
            </w:r>
          </w:p>
        </w:tc>
      </w:tr>
      <w:tr w:rsidR="0000273D" w:rsidRPr="00DA25EE" w:rsidTr="007F01D3">
        <w:tc>
          <w:tcPr>
            <w:tcW w:w="663" w:type="pct"/>
            <w:vMerge/>
            <w:shd w:val="clear" w:color="auto" w:fill="auto"/>
            <w:vAlign w:val="center"/>
            <w:hideMark/>
          </w:tcPr>
          <w:p w:rsidR="0000273D" w:rsidRPr="00DA25EE" w:rsidRDefault="0000273D" w:rsidP="007F01D3">
            <w:pPr>
              <w:spacing w:after="0"/>
              <w:rPr>
                <w:rFonts w:ascii="Calibri" w:eastAsia="Times New Roman" w:hAnsi="Calibri" w:cs="Times New Roman"/>
                <w:color w:val="000000"/>
                <w:sz w:val="20"/>
                <w:szCs w:val="20"/>
              </w:rPr>
            </w:pPr>
          </w:p>
        </w:tc>
        <w:tc>
          <w:tcPr>
            <w:tcW w:w="1772" w:type="pct"/>
            <w:shd w:val="clear" w:color="auto" w:fill="auto"/>
            <w:vAlign w:val="center"/>
            <w:hideMark/>
          </w:tcPr>
          <w:p w:rsidR="0000273D" w:rsidRPr="00DA25EE" w:rsidRDefault="0000273D" w:rsidP="007F01D3">
            <w:pPr>
              <w:spacing w:after="0"/>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Pipe Insulation</w:t>
            </w:r>
          </w:p>
        </w:tc>
        <w:tc>
          <w:tcPr>
            <w:tcW w:w="629"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18%</w:t>
            </w:r>
          </w:p>
        </w:tc>
        <w:tc>
          <w:tcPr>
            <w:tcW w:w="661"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3%</w:t>
            </w:r>
          </w:p>
        </w:tc>
        <w:tc>
          <w:tcPr>
            <w:tcW w:w="620"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5</w:t>
            </w:r>
          </w:p>
        </w:tc>
        <w:tc>
          <w:tcPr>
            <w:tcW w:w="655"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10</w:t>
            </w:r>
          </w:p>
        </w:tc>
      </w:tr>
      <w:tr w:rsidR="0000273D" w:rsidRPr="00DA25EE" w:rsidTr="007F01D3">
        <w:tc>
          <w:tcPr>
            <w:tcW w:w="663" w:type="pct"/>
            <w:vMerge/>
            <w:shd w:val="clear" w:color="auto" w:fill="auto"/>
            <w:vAlign w:val="center"/>
            <w:hideMark/>
          </w:tcPr>
          <w:p w:rsidR="0000273D" w:rsidRPr="00DA25EE" w:rsidRDefault="0000273D" w:rsidP="007F01D3">
            <w:pPr>
              <w:spacing w:after="0"/>
              <w:rPr>
                <w:rFonts w:ascii="Calibri" w:eastAsia="Times New Roman" w:hAnsi="Calibri" w:cs="Times New Roman"/>
                <w:color w:val="000000"/>
                <w:sz w:val="20"/>
                <w:szCs w:val="20"/>
              </w:rPr>
            </w:pPr>
          </w:p>
        </w:tc>
        <w:tc>
          <w:tcPr>
            <w:tcW w:w="1772" w:type="pct"/>
            <w:shd w:val="clear" w:color="auto" w:fill="auto"/>
            <w:vAlign w:val="center"/>
            <w:hideMark/>
          </w:tcPr>
          <w:p w:rsidR="0000273D" w:rsidRPr="00DA25EE" w:rsidRDefault="0000273D" w:rsidP="007F01D3">
            <w:pPr>
              <w:spacing w:after="0"/>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Water Heater Setback</w:t>
            </w:r>
          </w:p>
        </w:tc>
        <w:tc>
          <w:tcPr>
            <w:tcW w:w="629"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12%</w:t>
            </w:r>
          </w:p>
        </w:tc>
        <w:tc>
          <w:tcPr>
            <w:tcW w:w="661"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n/a</w:t>
            </w:r>
          </w:p>
        </w:tc>
        <w:tc>
          <w:tcPr>
            <w:tcW w:w="620"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6</w:t>
            </w:r>
          </w:p>
        </w:tc>
        <w:tc>
          <w:tcPr>
            <w:tcW w:w="655"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n/a</w:t>
            </w:r>
          </w:p>
        </w:tc>
      </w:tr>
      <w:tr w:rsidR="0000273D" w:rsidRPr="00DA25EE" w:rsidTr="007F01D3">
        <w:tc>
          <w:tcPr>
            <w:tcW w:w="663" w:type="pct"/>
            <w:shd w:val="clear" w:color="auto" w:fill="auto"/>
            <w:vAlign w:val="center"/>
            <w:hideMark/>
          </w:tcPr>
          <w:p w:rsidR="0000273D" w:rsidRPr="00DA25EE" w:rsidRDefault="0000273D" w:rsidP="007F01D3">
            <w:pPr>
              <w:spacing w:after="0"/>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HVAC</w:t>
            </w:r>
          </w:p>
        </w:tc>
        <w:tc>
          <w:tcPr>
            <w:tcW w:w="1772" w:type="pct"/>
            <w:shd w:val="clear" w:color="auto" w:fill="auto"/>
            <w:vAlign w:val="center"/>
            <w:hideMark/>
          </w:tcPr>
          <w:p w:rsidR="0000273D" w:rsidRPr="00DA25EE" w:rsidRDefault="0000273D" w:rsidP="007F01D3">
            <w:pPr>
              <w:spacing w:after="0"/>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Heating System Replacement</w:t>
            </w:r>
          </w:p>
        </w:tc>
        <w:tc>
          <w:tcPr>
            <w:tcW w:w="629"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3%</w:t>
            </w:r>
          </w:p>
        </w:tc>
        <w:tc>
          <w:tcPr>
            <w:tcW w:w="661"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n/a</w:t>
            </w:r>
          </w:p>
        </w:tc>
        <w:tc>
          <w:tcPr>
            <w:tcW w:w="620"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318</w:t>
            </w:r>
          </w:p>
        </w:tc>
        <w:tc>
          <w:tcPr>
            <w:tcW w:w="655"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n/a</w:t>
            </w:r>
          </w:p>
        </w:tc>
      </w:tr>
      <w:tr w:rsidR="0000273D" w:rsidRPr="00DA25EE" w:rsidTr="007F01D3">
        <w:tc>
          <w:tcPr>
            <w:tcW w:w="663" w:type="pct"/>
            <w:shd w:val="clear" w:color="auto" w:fill="auto"/>
            <w:vAlign w:val="center"/>
            <w:hideMark/>
          </w:tcPr>
          <w:p w:rsidR="0000273D" w:rsidRPr="00DA25EE" w:rsidRDefault="0000273D" w:rsidP="007F01D3">
            <w:pPr>
              <w:spacing w:after="0"/>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Other</w:t>
            </w:r>
          </w:p>
        </w:tc>
        <w:tc>
          <w:tcPr>
            <w:tcW w:w="1772" w:type="pct"/>
            <w:shd w:val="clear" w:color="auto" w:fill="auto"/>
            <w:vAlign w:val="center"/>
            <w:hideMark/>
          </w:tcPr>
          <w:p w:rsidR="0000273D" w:rsidRPr="00DA25EE" w:rsidRDefault="0000273D" w:rsidP="007F01D3">
            <w:pPr>
              <w:spacing w:after="0"/>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Other</w:t>
            </w:r>
          </w:p>
        </w:tc>
        <w:tc>
          <w:tcPr>
            <w:tcW w:w="629"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3%</w:t>
            </w:r>
          </w:p>
        </w:tc>
        <w:tc>
          <w:tcPr>
            <w:tcW w:w="661"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n/a</w:t>
            </w:r>
          </w:p>
        </w:tc>
        <w:tc>
          <w:tcPr>
            <w:tcW w:w="620"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35</w:t>
            </w:r>
          </w:p>
        </w:tc>
        <w:tc>
          <w:tcPr>
            <w:tcW w:w="655" w:type="pct"/>
            <w:shd w:val="clear" w:color="auto" w:fill="auto"/>
            <w:vAlign w:val="center"/>
            <w:hideMark/>
          </w:tcPr>
          <w:p w:rsidR="0000273D" w:rsidRPr="00DA25EE" w:rsidRDefault="0000273D" w:rsidP="007F01D3">
            <w:pPr>
              <w:spacing w:after="0"/>
              <w:jc w:val="right"/>
              <w:rPr>
                <w:rFonts w:ascii="Calibri" w:eastAsia="Times New Roman" w:hAnsi="Calibri" w:cs="Times New Roman"/>
                <w:color w:val="000000"/>
                <w:sz w:val="20"/>
                <w:szCs w:val="20"/>
              </w:rPr>
            </w:pPr>
            <w:r w:rsidRPr="00DA25EE">
              <w:rPr>
                <w:rFonts w:ascii="Calibri" w:eastAsia="Times New Roman" w:hAnsi="Calibri" w:cs="Times New Roman"/>
                <w:color w:val="000000"/>
                <w:sz w:val="20"/>
                <w:szCs w:val="20"/>
              </w:rPr>
              <w:t>n/a</w:t>
            </w:r>
          </w:p>
        </w:tc>
      </w:tr>
      <w:tr w:rsidR="0000273D" w:rsidRPr="00DA25EE" w:rsidTr="007F01D3">
        <w:tc>
          <w:tcPr>
            <w:tcW w:w="2435" w:type="pct"/>
            <w:gridSpan w:val="2"/>
            <w:shd w:val="clear" w:color="auto" w:fill="auto"/>
            <w:vAlign w:val="center"/>
            <w:hideMark/>
          </w:tcPr>
          <w:p w:rsidR="0000273D" w:rsidRPr="00DA25EE" w:rsidRDefault="0000273D" w:rsidP="007F01D3">
            <w:pPr>
              <w:spacing w:after="0"/>
              <w:rPr>
                <w:rFonts w:ascii="Calibri" w:eastAsia="Times New Roman" w:hAnsi="Calibri" w:cs="Times New Roman"/>
                <w:b/>
                <w:bCs/>
                <w:color w:val="005DAA"/>
                <w:sz w:val="20"/>
                <w:szCs w:val="20"/>
              </w:rPr>
            </w:pPr>
            <w:r w:rsidRPr="00DA25EE">
              <w:rPr>
                <w:rFonts w:ascii="Calibri" w:eastAsia="Times New Roman" w:hAnsi="Calibri" w:cs="Times New Roman"/>
                <w:b/>
                <w:bCs/>
                <w:color w:val="005DAA"/>
                <w:sz w:val="20"/>
                <w:szCs w:val="20"/>
              </w:rPr>
              <w:t>Sample (n)</w:t>
            </w:r>
          </w:p>
        </w:tc>
        <w:tc>
          <w:tcPr>
            <w:tcW w:w="629" w:type="pct"/>
            <w:shd w:val="clear" w:color="auto" w:fill="auto"/>
            <w:vAlign w:val="center"/>
            <w:hideMark/>
          </w:tcPr>
          <w:p w:rsidR="0000273D" w:rsidRPr="00DA25EE" w:rsidRDefault="0000273D" w:rsidP="007F01D3">
            <w:pPr>
              <w:spacing w:after="0"/>
              <w:jc w:val="right"/>
              <w:rPr>
                <w:rFonts w:ascii="Calibri" w:eastAsia="Times New Roman" w:hAnsi="Calibri" w:cs="Times New Roman"/>
                <w:b/>
                <w:bCs/>
                <w:color w:val="005DAA"/>
                <w:sz w:val="20"/>
                <w:szCs w:val="20"/>
              </w:rPr>
            </w:pPr>
            <w:r w:rsidRPr="00DA25EE">
              <w:rPr>
                <w:rFonts w:ascii="Calibri" w:eastAsia="Times New Roman" w:hAnsi="Calibri" w:cs="Times New Roman"/>
                <w:b/>
                <w:bCs/>
                <w:color w:val="005DAA"/>
                <w:sz w:val="20"/>
                <w:szCs w:val="20"/>
              </w:rPr>
              <w:t>23</w:t>
            </w:r>
            <w:r w:rsidR="001B48EB">
              <w:rPr>
                <w:rFonts w:ascii="Calibri" w:eastAsia="Times New Roman" w:hAnsi="Calibri" w:cs="Times New Roman"/>
                <w:b/>
                <w:bCs/>
                <w:color w:val="005DAA"/>
                <w:sz w:val="20"/>
                <w:szCs w:val="20"/>
              </w:rPr>
              <w:t>1</w:t>
            </w:r>
          </w:p>
        </w:tc>
        <w:tc>
          <w:tcPr>
            <w:tcW w:w="661" w:type="pct"/>
            <w:shd w:val="clear" w:color="auto" w:fill="auto"/>
            <w:vAlign w:val="center"/>
            <w:hideMark/>
          </w:tcPr>
          <w:p w:rsidR="0000273D" w:rsidRPr="00DA25EE" w:rsidRDefault="0000273D" w:rsidP="007F01D3">
            <w:pPr>
              <w:spacing w:after="0"/>
              <w:jc w:val="right"/>
              <w:rPr>
                <w:rFonts w:ascii="Calibri" w:eastAsia="Times New Roman" w:hAnsi="Calibri" w:cs="Times New Roman"/>
                <w:b/>
                <w:bCs/>
                <w:color w:val="005DAA"/>
                <w:sz w:val="20"/>
                <w:szCs w:val="20"/>
              </w:rPr>
            </w:pPr>
            <w:r w:rsidRPr="00DA25EE">
              <w:rPr>
                <w:rFonts w:ascii="Calibri" w:eastAsia="Times New Roman" w:hAnsi="Calibri" w:cs="Times New Roman"/>
                <w:b/>
                <w:bCs/>
                <w:color w:val="005DAA"/>
                <w:sz w:val="20"/>
                <w:szCs w:val="20"/>
              </w:rPr>
              <w:t>114</w:t>
            </w:r>
          </w:p>
        </w:tc>
        <w:tc>
          <w:tcPr>
            <w:tcW w:w="620" w:type="pct"/>
            <w:shd w:val="clear" w:color="auto" w:fill="auto"/>
            <w:vAlign w:val="center"/>
            <w:hideMark/>
          </w:tcPr>
          <w:p w:rsidR="0000273D" w:rsidRPr="00DA25EE" w:rsidRDefault="0000273D" w:rsidP="007F01D3">
            <w:pPr>
              <w:spacing w:after="0"/>
              <w:jc w:val="right"/>
              <w:rPr>
                <w:rFonts w:ascii="Calibri" w:eastAsia="Times New Roman" w:hAnsi="Calibri" w:cs="Times New Roman"/>
                <w:b/>
                <w:bCs/>
                <w:color w:val="005DAA"/>
                <w:sz w:val="20"/>
                <w:szCs w:val="20"/>
              </w:rPr>
            </w:pPr>
            <w:r w:rsidRPr="00DA25EE">
              <w:rPr>
                <w:rFonts w:ascii="Calibri" w:eastAsia="Times New Roman" w:hAnsi="Calibri" w:cs="Times New Roman"/>
                <w:b/>
                <w:bCs/>
                <w:color w:val="005DAA"/>
                <w:sz w:val="20"/>
                <w:szCs w:val="20"/>
              </w:rPr>
              <w:t> </w:t>
            </w:r>
          </w:p>
        </w:tc>
        <w:tc>
          <w:tcPr>
            <w:tcW w:w="655" w:type="pct"/>
            <w:shd w:val="clear" w:color="auto" w:fill="auto"/>
            <w:vAlign w:val="center"/>
            <w:hideMark/>
          </w:tcPr>
          <w:p w:rsidR="0000273D" w:rsidRPr="00DA25EE" w:rsidRDefault="0000273D" w:rsidP="007F01D3">
            <w:pPr>
              <w:spacing w:after="0"/>
              <w:jc w:val="right"/>
              <w:rPr>
                <w:rFonts w:ascii="Calibri" w:eastAsia="Times New Roman" w:hAnsi="Calibri" w:cs="Times New Roman"/>
                <w:b/>
                <w:bCs/>
                <w:color w:val="005DAA"/>
                <w:sz w:val="20"/>
                <w:szCs w:val="20"/>
              </w:rPr>
            </w:pPr>
            <w:r w:rsidRPr="00DA25EE">
              <w:rPr>
                <w:rFonts w:ascii="Calibri" w:eastAsia="Times New Roman" w:hAnsi="Calibri" w:cs="Times New Roman"/>
                <w:b/>
                <w:bCs/>
                <w:color w:val="005DAA"/>
                <w:sz w:val="20"/>
                <w:szCs w:val="20"/>
              </w:rPr>
              <w:t> </w:t>
            </w:r>
          </w:p>
        </w:tc>
      </w:tr>
    </w:tbl>
    <w:p w:rsidR="0000273D" w:rsidRPr="00550EE6" w:rsidRDefault="00550EE6" w:rsidP="00550EE6">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Pr="00550EE6">
        <w:rPr>
          <w:rFonts w:ascii="Calibri" w:eastAsia="Times New Roman" w:hAnsi="Calibri" w:cs="Times New Roman"/>
          <w:color w:val="000000"/>
          <w:sz w:val="20"/>
          <w:szCs w:val="20"/>
        </w:rPr>
        <w:t>Contains a mix of low-flow showerheads, faucet aerators, and pipe insulation</w:t>
      </w:r>
      <w:r w:rsidR="00032C95">
        <w:rPr>
          <w:rFonts w:ascii="Calibri" w:eastAsia="Times New Roman" w:hAnsi="Calibri" w:cs="Times New Roman"/>
          <w:color w:val="000000"/>
          <w:sz w:val="20"/>
          <w:szCs w:val="20"/>
        </w:rPr>
        <w:t>.</w:t>
      </w:r>
    </w:p>
    <w:p w:rsidR="00550EE6" w:rsidRPr="00550EE6" w:rsidRDefault="00550EE6" w:rsidP="007F01D3">
      <w:pPr>
        <w:spacing w:after="0" w:line="240" w:lineRule="auto"/>
        <w:ind w:left="180" w:hanging="180"/>
        <w:rPr>
          <w:sz w:val="20"/>
          <w:szCs w:val="20"/>
          <w:highlight w:val="yellow"/>
        </w:rPr>
      </w:pPr>
      <w:r>
        <w:rPr>
          <w:rFonts w:ascii="Calibri" w:eastAsia="Times New Roman" w:hAnsi="Calibri" w:cs="Times New Roman"/>
          <w:color w:val="000000"/>
          <w:sz w:val="20"/>
          <w:szCs w:val="20"/>
        </w:rPr>
        <w:t>**</w:t>
      </w:r>
      <w:r w:rsidRPr="00550EE6">
        <w:rPr>
          <w:rFonts w:ascii="Calibri" w:eastAsia="Times New Roman" w:hAnsi="Calibri" w:cs="Times New Roman"/>
          <w:color w:val="000000"/>
          <w:sz w:val="20"/>
          <w:szCs w:val="20"/>
        </w:rPr>
        <w:t xml:space="preserve">SP4 participation is defined using the tracking system and may include instances of crossover participation into other HES-IE </w:t>
      </w:r>
      <w:r w:rsidR="004362A1">
        <w:rPr>
          <w:rFonts w:ascii="Calibri" w:eastAsia="Times New Roman" w:hAnsi="Calibri" w:cs="Times New Roman"/>
          <w:color w:val="000000"/>
          <w:sz w:val="20"/>
          <w:szCs w:val="20"/>
        </w:rPr>
        <w:t>SPs</w:t>
      </w:r>
      <w:r w:rsidRPr="00550EE6">
        <w:rPr>
          <w:rFonts w:ascii="Calibri" w:eastAsia="Times New Roman" w:hAnsi="Calibri" w:cs="Times New Roman"/>
          <w:color w:val="000000"/>
          <w:sz w:val="20"/>
          <w:szCs w:val="20"/>
        </w:rPr>
        <w:t>, resulting in additional measure installations for this sample.</w:t>
      </w:r>
    </w:p>
    <w:p w:rsidR="00550EE6" w:rsidRDefault="00550EE6" w:rsidP="00550EE6">
      <w:pPr>
        <w:pStyle w:val="NormalAfterTablesandFigures"/>
        <w:rPr>
          <w:highlight w:val="yellow"/>
        </w:rPr>
      </w:pPr>
    </w:p>
    <w:p w:rsidR="0000273D" w:rsidRPr="002E016E" w:rsidRDefault="0000273D" w:rsidP="00550EE6">
      <w:r w:rsidRPr="002E016E">
        <w:t>In general, installation activit</w:t>
      </w:r>
      <w:r w:rsidR="000E6E3C">
        <w:t>ies</w:t>
      </w:r>
      <w:r w:rsidRPr="002E016E">
        <w:t xml:space="preserve"> for each utility HES-IE SP1 and SP4 (and associated gas impacts) </w:t>
      </w:r>
      <w:r w:rsidR="000E6E3C">
        <w:t>were</w:t>
      </w:r>
      <w:r w:rsidRPr="002E016E">
        <w:t xml:space="preserve"> characterized by high frequencies </w:t>
      </w:r>
      <w:r w:rsidR="00032C95" w:rsidRPr="002E016E">
        <w:t xml:space="preserve">for: </w:t>
      </w:r>
      <w:r w:rsidRPr="002E016E">
        <w:t>air sealing (63% for SP1, 42% for SP4)</w:t>
      </w:r>
      <w:r w:rsidR="00032C95" w:rsidRPr="002E016E">
        <w:t>;</w:t>
      </w:r>
      <w:r w:rsidRPr="002E016E">
        <w:t xml:space="preserve"> hot-water savings measures</w:t>
      </w:r>
      <w:r w:rsidR="00032C95" w:rsidRPr="002E016E">
        <w:t>,</w:t>
      </w:r>
      <w:r w:rsidR="002953AD" w:rsidRPr="002E016E">
        <w:t xml:space="preserve"> </w:t>
      </w:r>
      <w:r w:rsidRPr="002E016E">
        <w:t>including the DHW bundle (77%, 96%)</w:t>
      </w:r>
      <w:r w:rsidR="00032C95" w:rsidRPr="002E016E">
        <w:t>;</w:t>
      </w:r>
      <w:r w:rsidRPr="002E016E">
        <w:t xml:space="preserve"> and</w:t>
      </w:r>
      <w:r w:rsidR="00032C95" w:rsidRPr="002E016E">
        <w:t>,</w:t>
      </w:r>
      <w:r w:rsidRPr="002E016E">
        <w:t xml:space="preserve"> specific to SP1, pipe insulation (18%) and water heater temperature setback (12%). Attic and wall insulation </w:t>
      </w:r>
      <w:r w:rsidR="000E6E3C">
        <w:t xml:space="preserve">also </w:t>
      </w:r>
      <w:r w:rsidRPr="002E016E">
        <w:t xml:space="preserve">were present for 6% and 4% of SP1 participants, respectively. </w:t>
      </w:r>
    </w:p>
    <w:p w:rsidR="0000273D" w:rsidRPr="00094F12" w:rsidRDefault="00982BEE" w:rsidP="00550EE6">
      <w:r>
        <w:t>T</w:t>
      </w:r>
      <w:r w:rsidR="0000273D" w:rsidRPr="00094F12">
        <w:t>he majority of HES</w:t>
      </w:r>
      <w:r w:rsidR="0000273D">
        <w:t xml:space="preserve">-IE SP1 and SP4 </w:t>
      </w:r>
      <w:r w:rsidR="0000273D" w:rsidRPr="00094F12">
        <w:t>gas-savings participa</w:t>
      </w:r>
      <w:r w:rsidR="000E6E3C">
        <w:t xml:space="preserve">tion </w:t>
      </w:r>
      <w:r w:rsidR="0000273D" w:rsidRPr="00094F12">
        <w:t>occur</w:t>
      </w:r>
      <w:r w:rsidR="000E6E3C">
        <w:t>red</w:t>
      </w:r>
      <w:r w:rsidR="0000273D" w:rsidRPr="00094F12">
        <w:t xml:space="preserve"> in single-family homes, </w:t>
      </w:r>
      <w:r w:rsidR="00032C95">
        <w:t xml:space="preserve">a finding </w:t>
      </w:r>
      <w:r w:rsidR="0000273D" w:rsidRPr="00094F12">
        <w:t>consistent with the HES</w:t>
      </w:r>
      <w:r w:rsidR="0000273D">
        <w:t xml:space="preserve">-IE SP1 and SP4 </w:t>
      </w:r>
      <w:r w:rsidR="0000273D" w:rsidRPr="00094F12">
        <w:t xml:space="preserve">electric participant distribution. </w:t>
      </w:r>
      <w:r>
        <w:t xml:space="preserve">As </w:t>
      </w:r>
      <w:r w:rsidR="000E6E3C">
        <w:t xml:space="preserve">just </w:t>
      </w:r>
      <w:r>
        <w:t xml:space="preserve">one SP4 participant was listed as multifamily, </w:t>
      </w:r>
      <w:r w:rsidR="002506E1">
        <w:fldChar w:fldCharType="begin"/>
      </w:r>
      <w:r w:rsidR="002506E1">
        <w:instrText xml:space="preserve"> REF _Ref382989694 \h  \* MER</w:instrText>
      </w:r>
      <w:r w:rsidR="002506E1">
        <w:instrText xml:space="preserve">GEFORMAT </w:instrText>
      </w:r>
      <w:r w:rsidR="002506E1">
        <w:fldChar w:fldCharType="separate"/>
      </w:r>
      <w:r w:rsidR="00CD20CF" w:rsidRPr="00094F12">
        <w:t xml:space="preserve">Table </w:t>
      </w:r>
      <w:r w:rsidR="00CD20CF">
        <w:rPr>
          <w:noProof/>
        </w:rPr>
        <w:t>78</w:t>
      </w:r>
      <w:r w:rsidR="002506E1">
        <w:fldChar w:fldCharType="end"/>
      </w:r>
      <w:r w:rsidRPr="00094F12">
        <w:t xml:space="preserve"> </w:t>
      </w:r>
      <w:r w:rsidR="000E6E3C">
        <w:t xml:space="preserve">only </w:t>
      </w:r>
      <w:r w:rsidRPr="00094F12">
        <w:t xml:space="preserve">shows </w:t>
      </w:r>
      <w:r w:rsidR="001B48EB">
        <w:t>model results</w:t>
      </w:r>
      <w:r>
        <w:t xml:space="preserve"> for SP1 by building type.</w:t>
      </w:r>
    </w:p>
    <w:p w:rsidR="0000273D" w:rsidRPr="00094F12" w:rsidRDefault="0000273D" w:rsidP="0000273D">
      <w:pPr>
        <w:pStyle w:val="Caption"/>
      </w:pPr>
      <w:bookmarkStart w:id="132" w:name="_Ref382989694"/>
      <w:r w:rsidRPr="00094F12">
        <w:t xml:space="preserve">Table </w:t>
      </w:r>
      <w:r w:rsidR="002506E1">
        <w:fldChar w:fldCharType="begin"/>
      </w:r>
      <w:r w:rsidR="002506E1">
        <w:instrText xml:space="preserve"> SEQ Table \* ARABIC </w:instrText>
      </w:r>
      <w:r w:rsidR="002506E1">
        <w:fldChar w:fldCharType="separate"/>
      </w:r>
      <w:r w:rsidR="00CD20CF">
        <w:rPr>
          <w:noProof/>
        </w:rPr>
        <w:t>78</w:t>
      </w:r>
      <w:r w:rsidR="002506E1">
        <w:rPr>
          <w:noProof/>
        </w:rPr>
        <w:fldChar w:fldCharType="end"/>
      </w:r>
      <w:bookmarkEnd w:id="132"/>
      <w:r w:rsidRPr="00094F12">
        <w:t xml:space="preserve">. HES-IE </w:t>
      </w:r>
      <w:r>
        <w:t xml:space="preserve">SP1 and SP4 </w:t>
      </w:r>
      <w:r w:rsidRPr="00094F12">
        <w:t xml:space="preserve">Natural Gas Billing Analysis: Savings Summary, </w:t>
      </w:r>
      <w:r w:rsidR="00550EE6">
        <w:br/>
      </w:r>
      <w:r w:rsidRPr="00094F12">
        <w:t>by Building Type (Adjusted Gross)</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38"/>
        <w:gridCol w:w="1621"/>
        <w:gridCol w:w="810"/>
        <w:gridCol w:w="990"/>
        <w:gridCol w:w="1350"/>
        <w:gridCol w:w="1800"/>
        <w:gridCol w:w="1367"/>
      </w:tblGrid>
      <w:tr w:rsidR="0000273D" w:rsidRPr="0098042D" w:rsidTr="00135F68">
        <w:tc>
          <w:tcPr>
            <w:tcW w:w="855" w:type="pct"/>
            <w:shd w:val="clear" w:color="000000" w:fill="005DAA"/>
            <w:vAlign w:val="center"/>
          </w:tcPr>
          <w:p w:rsidR="0000273D" w:rsidRPr="0098042D" w:rsidRDefault="0000273D" w:rsidP="0000273D">
            <w:pPr>
              <w:pStyle w:val="TableHeading-left"/>
              <w:keepNext/>
              <w:keepLines/>
              <w:jc w:val="center"/>
            </w:pPr>
            <w:r>
              <w:t>HES-IE Subprogram</w:t>
            </w:r>
          </w:p>
        </w:tc>
        <w:tc>
          <w:tcPr>
            <w:tcW w:w="846" w:type="pct"/>
            <w:shd w:val="clear" w:color="000000" w:fill="005DAA"/>
            <w:vAlign w:val="center"/>
            <w:hideMark/>
          </w:tcPr>
          <w:p w:rsidR="0000273D" w:rsidRPr="0098042D" w:rsidRDefault="0000273D" w:rsidP="0000273D">
            <w:pPr>
              <w:pStyle w:val="TableHeading-left"/>
              <w:keepNext/>
              <w:keepLines/>
              <w:jc w:val="center"/>
            </w:pPr>
            <w:r w:rsidRPr="0098042D">
              <w:t xml:space="preserve">Participant </w:t>
            </w:r>
            <w:r w:rsidRPr="0098042D">
              <w:br/>
              <w:t>Heating Type</w:t>
            </w:r>
          </w:p>
        </w:tc>
        <w:tc>
          <w:tcPr>
            <w:tcW w:w="423" w:type="pct"/>
            <w:shd w:val="clear" w:color="000000" w:fill="005DAA"/>
            <w:vAlign w:val="center"/>
            <w:hideMark/>
          </w:tcPr>
          <w:p w:rsidR="0000273D" w:rsidRPr="0098042D" w:rsidRDefault="0000273D" w:rsidP="0000273D">
            <w:pPr>
              <w:pStyle w:val="TableHeading-centered"/>
              <w:keepNext/>
              <w:keepLines/>
            </w:pPr>
            <w:r w:rsidRPr="0098042D">
              <w:t>n</w:t>
            </w:r>
          </w:p>
        </w:tc>
        <w:tc>
          <w:tcPr>
            <w:tcW w:w="517" w:type="pct"/>
            <w:shd w:val="clear" w:color="000000" w:fill="005DAA"/>
            <w:vAlign w:val="center"/>
            <w:hideMark/>
          </w:tcPr>
          <w:p w:rsidR="0000273D" w:rsidRPr="0098042D" w:rsidRDefault="0000273D" w:rsidP="0000273D">
            <w:pPr>
              <w:pStyle w:val="TableHeading-centered"/>
              <w:keepNext/>
              <w:keepLines/>
            </w:pPr>
            <w:r w:rsidRPr="0098042D">
              <w:t>PRENAC</w:t>
            </w:r>
          </w:p>
        </w:tc>
        <w:tc>
          <w:tcPr>
            <w:tcW w:w="705" w:type="pct"/>
            <w:shd w:val="clear" w:color="000000" w:fill="005DAA"/>
            <w:vAlign w:val="center"/>
            <w:hideMark/>
          </w:tcPr>
          <w:p w:rsidR="0000273D" w:rsidRPr="0098042D" w:rsidRDefault="0000273D" w:rsidP="0000273D">
            <w:pPr>
              <w:pStyle w:val="TableHeading-centered"/>
              <w:keepNext/>
              <w:keepLines/>
            </w:pPr>
            <w:r w:rsidRPr="0098042D">
              <w:t>Model Savings (CCF)</w:t>
            </w:r>
          </w:p>
        </w:tc>
        <w:tc>
          <w:tcPr>
            <w:tcW w:w="940" w:type="pct"/>
            <w:shd w:val="clear" w:color="000000" w:fill="005DAA"/>
            <w:vAlign w:val="center"/>
            <w:hideMark/>
          </w:tcPr>
          <w:p w:rsidR="0000273D" w:rsidRPr="0098042D" w:rsidRDefault="0000273D" w:rsidP="0000273D">
            <w:pPr>
              <w:pStyle w:val="TableHeading-centered"/>
              <w:keepNext/>
              <w:keepLines/>
            </w:pPr>
            <w:r w:rsidRPr="0098042D">
              <w:t>Savings as</w:t>
            </w:r>
            <w:r w:rsidR="002953AD">
              <w:t xml:space="preserve"> </w:t>
            </w:r>
            <w:r w:rsidRPr="0098042D">
              <w:t>Percentage of Pre-Usage</w:t>
            </w:r>
          </w:p>
        </w:tc>
        <w:tc>
          <w:tcPr>
            <w:tcW w:w="714" w:type="pct"/>
            <w:shd w:val="clear" w:color="000000" w:fill="005DAA"/>
            <w:vAlign w:val="center"/>
            <w:hideMark/>
          </w:tcPr>
          <w:p w:rsidR="0000273D" w:rsidRPr="0098042D" w:rsidRDefault="0000273D" w:rsidP="0000273D">
            <w:pPr>
              <w:pStyle w:val="TableHeading-centered"/>
              <w:keepNext/>
              <w:keepLines/>
            </w:pPr>
            <w:r w:rsidRPr="0098042D">
              <w:t>Relative Precision at 90%</w:t>
            </w:r>
          </w:p>
        </w:tc>
      </w:tr>
      <w:tr w:rsidR="0000273D" w:rsidRPr="0098042D" w:rsidTr="00135F68">
        <w:tc>
          <w:tcPr>
            <w:tcW w:w="855" w:type="pct"/>
            <w:vMerge w:val="restart"/>
            <w:vAlign w:val="center"/>
          </w:tcPr>
          <w:p w:rsidR="0000273D" w:rsidRPr="0098042D" w:rsidRDefault="0000273D" w:rsidP="0000273D">
            <w:pPr>
              <w:pStyle w:val="TableRow-left"/>
              <w:keepNext/>
              <w:keepLines/>
            </w:pPr>
            <w:r>
              <w:t>SP1</w:t>
            </w:r>
          </w:p>
        </w:tc>
        <w:tc>
          <w:tcPr>
            <w:tcW w:w="846" w:type="pct"/>
            <w:shd w:val="clear" w:color="auto" w:fill="auto"/>
            <w:vAlign w:val="center"/>
            <w:hideMark/>
          </w:tcPr>
          <w:p w:rsidR="0000273D" w:rsidRPr="0098042D" w:rsidRDefault="0000273D" w:rsidP="0000273D">
            <w:pPr>
              <w:pStyle w:val="TableRow-left"/>
              <w:keepNext/>
              <w:keepLines/>
            </w:pPr>
            <w:r w:rsidRPr="0098042D">
              <w:t>Single</w:t>
            </w:r>
            <w:r w:rsidR="000E6E3C">
              <w:t>-</w:t>
            </w:r>
            <w:r w:rsidRPr="0098042D">
              <w:t>family</w:t>
            </w:r>
          </w:p>
        </w:tc>
        <w:tc>
          <w:tcPr>
            <w:tcW w:w="423" w:type="pct"/>
            <w:shd w:val="clear" w:color="auto" w:fill="auto"/>
            <w:vAlign w:val="center"/>
            <w:hideMark/>
          </w:tcPr>
          <w:p w:rsidR="0000273D" w:rsidRPr="00550EE6" w:rsidRDefault="0000273D" w:rsidP="0000273D">
            <w:pPr>
              <w:spacing w:after="0"/>
              <w:jc w:val="right"/>
              <w:rPr>
                <w:rFonts w:ascii="Calibri" w:hAnsi="Calibri"/>
                <w:color w:val="000000"/>
                <w:sz w:val="20"/>
                <w:szCs w:val="20"/>
              </w:rPr>
            </w:pPr>
            <w:r w:rsidRPr="00550EE6">
              <w:rPr>
                <w:rFonts w:ascii="Calibri" w:hAnsi="Calibri"/>
                <w:color w:val="000000"/>
                <w:sz w:val="20"/>
                <w:szCs w:val="20"/>
              </w:rPr>
              <w:t>195</w:t>
            </w:r>
          </w:p>
        </w:tc>
        <w:tc>
          <w:tcPr>
            <w:tcW w:w="517" w:type="pct"/>
            <w:shd w:val="clear" w:color="auto" w:fill="auto"/>
            <w:vAlign w:val="center"/>
            <w:hideMark/>
          </w:tcPr>
          <w:p w:rsidR="0000273D" w:rsidRPr="00550EE6" w:rsidRDefault="0000273D" w:rsidP="0000273D">
            <w:pPr>
              <w:spacing w:after="0"/>
              <w:jc w:val="right"/>
              <w:rPr>
                <w:rFonts w:ascii="Calibri" w:hAnsi="Calibri"/>
                <w:color w:val="000000"/>
                <w:sz w:val="20"/>
                <w:szCs w:val="20"/>
              </w:rPr>
            </w:pPr>
            <w:r w:rsidRPr="00550EE6">
              <w:rPr>
                <w:rFonts w:ascii="Calibri" w:hAnsi="Calibri"/>
                <w:color w:val="000000"/>
                <w:sz w:val="20"/>
                <w:szCs w:val="20"/>
              </w:rPr>
              <w:t>1,030</w:t>
            </w:r>
          </w:p>
        </w:tc>
        <w:tc>
          <w:tcPr>
            <w:tcW w:w="705" w:type="pct"/>
            <w:shd w:val="clear" w:color="auto" w:fill="auto"/>
            <w:vAlign w:val="center"/>
            <w:hideMark/>
          </w:tcPr>
          <w:p w:rsidR="0000273D" w:rsidRPr="00550EE6" w:rsidRDefault="0000273D" w:rsidP="00982BEE">
            <w:pPr>
              <w:spacing w:after="0"/>
              <w:jc w:val="right"/>
              <w:rPr>
                <w:rFonts w:ascii="Calibri" w:hAnsi="Calibri"/>
                <w:color w:val="000000"/>
                <w:sz w:val="20"/>
                <w:szCs w:val="20"/>
              </w:rPr>
            </w:pPr>
            <w:r w:rsidRPr="00550EE6">
              <w:rPr>
                <w:rFonts w:ascii="Calibri" w:hAnsi="Calibri"/>
                <w:color w:val="000000"/>
                <w:sz w:val="20"/>
                <w:szCs w:val="20"/>
              </w:rPr>
              <w:t>8</w:t>
            </w:r>
            <w:r w:rsidR="00982BEE">
              <w:rPr>
                <w:rFonts w:ascii="Calibri" w:hAnsi="Calibri"/>
                <w:color w:val="000000"/>
                <w:sz w:val="20"/>
                <w:szCs w:val="20"/>
              </w:rPr>
              <w:t>3</w:t>
            </w:r>
          </w:p>
        </w:tc>
        <w:tc>
          <w:tcPr>
            <w:tcW w:w="940" w:type="pct"/>
            <w:shd w:val="clear" w:color="auto" w:fill="auto"/>
            <w:vAlign w:val="center"/>
            <w:hideMark/>
          </w:tcPr>
          <w:p w:rsidR="0000273D" w:rsidRPr="00550EE6" w:rsidRDefault="0000273D" w:rsidP="0000273D">
            <w:pPr>
              <w:spacing w:after="0"/>
              <w:jc w:val="right"/>
              <w:rPr>
                <w:rFonts w:ascii="Calibri" w:hAnsi="Calibri"/>
                <w:color w:val="000000"/>
                <w:sz w:val="20"/>
                <w:szCs w:val="20"/>
              </w:rPr>
            </w:pPr>
            <w:r w:rsidRPr="00550EE6">
              <w:rPr>
                <w:rFonts w:ascii="Calibri" w:hAnsi="Calibri"/>
                <w:color w:val="000000"/>
                <w:sz w:val="20"/>
                <w:szCs w:val="20"/>
              </w:rPr>
              <w:t>8%</w:t>
            </w:r>
          </w:p>
        </w:tc>
        <w:tc>
          <w:tcPr>
            <w:tcW w:w="714" w:type="pct"/>
            <w:shd w:val="clear" w:color="auto" w:fill="auto"/>
            <w:vAlign w:val="center"/>
            <w:hideMark/>
          </w:tcPr>
          <w:p w:rsidR="0000273D" w:rsidRPr="00550EE6" w:rsidRDefault="0000273D" w:rsidP="001B48EB">
            <w:pPr>
              <w:spacing w:after="0"/>
              <w:jc w:val="right"/>
              <w:rPr>
                <w:rFonts w:ascii="Calibri" w:hAnsi="Calibri"/>
                <w:color w:val="000000"/>
                <w:sz w:val="20"/>
                <w:szCs w:val="20"/>
              </w:rPr>
            </w:pPr>
            <w:r w:rsidRPr="00550EE6">
              <w:rPr>
                <w:sz w:val="20"/>
                <w:szCs w:val="20"/>
              </w:rPr>
              <w:t>±</w:t>
            </w:r>
            <w:r w:rsidR="001B48EB">
              <w:rPr>
                <w:rFonts w:ascii="Calibri" w:hAnsi="Calibri"/>
                <w:color w:val="000000"/>
                <w:sz w:val="20"/>
                <w:szCs w:val="20"/>
              </w:rPr>
              <w:t>22</w:t>
            </w:r>
            <w:r w:rsidRPr="00550EE6">
              <w:rPr>
                <w:rFonts w:ascii="Calibri" w:hAnsi="Calibri"/>
                <w:color w:val="000000"/>
                <w:sz w:val="20"/>
                <w:szCs w:val="20"/>
              </w:rPr>
              <w:t>%</w:t>
            </w:r>
          </w:p>
        </w:tc>
      </w:tr>
      <w:tr w:rsidR="0000273D" w:rsidRPr="0098042D" w:rsidTr="00135F68">
        <w:tc>
          <w:tcPr>
            <w:tcW w:w="855" w:type="pct"/>
            <w:vMerge/>
            <w:vAlign w:val="center"/>
          </w:tcPr>
          <w:p w:rsidR="0000273D" w:rsidRPr="0098042D" w:rsidRDefault="0000273D" w:rsidP="0000273D">
            <w:pPr>
              <w:pStyle w:val="TableRow-left"/>
              <w:keepNext/>
              <w:keepLines/>
            </w:pPr>
          </w:p>
        </w:tc>
        <w:tc>
          <w:tcPr>
            <w:tcW w:w="846" w:type="pct"/>
            <w:tcBorders>
              <w:bottom w:val="single" w:sz="4" w:space="0" w:color="BFBFBF"/>
            </w:tcBorders>
            <w:shd w:val="clear" w:color="auto" w:fill="auto"/>
            <w:vAlign w:val="center"/>
            <w:hideMark/>
          </w:tcPr>
          <w:p w:rsidR="0000273D" w:rsidRPr="0098042D" w:rsidRDefault="0000273D" w:rsidP="0000273D">
            <w:pPr>
              <w:pStyle w:val="TableRow-left"/>
              <w:keepNext/>
              <w:keepLines/>
            </w:pPr>
            <w:r w:rsidRPr="0098042D">
              <w:t>Multifamily</w:t>
            </w:r>
          </w:p>
        </w:tc>
        <w:tc>
          <w:tcPr>
            <w:tcW w:w="423" w:type="pct"/>
            <w:tcBorders>
              <w:bottom w:val="single" w:sz="4" w:space="0" w:color="BFBFBF"/>
            </w:tcBorders>
            <w:shd w:val="clear" w:color="auto" w:fill="auto"/>
            <w:vAlign w:val="center"/>
            <w:hideMark/>
          </w:tcPr>
          <w:p w:rsidR="0000273D" w:rsidRPr="00550EE6" w:rsidRDefault="0000273D" w:rsidP="001B48EB">
            <w:pPr>
              <w:spacing w:after="0"/>
              <w:jc w:val="right"/>
              <w:rPr>
                <w:rFonts w:ascii="Calibri" w:hAnsi="Calibri"/>
                <w:color w:val="000000"/>
                <w:sz w:val="20"/>
                <w:szCs w:val="20"/>
              </w:rPr>
            </w:pPr>
            <w:r w:rsidRPr="00550EE6">
              <w:rPr>
                <w:rFonts w:ascii="Calibri" w:hAnsi="Calibri"/>
                <w:color w:val="000000"/>
                <w:sz w:val="20"/>
                <w:szCs w:val="20"/>
              </w:rPr>
              <w:t>3</w:t>
            </w:r>
            <w:r w:rsidR="001B48EB">
              <w:rPr>
                <w:rFonts w:ascii="Calibri" w:hAnsi="Calibri"/>
                <w:color w:val="000000"/>
                <w:sz w:val="20"/>
                <w:szCs w:val="20"/>
              </w:rPr>
              <w:t>6</w:t>
            </w:r>
          </w:p>
        </w:tc>
        <w:tc>
          <w:tcPr>
            <w:tcW w:w="517" w:type="pct"/>
            <w:tcBorders>
              <w:bottom w:val="single" w:sz="4" w:space="0" w:color="BFBFBF"/>
            </w:tcBorders>
            <w:shd w:val="clear" w:color="auto" w:fill="auto"/>
            <w:vAlign w:val="center"/>
            <w:hideMark/>
          </w:tcPr>
          <w:p w:rsidR="0000273D" w:rsidRPr="00550EE6" w:rsidRDefault="0000273D" w:rsidP="0000273D">
            <w:pPr>
              <w:spacing w:after="0"/>
              <w:jc w:val="right"/>
              <w:rPr>
                <w:rFonts w:ascii="Calibri" w:hAnsi="Calibri"/>
                <w:color w:val="000000"/>
                <w:sz w:val="20"/>
                <w:szCs w:val="20"/>
              </w:rPr>
            </w:pPr>
            <w:r w:rsidRPr="00550EE6">
              <w:rPr>
                <w:rFonts w:ascii="Calibri" w:hAnsi="Calibri"/>
                <w:color w:val="000000"/>
                <w:sz w:val="20"/>
                <w:szCs w:val="20"/>
              </w:rPr>
              <w:t>880</w:t>
            </w:r>
          </w:p>
        </w:tc>
        <w:tc>
          <w:tcPr>
            <w:tcW w:w="705" w:type="pct"/>
            <w:tcBorders>
              <w:bottom w:val="single" w:sz="4" w:space="0" w:color="BFBFBF"/>
            </w:tcBorders>
            <w:shd w:val="clear" w:color="auto" w:fill="auto"/>
            <w:vAlign w:val="center"/>
            <w:hideMark/>
          </w:tcPr>
          <w:p w:rsidR="0000273D" w:rsidRPr="00550EE6" w:rsidRDefault="001B48EB" w:rsidP="0000273D">
            <w:pPr>
              <w:spacing w:after="0"/>
              <w:jc w:val="right"/>
              <w:rPr>
                <w:rFonts w:ascii="Calibri" w:hAnsi="Calibri"/>
                <w:color w:val="000000"/>
                <w:sz w:val="20"/>
                <w:szCs w:val="20"/>
              </w:rPr>
            </w:pPr>
            <w:r>
              <w:rPr>
                <w:rFonts w:ascii="Calibri" w:hAnsi="Calibri"/>
                <w:color w:val="000000"/>
                <w:sz w:val="20"/>
                <w:szCs w:val="20"/>
              </w:rPr>
              <w:t>64</w:t>
            </w:r>
          </w:p>
        </w:tc>
        <w:tc>
          <w:tcPr>
            <w:tcW w:w="940" w:type="pct"/>
            <w:tcBorders>
              <w:bottom w:val="single" w:sz="4" w:space="0" w:color="BFBFBF"/>
            </w:tcBorders>
            <w:shd w:val="clear" w:color="auto" w:fill="auto"/>
            <w:vAlign w:val="center"/>
            <w:hideMark/>
          </w:tcPr>
          <w:p w:rsidR="0000273D" w:rsidRPr="00550EE6" w:rsidRDefault="001B48EB" w:rsidP="0000273D">
            <w:pPr>
              <w:spacing w:after="0"/>
              <w:jc w:val="right"/>
              <w:rPr>
                <w:rFonts w:ascii="Calibri" w:hAnsi="Calibri"/>
                <w:color w:val="000000"/>
                <w:sz w:val="20"/>
                <w:szCs w:val="20"/>
              </w:rPr>
            </w:pPr>
            <w:r>
              <w:rPr>
                <w:rFonts w:ascii="Calibri" w:hAnsi="Calibri"/>
                <w:color w:val="000000"/>
                <w:sz w:val="20"/>
                <w:szCs w:val="20"/>
              </w:rPr>
              <w:t>7</w:t>
            </w:r>
            <w:r w:rsidR="0000273D" w:rsidRPr="00550EE6">
              <w:rPr>
                <w:rFonts w:ascii="Calibri" w:hAnsi="Calibri"/>
                <w:color w:val="000000"/>
                <w:sz w:val="20"/>
                <w:szCs w:val="20"/>
              </w:rPr>
              <w:t>%</w:t>
            </w:r>
          </w:p>
        </w:tc>
        <w:tc>
          <w:tcPr>
            <w:tcW w:w="714" w:type="pct"/>
            <w:tcBorders>
              <w:bottom w:val="single" w:sz="4" w:space="0" w:color="BFBFBF"/>
            </w:tcBorders>
            <w:shd w:val="clear" w:color="auto" w:fill="auto"/>
            <w:vAlign w:val="center"/>
            <w:hideMark/>
          </w:tcPr>
          <w:p w:rsidR="0000273D" w:rsidRPr="00550EE6" w:rsidRDefault="0000273D" w:rsidP="0000273D">
            <w:pPr>
              <w:spacing w:after="0"/>
              <w:jc w:val="right"/>
              <w:rPr>
                <w:rFonts w:ascii="Calibri" w:hAnsi="Calibri"/>
                <w:color w:val="000000"/>
                <w:sz w:val="20"/>
                <w:szCs w:val="20"/>
              </w:rPr>
            </w:pPr>
            <w:r w:rsidRPr="00550EE6">
              <w:rPr>
                <w:sz w:val="20"/>
                <w:szCs w:val="20"/>
              </w:rPr>
              <w:t>±</w:t>
            </w:r>
            <w:r w:rsidRPr="00550EE6">
              <w:rPr>
                <w:rFonts w:ascii="Calibri" w:hAnsi="Calibri"/>
                <w:color w:val="000000"/>
                <w:sz w:val="20"/>
                <w:szCs w:val="20"/>
              </w:rPr>
              <w:t>36%</w:t>
            </w:r>
          </w:p>
        </w:tc>
      </w:tr>
      <w:tr w:rsidR="0000273D" w:rsidRPr="0098042D" w:rsidTr="00135F68">
        <w:tc>
          <w:tcPr>
            <w:tcW w:w="855" w:type="pct"/>
            <w:vMerge/>
            <w:shd w:val="clear" w:color="000000" w:fill="D9EEFF"/>
            <w:vAlign w:val="center"/>
          </w:tcPr>
          <w:p w:rsidR="0000273D" w:rsidRPr="0098042D" w:rsidRDefault="0000273D" w:rsidP="0000273D">
            <w:pPr>
              <w:pStyle w:val="TableRow-left"/>
              <w:keepNext/>
              <w:keepLines/>
              <w:rPr>
                <w:b/>
                <w:bCs/>
                <w:color w:val="005DAA"/>
              </w:rPr>
            </w:pPr>
          </w:p>
        </w:tc>
        <w:tc>
          <w:tcPr>
            <w:tcW w:w="846" w:type="pct"/>
            <w:shd w:val="clear" w:color="000000" w:fill="auto"/>
            <w:vAlign w:val="center"/>
            <w:hideMark/>
          </w:tcPr>
          <w:p w:rsidR="0000273D" w:rsidRPr="0098042D" w:rsidRDefault="0000273D" w:rsidP="0000273D">
            <w:pPr>
              <w:pStyle w:val="TableRow-left"/>
              <w:keepNext/>
              <w:keepLines/>
              <w:rPr>
                <w:b/>
                <w:bCs/>
                <w:color w:val="005DAA"/>
              </w:rPr>
            </w:pPr>
            <w:r w:rsidRPr="0098042D">
              <w:rPr>
                <w:b/>
                <w:bCs/>
                <w:color w:val="005DAA"/>
              </w:rPr>
              <w:t>Overall</w:t>
            </w:r>
          </w:p>
        </w:tc>
        <w:tc>
          <w:tcPr>
            <w:tcW w:w="423" w:type="pct"/>
            <w:shd w:val="clear" w:color="000000" w:fill="auto"/>
            <w:vAlign w:val="center"/>
            <w:hideMark/>
          </w:tcPr>
          <w:p w:rsidR="0000273D" w:rsidRPr="00550EE6" w:rsidRDefault="0000273D" w:rsidP="001B48EB">
            <w:pPr>
              <w:spacing w:after="0"/>
              <w:jc w:val="right"/>
              <w:rPr>
                <w:rFonts w:ascii="Calibri" w:hAnsi="Calibri"/>
                <w:b/>
                <w:bCs/>
                <w:color w:val="005DAA"/>
                <w:sz w:val="20"/>
                <w:szCs w:val="20"/>
              </w:rPr>
            </w:pPr>
            <w:r w:rsidRPr="00550EE6">
              <w:rPr>
                <w:rFonts w:ascii="Calibri" w:hAnsi="Calibri"/>
                <w:b/>
                <w:bCs/>
                <w:color w:val="005DAA"/>
                <w:sz w:val="20"/>
                <w:szCs w:val="20"/>
              </w:rPr>
              <w:t>23</w:t>
            </w:r>
            <w:r w:rsidR="001B48EB">
              <w:rPr>
                <w:rFonts w:ascii="Calibri" w:hAnsi="Calibri"/>
                <w:b/>
                <w:bCs/>
                <w:color w:val="005DAA"/>
                <w:sz w:val="20"/>
                <w:szCs w:val="20"/>
              </w:rPr>
              <w:t>1</w:t>
            </w:r>
          </w:p>
        </w:tc>
        <w:tc>
          <w:tcPr>
            <w:tcW w:w="517" w:type="pct"/>
            <w:shd w:val="clear" w:color="000000" w:fill="auto"/>
            <w:vAlign w:val="center"/>
            <w:hideMark/>
          </w:tcPr>
          <w:p w:rsidR="0000273D" w:rsidRPr="00550EE6" w:rsidRDefault="0000273D" w:rsidP="0000273D">
            <w:pPr>
              <w:spacing w:after="0"/>
              <w:jc w:val="right"/>
              <w:rPr>
                <w:rFonts w:ascii="Calibri" w:hAnsi="Calibri"/>
                <w:b/>
                <w:bCs/>
                <w:color w:val="005DAA"/>
                <w:sz w:val="20"/>
                <w:szCs w:val="20"/>
              </w:rPr>
            </w:pPr>
            <w:r w:rsidRPr="00550EE6">
              <w:rPr>
                <w:rFonts w:ascii="Calibri" w:hAnsi="Calibri"/>
                <w:b/>
                <w:bCs/>
                <w:color w:val="005DAA"/>
                <w:sz w:val="20"/>
                <w:szCs w:val="20"/>
              </w:rPr>
              <w:t>1,006</w:t>
            </w:r>
          </w:p>
        </w:tc>
        <w:tc>
          <w:tcPr>
            <w:tcW w:w="705" w:type="pct"/>
            <w:shd w:val="clear" w:color="000000" w:fill="auto"/>
            <w:vAlign w:val="center"/>
            <w:hideMark/>
          </w:tcPr>
          <w:p w:rsidR="0000273D" w:rsidRPr="00550EE6" w:rsidRDefault="001B48EB" w:rsidP="0000273D">
            <w:pPr>
              <w:spacing w:after="0"/>
              <w:jc w:val="right"/>
              <w:rPr>
                <w:rFonts w:ascii="Calibri" w:hAnsi="Calibri"/>
                <w:b/>
                <w:bCs/>
                <w:color w:val="005DAA"/>
                <w:sz w:val="20"/>
                <w:szCs w:val="20"/>
              </w:rPr>
            </w:pPr>
            <w:r>
              <w:rPr>
                <w:rFonts w:ascii="Calibri" w:hAnsi="Calibri"/>
                <w:b/>
                <w:bCs/>
                <w:color w:val="005DAA"/>
                <w:sz w:val="20"/>
                <w:szCs w:val="20"/>
              </w:rPr>
              <w:t>82</w:t>
            </w:r>
          </w:p>
        </w:tc>
        <w:tc>
          <w:tcPr>
            <w:tcW w:w="940" w:type="pct"/>
            <w:shd w:val="clear" w:color="000000" w:fill="auto"/>
            <w:vAlign w:val="center"/>
            <w:hideMark/>
          </w:tcPr>
          <w:p w:rsidR="0000273D" w:rsidRPr="00550EE6" w:rsidRDefault="0000273D" w:rsidP="0000273D">
            <w:pPr>
              <w:spacing w:after="0"/>
              <w:jc w:val="right"/>
              <w:rPr>
                <w:rFonts w:ascii="Calibri" w:hAnsi="Calibri"/>
                <w:b/>
                <w:bCs/>
                <w:color w:val="005DAA"/>
                <w:sz w:val="20"/>
                <w:szCs w:val="20"/>
              </w:rPr>
            </w:pPr>
            <w:r w:rsidRPr="00550EE6">
              <w:rPr>
                <w:rFonts w:ascii="Calibri" w:hAnsi="Calibri"/>
                <w:b/>
                <w:bCs/>
                <w:color w:val="005DAA"/>
                <w:sz w:val="20"/>
                <w:szCs w:val="20"/>
              </w:rPr>
              <w:t>8%</w:t>
            </w:r>
          </w:p>
        </w:tc>
        <w:tc>
          <w:tcPr>
            <w:tcW w:w="714" w:type="pct"/>
            <w:shd w:val="clear" w:color="000000" w:fill="auto"/>
            <w:vAlign w:val="center"/>
            <w:hideMark/>
          </w:tcPr>
          <w:p w:rsidR="0000273D" w:rsidRPr="00550EE6" w:rsidRDefault="0000273D" w:rsidP="001B48EB">
            <w:pPr>
              <w:pStyle w:val="TableRow-right"/>
              <w:keepNext/>
              <w:keepLines/>
              <w:rPr>
                <w:rFonts w:ascii="Calibri" w:eastAsia="Times New Roman" w:hAnsi="Calibri" w:cs="Times New Roman"/>
                <w:b/>
                <w:bCs/>
                <w:color w:val="005DAA"/>
                <w:szCs w:val="20"/>
              </w:rPr>
            </w:pPr>
            <w:r w:rsidRPr="00550EE6">
              <w:rPr>
                <w:rFonts w:ascii="Calibri" w:eastAsia="Times New Roman" w:hAnsi="Calibri" w:cs="Times New Roman"/>
                <w:b/>
                <w:bCs/>
                <w:color w:val="005DAA"/>
                <w:szCs w:val="20"/>
              </w:rPr>
              <w:t>±</w:t>
            </w:r>
            <w:r w:rsidR="001B48EB">
              <w:rPr>
                <w:rFonts w:ascii="Calibri" w:eastAsia="Times New Roman" w:hAnsi="Calibri" w:cs="Times New Roman"/>
                <w:b/>
                <w:bCs/>
                <w:color w:val="005DAA"/>
                <w:szCs w:val="20"/>
              </w:rPr>
              <w:t>2</w:t>
            </w:r>
            <w:r w:rsidRPr="00550EE6">
              <w:rPr>
                <w:rFonts w:ascii="Calibri" w:eastAsia="Times New Roman" w:hAnsi="Calibri" w:cs="Times New Roman"/>
                <w:b/>
                <w:bCs/>
                <w:color w:val="005DAA"/>
                <w:szCs w:val="20"/>
              </w:rPr>
              <w:t>0%</w:t>
            </w:r>
          </w:p>
        </w:tc>
      </w:tr>
    </w:tbl>
    <w:p w:rsidR="0000273D" w:rsidRPr="00783F84" w:rsidRDefault="0000273D" w:rsidP="0000273D">
      <w:pPr>
        <w:pStyle w:val="NormalAfterTablesandFigures"/>
        <w:rPr>
          <w:highlight w:val="yellow"/>
        </w:rPr>
      </w:pPr>
    </w:p>
    <w:p w:rsidR="0000273D" w:rsidRPr="00094F12" w:rsidRDefault="0000273D" w:rsidP="00D67F1F">
      <w:pPr>
        <w:pStyle w:val="Heading4"/>
      </w:pPr>
      <w:r w:rsidRPr="00094F12">
        <w:lastRenderedPageBreak/>
        <w:t>Realization Rate</w:t>
      </w:r>
    </w:p>
    <w:p w:rsidR="0000273D" w:rsidRPr="00094F12" w:rsidRDefault="002506E1" w:rsidP="00D67F1F">
      <w:pPr>
        <w:keepNext/>
        <w:keepLines/>
      </w:pPr>
      <w:r>
        <w:fldChar w:fldCharType="begin"/>
      </w:r>
      <w:r>
        <w:instrText xml:space="preserve"> REF _Ref382989701 \h  \* MERGEFORMAT </w:instrText>
      </w:r>
      <w:r>
        <w:fldChar w:fldCharType="separate"/>
      </w:r>
      <w:r w:rsidR="00CD20CF" w:rsidRPr="00094F12">
        <w:t xml:space="preserve">Table </w:t>
      </w:r>
      <w:r w:rsidR="00CD20CF">
        <w:rPr>
          <w:noProof/>
        </w:rPr>
        <w:t>79</w:t>
      </w:r>
      <w:r>
        <w:fldChar w:fldCharType="end"/>
      </w:r>
      <w:r w:rsidR="0000273D" w:rsidRPr="001B48EB">
        <w:t xml:space="preserve"> provides realization rates</w:t>
      </w:r>
      <w:r w:rsidR="000E6E3C">
        <w:t>,</w:t>
      </w:r>
      <w:r w:rsidR="0000273D" w:rsidRPr="001B48EB">
        <w:t xml:space="preserve"> based on participant gross and adjusted gross savings for the billing analysis sample. </w:t>
      </w:r>
    </w:p>
    <w:p w:rsidR="0000273D" w:rsidRDefault="0000273D" w:rsidP="00D67F1F">
      <w:pPr>
        <w:pStyle w:val="Caption"/>
      </w:pPr>
      <w:bookmarkStart w:id="133" w:name="_Ref382989701"/>
      <w:r w:rsidRPr="00094F12">
        <w:t xml:space="preserve">Table </w:t>
      </w:r>
      <w:r w:rsidR="002506E1">
        <w:fldChar w:fldCharType="begin"/>
      </w:r>
      <w:r w:rsidR="002506E1">
        <w:instrText xml:space="preserve"> </w:instrText>
      </w:r>
      <w:r w:rsidR="002506E1">
        <w:instrText xml:space="preserve">SEQ Table \* ARABIC </w:instrText>
      </w:r>
      <w:r w:rsidR="002506E1">
        <w:fldChar w:fldCharType="separate"/>
      </w:r>
      <w:r w:rsidR="00CD20CF">
        <w:rPr>
          <w:noProof/>
        </w:rPr>
        <w:t>79</w:t>
      </w:r>
      <w:r w:rsidR="002506E1">
        <w:rPr>
          <w:noProof/>
        </w:rPr>
        <w:fldChar w:fldCharType="end"/>
      </w:r>
      <w:bookmarkEnd w:id="133"/>
      <w:r w:rsidRPr="00094F12">
        <w:t xml:space="preserve">. HES-IE </w:t>
      </w:r>
      <w:r>
        <w:t xml:space="preserve">SP1 and SP4 </w:t>
      </w:r>
      <w:r w:rsidRPr="00094F12">
        <w:t>Natural Gas Billing Analysis: Realization Rate Summary</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45"/>
        <w:gridCol w:w="1558"/>
        <w:gridCol w:w="987"/>
        <w:gridCol w:w="1619"/>
        <w:gridCol w:w="1261"/>
        <w:gridCol w:w="1259"/>
        <w:gridCol w:w="1547"/>
      </w:tblGrid>
      <w:tr w:rsidR="0000273D" w:rsidRPr="00CE09A5" w:rsidTr="00135F68">
        <w:tc>
          <w:tcPr>
            <w:tcW w:w="702" w:type="pct"/>
            <w:shd w:val="clear" w:color="000000" w:fill="005DAA"/>
            <w:vAlign w:val="center"/>
            <w:hideMark/>
          </w:tcPr>
          <w:p w:rsidR="0000273D" w:rsidRPr="00CE09A5" w:rsidRDefault="0000273D" w:rsidP="00D67F1F">
            <w:pPr>
              <w:keepNext/>
              <w:keepLines/>
              <w:spacing w:after="0"/>
              <w:jc w:val="center"/>
              <w:rPr>
                <w:rFonts w:ascii="Calibri" w:eastAsia="Times New Roman" w:hAnsi="Calibri" w:cs="Times New Roman"/>
                <w:b/>
                <w:bCs/>
                <w:color w:val="FFFFFF"/>
              </w:rPr>
            </w:pPr>
            <w:r w:rsidRPr="00CE09A5">
              <w:rPr>
                <w:rFonts w:ascii="Calibri" w:eastAsia="Times New Roman" w:hAnsi="Calibri" w:cs="Times New Roman"/>
                <w:b/>
                <w:bCs/>
                <w:color w:val="FFFFFF"/>
              </w:rPr>
              <w:t>HES-IE Subprogram</w:t>
            </w:r>
          </w:p>
        </w:tc>
        <w:tc>
          <w:tcPr>
            <w:tcW w:w="813" w:type="pct"/>
            <w:shd w:val="clear" w:color="000000" w:fill="005DAA"/>
            <w:vAlign w:val="center"/>
            <w:hideMark/>
          </w:tcPr>
          <w:p w:rsidR="0000273D" w:rsidRPr="00CE09A5" w:rsidRDefault="0000273D" w:rsidP="00D67F1F">
            <w:pPr>
              <w:keepNext/>
              <w:keepLines/>
              <w:spacing w:after="0"/>
              <w:jc w:val="center"/>
              <w:rPr>
                <w:rFonts w:ascii="Calibri" w:eastAsia="Times New Roman" w:hAnsi="Calibri" w:cs="Times New Roman"/>
                <w:b/>
                <w:bCs/>
                <w:color w:val="FFFFFF"/>
              </w:rPr>
            </w:pPr>
            <w:r w:rsidRPr="00CE09A5">
              <w:rPr>
                <w:rFonts w:ascii="Calibri" w:eastAsia="Times New Roman" w:hAnsi="Calibri" w:cs="Times New Roman"/>
                <w:b/>
                <w:bCs/>
                <w:color w:val="FFFFFF"/>
              </w:rPr>
              <w:t>Group</w:t>
            </w:r>
          </w:p>
        </w:tc>
        <w:tc>
          <w:tcPr>
            <w:tcW w:w="515" w:type="pct"/>
            <w:shd w:val="clear" w:color="000000" w:fill="005DAA"/>
            <w:vAlign w:val="center"/>
            <w:hideMark/>
          </w:tcPr>
          <w:p w:rsidR="0000273D" w:rsidRPr="00CE09A5" w:rsidRDefault="0000273D" w:rsidP="00D67F1F">
            <w:pPr>
              <w:keepNext/>
              <w:keepLines/>
              <w:spacing w:after="0"/>
              <w:jc w:val="center"/>
              <w:rPr>
                <w:rFonts w:ascii="Calibri" w:eastAsia="Times New Roman" w:hAnsi="Calibri" w:cs="Times New Roman"/>
                <w:b/>
                <w:bCs/>
                <w:color w:val="FFFFFF"/>
              </w:rPr>
            </w:pPr>
            <w:r w:rsidRPr="00CE09A5">
              <w:rPr>
                <w:rFonts w:ascii="Calibri" w:eastAsia="Times New Roman" w:hAnsi="Calibri" w:cs="Times New Roman"/>
                <w:b/>
                <w:bCs/>
                <w:color w:val="FFFFFF"/>
              </w:rPr>
              <w:t>Model Savings (CCF)</w:t>
            </w:r>
          </w:p>
        </w:tc>
        <w:tc>
          <w:tcPr>
            <w:tcW w:w="845" w:type="pct"/>
            <w:shd w:val="clear" w:color="000000" w:fill="005DAA"/>
            <w:vAlign w:val="center"/>
            <w:hideMark/>
          </w:tcPr>
          <w:p w:rsidR="0000273D" w:rsidRPr="00CE09A5" w:rsidRDefault="0000273D" w:rsidP="00D67F1F">
            <w:pPr>
              <w:keepNext/>
              <w:keepLines/>
              <w:spacing w:after="0"/>
              <w:jc w:val="center"/>
              <w:rPr>
                <w:rFonts w:ascii="Calibri" w:eastAsia="Times New Roman" w:hAnsi="Calibri" w:cs="Times New Roman"/>
                <w:b/>
                <w:bCs/>
                <w:color w:val="FFFFFF"/>
              </w:rPr>
            </w:pPr>
            <w:r w:rsidRPr="00CE09A5">
              <w:rPr>
                <w:rFonts w:ascii="Calibri" w:eastAsia="Times New Roman" w:hAnsi="Calibri" w:cs="Times New Roman"/>
                <w:b/>
                <w:bCs/>
                <w:color w:val="FFFFFF"/>
              </w:rPr>
              <w:t xml:space="preserve">Reported </w:t>
            </w:r>
            <w:r w:rsidRPr="000E6E3C">
              <w:rPr>
                <w:rFonts w:ascii="Calibri" w:eastAsia="Times New Roman" w:hAnsi="Calibri" w:cs="Times New Roman"/>
                <w:b/>
                <w:bCs/>
                <w:i/>
                <w:color w:val="FFFFFF"/>
              </w:rPr>
              <w:t>Ex Ante</w:t>
            </w:r>
            <w:r w:rsidRPr="00CE09A5">
              <w:rPr>
                <w:rFonts w:ascii="Calibri" w:eastAsia="Times New Roman" w:hAnsi="Calibri" w:cs="Times New Roman"/>
                <w:b/>
                <w:bCs/>
                <w:color w:val="FFFFFF"/>
              </w:rPr>
              <w:t xml:space="preserve"> Savings (CCF)</w:t>
            </w:r>
          </w:p>
        </w:tc>
        <w:tc>
          <w:tcPr>
            <w:tcW w:w="658" w:type="pct"/>
            <w:shd w:val="clear" w:color="000000" w:fill="005DAA"/>
            <w:vAlign w:val="center"/>
            <w:hideMark/>
          </w:tcPr>
          <w:p w:rsidR="0000273D" w:rsidRPr="00CE09A5" w:rsidRDefault="0000273D" w:rsidP="00D67F1F">
            <w:pPr>
              <w:keepNext/>
              <w:keepLines/>
              <w:spacing w:after="0"/>
              <w:jc w:val="center"/>
              <w:rPr>
                <w:rFonts w:ascii="Calibri" w:eastAsia="Times New Roman" w:hAnsi="Calibri" w:cs="Times New Roman"/>
                <w:b/>
                <w:bCs/>
                <w:color w:val="FFFFFF"/>
              </w:rPr>
            </w:pPr>
            <w:r w:rsidRPr="00CE09A5">
              <w:rPr>
                <w:rFonts w:ascii="Calibri" w:eastAsia="Times New Roman" w:hAnsi="Calibri" w:cs="Times New Roman"/>
                <w:b/>
                <w:bCs/>
                <w:color w:val="FFFFFF"/>
              </w:rPr>
              <w:t>Realization Rate</w:t>
            </w:r>
          </w:p>
        </w:tc>
        <w:tc>
          <w:tcPr>
            <w:tcW w:w="657" w:type="pct"/>
            <w:shd w:val="clear" w:color="000000" w:fill="005DAA"/>
            <w:vAlign w:val="center"/>
            <w:hideMark/>
          </w:tcPr>
          <w:p w:rsidR="0000273D" w:rsidRPr="00CE09A5" w:rsidRDefault="0000273D" w:rsidP="00D67F1F">
            <w:pPr>
              <w:keepNext/>
              <w:keepLines/>
              <w:spacing w:after="0"/>
              <w:jc w:val="center"/>
              <w:rPr>
                <w:rFonts w:ascii="Calibri" w:eastAsia="Times New Roman" w:hAnsi="Calibri" w:cs="Times New Roman"/>
                <w:b/>
                <w:bCs/>
                <w:color w:val="FFFFFF"/>
              </w:rPr>
            </w:pPr>
            <w:r w:rsidRPr="00CE09A5">
              <w:rPr>
                <w:rFonts w:ascii="Calibri" w:eastAsia="Times New Roman" w:hAnsi="Calibri" w:cs="Times New Roman"/>
                <w:b/>
                <w:bCs/>
                <w:color w:val="FFFFFF"/>
              </w:rPr>
              <w:t>Model Savings as Percent of Pre-Usage</w:t>
            </w:r>
          </w:p>
        </w:tc>
        <w:tc>
          <w:tcPr>
            <w:tcW w:w="808" w:type="pct"/>
            <w:shd w:val="clear" w:color="000000" w:fill="005DAA"/>
            <w:vAlign w:val="center"/>
            <w:hideMark/>
          </w:tcPr>
          <w:p w:rsidR="0000273D" w:rsidRPr="00CE09A5" w:rsidRDefault="0000273D" w:rsidP="00D67F1F">
            <w:pPr>
              <w:keepNext/>
              <w:keepLines/>
              <w:spacing w:after="0"/>
              <w:jc w:val="center"/>
              <w:rPr>
                <w:rFonts w:ascii="Calibri" w:eastAsia="Times New Roman" w:hAnsi="Calibri" w:cs="Times New Roman"/>
                <w:b/>
                <w:bCs/>
                <w:color w:val="FFFFFF"/>
              </w:rPr>
            </w:pPr>
            <w:r w:rsidRPr="00CE09A5">
              <w:rPr>
                <w:rFonts w:ascii="Calibri" w:eastAsia="Times New Roman" w:hAnsi="Calibri" w:cs="Times New Roman"/>
                <w:b/>
                <w:bCs/>
                <w:color w:val="FFFFFF"/>
              </w:rPr>
              <w:t xml:space="preserve">Reported </w:t>
            </w:r>
            <w:r w:rsidRPr="000E6E3C">
              <w:rPr>
                <w:rFonts w:ascii="Calibri" w:eastAsia="Times New Roman" w:hAnsi="Calibri" w:cs="Times New Roman"/>
                <w:b/>
                <w:bCs/>
                <w:i/>
                <w:color w:val="FFFFFF"/>
              </w:rPr>
              <w:t>Ex Ante</w:t>
            </w:r>
            <w:r w:rsidRPr="00CE09A5">
              <w:rPr>
                <w:rFonts w:ascii="Calibri" w:eastAsia="Times New Roman" w:hAnsi="Calibri" w:cs="Times New Roman"/>
                <w:b/>
                <w:bCs/>
                <w:color w:val="FFFFFF"/>
              </w:rPr>
              <w:t xml:space="preserve"> Savings as Percent of Pre-Usage</w:t>
            </w:r>
          </w:p>
        </w:tc>
      </w:tr>
      <w:tr w:rsidR="0000273D" w:rsidRPr="00CE09A5" w:rsidTr="00135F68">
        <w:tc>
          <w:tcPr>
            <w:tcW w:w="702" w:type="pct"/>
            <w:vMerge w:val="restart"/>
            <w:shd w:val="clear" w:color="auto" w:fill="auto"/>
            <w:vAlign w:val="center"/>
            <w:hideMark/>
          </w:tcPr>
          <w:p w:rsidR="0000273D" w:rsidRPr="00CE09A5" w:rsidRDefault="0000273D" w:rsidP="00D67F1F">
            <w:pPr>
              <w:keepNext/>
              <w:keepLines/>
              <w:spacing w:after="0"/>
              <w:rPr>
                <w:rFonts w:ascii="Calibri" w:eastAsia="Times New Roman" w:hAnsi="Calibri" w:cs="Times New Roman"/>
                <w:color w:val="000000"/>
                <w:sz w:val="20"/>
                <w:szCs w:val="20"/>
              </w:rPr>
            </w:pPr>
            <w:r w:rsidRPr="00CE09A5">
              <w:rPr>
                <w:rFonts w:ascii="Calibri" w:eastAsia="Times New Roman" w:hAnsi="Calibri" w:cs="Times New Roman"/>
                <w:color w:val="000000"/>
                <w:sz w:val="20"/>
                <w:szCs w:val="20"/>
              </w:rPr>
              <w:t>SP1</w:t>
            </w:r>
          </w:p>
        </w:tc>
        <w:tc>
          <w:tcPr>
            <w:tcW w:w="813" w:type="pct"/>
            <w:shd w:val="clear" w:color="auto" w:fill="auto"/>
            <w:vAlign w:val="center"/>
            <w:hideMark/>
          </w:tcPr>
          <w:p w:rsidR="0000273D" w:rsidRPr="00CE09A5" w:rsidRDefault="0000273D" w:rsidP="00D67F1F">
            <w:pPr>
              <w:keepNext/>
              <w:keepLines/>
              <w:spacing w:after="0"/>
              <w:rPr>
                <w:rFonts w:ascii="Calibri" w:eastAsia="Times New Roman" w:hAnsi="Calibri" w:cs="Times New Roman"/>
                <w:color w:val="000000"/>
                <w:sz w:val="20"/>
                <w:szCs w:val="20"/>
              </w:rPr>
            </w:pPr>
            <w:r w:rsidRPr="00CE09A5">
              <w:rPr>
                <w:rFonts w:ascii="Calibri" w:eastAsia="Times New Roman" w:hAnsi="Calibri" w:cs="Times New Roman"/>
                <w:color w:val="000000"/>
                <w:sz w:val="20"/>
                <w:szCs w:val="20"/>
              </w:rPr>
              <w:t>Gross</w:t>
            </w:r>
          </w:p>
        </w:tc>
        <w:tc>
          <w:tcPr>
            <w:tcW w:w="515" w:type="pct"/>
            <w:shd w:val="clear" w:color="auto" w:fill="auto"/>
            <w:vAlign w:val="center"/>
            <w:hideMark/>
          </w:tcPr>
          <w:p w:rsidR="0000273D" w:rsidRPr="00CE09A5" w:rsidRDefault="0000273D" w:rsidP="00D67F1F">
            <w:pPr>
              <w:keepNext/>
              <w:keepLines/>
              <w:spacing w:after="0"/>
              <w:jc w:val="right"/>
              <w:rPr>
                <w:rFonts w:ascii="Calibri" w:eastAsia="Times New Roman" w:hAnsi="Calibri" w:cs="Times New Roman"/>
                <w:color w:val="000000"/>
                <w:sz w:val="20"/>
                <w:szCs w:val="20"/>
              </w:rPr>
            </w:pPr>
            <w:r w:rsidRPr="00CE09A5">
              <w:rPr>
                <w:rFonts w:ascii="Calibri" w:eastAsia="Times New Roman" w:hAnsi="Calibri" w:cs="Times New Roman"/>
                <w:color w:val="000000"/>
                <w:sz w:val="20"/>
                <w:szCs w:val="20"/>
              </w:rPr>
              <w:t>97</w:t>
            </w:r>
          </w:p>
        </w:tc>
        <w:tc>
          <w:tcPr>
            <w:tcW w:w="845" w:type="pct"/>
            <w:shd w:val="clear" w:color="auto" w:fill="auto"/>
            <w:vAlign w:val="center"/>
            <w:hideMark/>
          </w:tcPr>
          <w:p w:rsidR="0000273D" w:rsidRPr="00CE09A5" w:rsidRDefault="0000273D" w:rsidP="00D67F1F">
            <w:pPr>
              <w:keepNext/>
              <w:keepLines/>
              <w:spacing w:after="0"/>
              <w:jc w:val="right"/>
              <w:rPr>
                <w:rFonts w:ascii="Calibri" w:eastAsia="Times New Roman" w:hAnsi="Calibri" w:cs="Times New Roman"/>
                <w:color w:val="000000"/>
                <w:sz w:val="20"/>
                <w:szCs w:val="20"/>
              </w:rPr>
            </w:pPr>
            <w:r w:rsidRPr="00CE09A5">
              <w:rPr>
                <w:rFonts w:ascii="Calibri" w:eastAsia="Times New Roman" w:hAnsi="Calibri" w:cs="Times New Roman"/>
                <w:color w:val="000000"/>
                <w:sz w:val="20"/>
                <w:szCs w:val="20"/>
              </w:rPr>
              <w:t>110</w:t>
            </w:r>
          </w:p>
        </w:tc>
        <w:tc>
          <w:tcPr>
            <w:tcW w:w="658" w:type="pct"/>
            <w:shd w:val="clear" w:color="auto" w:fill="auto"/>
            <w:vAlign w:val="center"/>
            <w:hideMark/>
          </w:tcPr>
          <w:p w:rsidR="0000273D" w:rsidRPr="00CE09A5" w:rsidRDefault="0000273D" w:rsidP="00D67F1F">
            <w:pPr>
              <w:keepNext/>
              <w:keepLines/>
              <w:spacing w:after="0"/>
              <w:jc w:val="right"/>
              <w:rPr>
                <w:rFonts w:ascii="Calibri" w:eastAsia="Times New Roman" w:hAnsi="Calibri" w:cs="Times New Roman"/>
                <w:color w:val="000000"/>
                <w:sz w:val="20"/>
                <w:szCs w:val="20"/>
              </w:rPr>
            </w:pPr>
            <w:r w:rsidRPr="00CE09A5">
              <w:rPr>
                <w:rFonts w:ascii="Calibri" w:eastAsia="Times New Roman" w:hAnsi="Calibri" w:cs="Times New Roman"/>
                <w:color w:val="000000"/>
                <w:sz w:val="20"/>
                <w:szCs w:val="20"/>
              </w:rPr>
              <w:t>89%</w:t>
            </w:r>
          </w:p>
        </w:tc>
        <w:tc>
          <w:tcPr>
            <w:tcW w:w="657" w:type="pct"/>
            <w:shd w:val="clear" w:color="auto" w:fill="auto"/>
            <w:vAlign w:val="center"/>
            <w:hideMark/>
          </w:tcPr>
          <w:p w:rsidR="0000273D" w:rsidRPr="00CE09A5" w:rsidRDefault="0000273D" w:rsidP="00D67F1F">
            <w:pPr>
              <w:keepNext/>
              <w:keepLines/>
              <w:spacing w:after="0"/>
              <w:jc w:val="right"/>
              <w:rPr>
                <w:rFonts w:ascii="Calibri" w:eastAsia="Times New Roman" w:hAnsi="Calibri" w:cs="Times New Roman"/>
                <w:color w:val="000000"/>
                <w:sz w:val="20"/>
                <w:szCs w:val="20"/>
              </w:rPr>
            </w:pPr>
            <w:r w:rsidRPr="00CE09A5">
              <w:rPr>
                <w:rFonts w:ascii="Calibri" w:eastAsia="Times New Roman" w:hAnsi="Calibri" w:cs="Times New Roman"/>
                <w:color w:val="000000"/>
                <w:sz w:val="20"/>
                <w:szCs w:val="20"/>
              </w:rPr>
              <w:t>10%</w:t>
            </w:r>
          </w:p>
        </w:tc>
        <w:tc>
          <w:tcPr>
            <w:tcW w:w="808" w:type="pct"/>
            <w:shd w:val="clear" w:color="auto" w:fill="auto"/>
            <w:vAlign w:val="center"/>
            <w:hideMark/>
          </w:tcPr>
          <w:p w:rsidR="0000273D" w:rsidRPr="00CE09A5" w:rsidRDefault="0000273D" w:rsidP="00D67F1F">
            <w:pPr>
              <w:keepNext/>
              <w:keepLines/>
              <w:spacing w:after="0"/>
              <w:jc w:val="right"/>
              <w:rPr>
                <w:rFonts w:ascii="Calibri" w:eastAsia="Times New Roman" w:hAnsi="Calibri" w:cs="Times New Roman"/>
                <w:color w:val="000000"/>
                <w:sz w:val="20"/>
                <w:szCs w:val="20"/>
              </w:rPr>
            </w:pPr>
            <w:r w:rsidRPr="00CE09A5">
              <w:rPr>
                <w:rFonts w:ascii="Calibri" w:eastAsia="Times New Roman" w:hAnsi="Calibri" w:cs="Times New Roman"/>
                <w:color w:val="000000"/>
                <w:sz w:val="20"/>
                <w:szCs w:val="20"/>
              </w:rPr>
              <w:t>11%</w:t>
            </w:r>
          </w:p>
        </w:tc>
      </w:tr>
      <w:tr w:rsidR="0000273D" w:rsidRPr="00CE09A5" w:rsidTr="00135F68">
        <w:tc>
          <w:tcPr>
            <w:tcW w:w="702" w:type="pct"/>
            <w:vMerge/>
            <w:vAlign w:val="center"/>
            <w:hideMark/>
          </w:tcPr>
          <w:p w:rsidR="0000273D" w:rsidRPr="00CE09A5" w:rsidRDefault="0000273D" w:rsidP="00D67F1F">
            <w:pPr>
              <w:keepNext/>
              <w:keepLines/>
              <w:spacing w:after="0"/>
              <w:rPr>
                <w:rFonts w:ascii="Calibri" w:eastAsia="Times New Roman" w:hAnsi="Calibri" w:cs="Times New Roman"/>
                <w:color w:val="000000"/>
                <w:sz w:val="20"/>
                <w:szCs w:val="20"/>
              </w:rPr>
            </w:pPr>
          </w:p>
        </w:tc>
        <w:tc>
          <w:tcPr>
            <w:tcW w:w="813" w:type="pct"/>
            <w:shd w:val="clear" w:color="auto" w:fill="auto"/>
            <w:vAlign w:val="center"/>
            <w:hideMark/>
          </w:tcPr>
          <w:p w:rsidR="0000273D" w:rsidRPr="00CE09A5" w:rsidRDefault="0000273D" w:rsidP="00D67F1F">
            <w:pPr>
              <w:keepNext/>
              <w:keepLines/>
              <w:spacing w:after="0"/>
              <w:rPr>
                <w:rFonts w:ascii="Calibri" w:eastAsia="Times New Roman" w:hAnsi="Calibri" w:cs="Times New Roman"/>
                <w:color w:val="000000"/>
                <w:sz w:val="20"/>
                <w:szCs w:val="20"/>
              </w:rPr>
            </w:pPr>
            <w:r w:rsidRPr="00CE09A5">
              <w:rPr>
                <w:rFonts w:ascii="Calibri" w:eastAsia="Times New Roman" w:hAnsi="Calibri" w:cs="Times New Roman"/>
                <w:color w:val="000000"/>
                <w:sz w:val="20"/>
                <w:szCs w:val="20"/>
              </w:rPr>
              <w:t>Adjusted Gross</w:t>
            </w:r>
          </w:p>
        </w:tc>
        <w:tc>
          <w:tcPr>
            <w:tcW w:w="515" w:type="pct"/>
            <w:shd w:val="clear" w:color="auto" w:fill="auto"/>
            <w:vAlign w:val="center"/>
            <w:hideMark/>
          </w:tcPr>
          <w:p w:rsidR="0000273D" w:rsidRPr="00CE09A5" w:rsidRDefault="001B48EB" w:rsidP="00D67F1F">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82</w:t>
            </w:r>
          </w:p>
        </w:tc>
        <w:tc>
          <w:tcPr>
            <w:tcW w:w="845" w:type="pct"/>
            <w:shd w:val="clear" w:color="auto" w:fill="auto"/>
            <w:vAlign w:val="center"/>
            <w:hideMark/>
          </w:tcPr>
          <w:p w:rsidR="0000273D" w:rsidRPr="00CE09A5" w:rsidRDefault="0000273D" w:rsidP="00D67F1F">
            <w:pPr>
              <w:keepNext/>
              <w:keepLines/>
              <w:spacing w:after="0"/>
              <w:jc w:val="right"/>
              <w:rPr>
                <w:rFonts w:ascii="Calibri" w:eastAsia="Times New Roman" w:hAnsi="Calibri" w:cs="Times New Roman"/>
                <w:color w:val="000000"/>
                <w:sz w:val="20"/>
                <w:szCs w:val="20"/>
              </w:rPr>
            </w:pPr>
            <w:r w:rsidRPr="00CE09A5">
              <w:rPr>
                <w:rFonts w:ascii="Calibri" w:eastAsia="Times New Roman" w:hAnsi="Calibri" w:cs="Times New Roman"/>
                <w:color w:val="000000"/>
                <w:sz w:val="20"/>
                <w:szCs w:val="20"/>
              </w:rPr>
              <w:t>110</w:t>
            </w:r>
          </w:p>
        </w:tc>
        <w:tc>
          <w:tcPr>
            <w:tcW w:w="658" w:type="pct"/>
            <w:shd w:val="clear" w:color="auto" w:fill="auto"/>
            <w:vAlign w:val="center"/>
            <w:hideMark/>
          </w:tcPr>
          <w:p w:rsidR="0000273D" w:rsidRPr="00CE09A5" w:rsidRDefault="0000273D" w:rsidP="00D67F1F">
            <w:pPr>
              <w:keepNext/>
              <w:keepLines/>
              <w:spacing w:after="0"/>
              <w:jc w:val="right"/>
              <w:rPr>
                <w:rFonts w:ascii="Calibri" w:eastAsia="Times New Roman" w:hAnsi="Calibri" w:cs="Times New Roman"/>
                <w:color w:val="000000"/>
                <w:sz w:val="20"/>
                <w:szCs w:val="20"/>
              </w:rPr>
            </w:pPr>
            <w:r w:rsidRPr="00CE09A5">
              <w:rPr>
                <w:rFonts w:ascii="Calibri" w:eastAsia="Times New Roman" w:hAnsi="Calibri" w:cs="Times New Roman"/>
                <w:color w:val="000000"/>
                <w:sz w:val="20"/>
                <w:szCs w:val="20"/>
              </w:rPr>
              <w:t>7</w:t>
            </w:r>
            <w:r w:rsidR="001B48EB">
              <w:rPr>
                <w:rFonts w:ascii="Calibri" w:eastAsia="Times New Roman" w:hAnsi="Calibri" w:cs="Times New Roman"/>
                <w:color w:val="000000"/>
                <w:sz w:val="20"/>
                <w:szCs w:val="20"/>
              </w:rPr>
              <w:t>5</w:t>
            </w:r>
            <w:r w:rsidRPr="00CE09A5">
              <w:rPr>
                <w:rFonts w:ascii="Calibri" w:eastAsia="Times New Roman" w:hAnsi="Calibri" w:cs="Times New Roman"/>
                <w:color w:val="000000"/>
                <w:sz w:val="20"/>
                <w:szCs w:val="20"/>
              </w:rPr>
              <w:t>%</w:t>
            </w:r>
          </w:p>
        </w:tc>
        <w:tc>
          <w:tcPr>
            <w:tcW w:w="657" w:type="pct"/>
            <w:shd w:val="clear" w:color="auto" w:fill="auto"/>
            <w:vAlign w:val="center"/>
            <w:hideMark/>
          </w:tcPr>
          <w:p w:rsidR="0000273D" w:rsidRPr="00CE09A5" w:rsidRDefault="0000273D" w:rsidP="00D67F1F">
            <w:pPr>
              <w:keepNext/>
              <w:keepLines/>
              <w:spacing w:after="0"/>
              <w:jc w:val="right"/>
              <w:rPr>
                <w:rFonts w:ascii="Calibri" w:eastAsia="Times New Roman" w:hAnsi="Calibri" w:cs="Times New Roman"/>
                <w:color w:val="000000"/>
                <w:sz w:val="20"/>
                <w:szCs w:val="20"/>
              </w:rPr>
            </w:pPr>
            <w:r w:rsidRPr="00CE09A5">
              <w:rPr>
                <w:rFonts w:ascii="Calibri" w:eastAsia="Times New Roman" w:hAnsi="Calibri" w:cs="Times New Roman"/>
                <w:color w:val="000000"/>
                <w:sz w:val="20"/>
                <w:szCs w:val="20"/>
              </w:rPr>
              <w:t>8%</w:t>
            </w:r>
          </w:p>
        </w:tc>
        <w:tc>
          <w:tcPr>
            <w:tcW w:w="808" w:type="pct"/>
            <w:shd w:val="clear" w:color="auto" w:fill="auto"/>
            <w:vAlign w:val="center"/>
            <w:hideMark/>
          </w:tcPr>
          <w:p w:rsidR="0000273D" w:rsidRPr="00CE09A5" w:rsidRDefault="0000273D" w:rsidP="00D67F1F">
            <w:pPr>
              <w:keepNext/>
              <w:keepLines/>
              <w:spacing w:after="0"/>
              <w:jc w:val="right"/>
              <w:rPr>
                <w:rFonts w:ascii="Calibri" w:eastAsia="Times New Roman" w:hAnsi="Calibri" w:cs="Times New Roman"/>
                <w:color w:val="000000"/>
                <w:sz w:val="20"/>
                <w:szCs w:val="20"/>
              </w:rPr>
            </w:pPr>
            <w:r w:rsidRPr="00CE09A5">
              <w:rPr>
                <w:rFonts w:ascii="Calibri" w:eastAsia="Times New Roman" w:hAnsi="Calibri" w:cs="Times New Roman"/>
                <w:color w:val="000000"/>
                <w:sz w:val="20"/>
                <w:szCs w:val="20"/>
              </w:rPr>
              <w:t>11%</w:t>
            </w:r>
          </w:p>
        </w:tc>
      </w:tr>
      <w:tr w:rsidR="0000273D" w:rsidRPr="00CE09A5" w:rsidTr="00135F68">
        <w:tc>
          <w:tcPr>
            <w:tcW w:w="702" w:type="pct"/>
            <w:vMerge w:val="restart"/>
            <w:shd w:val="clear" w:color="auto" w:fill="auto"/>
            <w:vAlign w:val="center"/>
            <w:hideMark/>
          </w:tcPr>
          <w:p w:rsidR="0000273D" w:rsidRPr="00CE09A5" w:rsidRDefault="0000273D" w:rsidP="00D67F1F">
            <w:pPr>
              <w:keepNext/>
              <w:keepLines/>
              <w:spacing w:after="0"/>
              <w:rPr>
                <w:rFonts w:ascii="Calibri" w:eastAsia="Times New Roman" w:hAnsi="Calibri" w:cs="Times New Roman"/>
                <w:color w:val="000000"/>
                <w:sz w:val="20"/>
                <w:szCs w:val="20"/>
              </w:rPr>
            </w:pPr>
            <w:r w:rsidRPr="00CE09A5">
              <w:rPr>
                <w:rFonts w:ascii="Calibri" w:eastAsia="Times New Roman" w:hAnsi="Calibri" w:cs="Times New Roman"/>
                <w:color w:val="000000"/>
                <w:sz w:val="20"/>
                <w:szCs w:val="20"/>
              </w:rPr>
              <w:t>SP4</w:t>
            </w:r>
          </w:p>
        </w:tc>
        <w:tc>
          <w:tcPr>
            <w:tcW w:w="813" w:type="pct"/>
            <w:shd w:val="clear" w:color="auto" w:fill="auto"/>
            <w:vAlign w:val="center"/>
            <w:hideMark/>
          </w:tcPr>
          <w:p w:rsidR="0000273D" w:rsidRPr="00CE09A5" w:rsidRDefault="0000273D" w:rsidP="00D67F1F">
            <w:pPr>
              <w:keepNext/>
              <w:keepLines/>
              <w:spacing w:after="0"/>
              <w:rPr>
                <w:rFonts w:ascii="Calibri" w:eastAsia="Times New Roman" w:hAnsi="Calibri" w:cs="Times New Roman"/>
                <w:color w:val="000000"/>
                <w:sz w:val="20"/>
                <w:szCs w:val="20"/>
              </w:rPr>
            </w:pPr>
            <w:r w:rsidRPr="00CE09A5">
              <w:rPr>
                <w:rFonts w:ascii="Calibri" w:eastAsia="Times New Roman" w:hAnsi="Calibri" w:cs="Times New Roman"/>
                <w:color w:val="000000"/>
                <w:sz w:val="20"/>
                <w:szCs w:val="20"/>
              </w:rPr>
              <w:t>Gross</w:t>
            </w:r>
          </w:p>
        </w:tc>
        <w:tc>
          <w:tcPr>
            <w:tcW w:w="515" w:type="pct"/>
            <w:shd w:val="clear" w:color="auto" w:fill="auto"/>
            <w:vAlign w:val="center"/>
            <w:hideMark/>
          </w:tcPr>
          <w:p w:rsidR="0000273D" w:rsidRPr="00CE09A5" w:rsidRDefault="0000273D" w:rsidP="00D67F1F">
            <w:pPr>
              <w:keepNext/>
              <w:keepLines/>
              <w:spacing w:after="0"/>
              <w:jc w:val="right"/>
              <w:rPr>
                <w:rFonts w:ascii="Calibri" w:eastAsia="Times New Roman" w:hAnsi="Calibri" w:cs="Times New Roman"/>
                <w:color w:val="000000"/>
                <w:sz w:val="20"/>
                <w:szCs w:val="20"/>
              </w:rPr>
            </w:pPr>
            <w:r w:rsidRPr="00CE09A5">
              <w:rPr>
                <w:rFonts w:ascii="Calibri" w:eastAsia="Times New Roman" w:hAnsi="Calibri" w:cs="Times New Roman"/>
                <w:color w:val="000000"/>
                <w:sz w:val="20"/>
                <w:szCs w:val="20"/>
              </w:rPr>
              <w:t>43</w:t>
            </w:r>
          </w:p>
        </w:tc>
        <w:tc>
          <w:tcPr>
            <w:tcW w:w="845" w:type="pct"/>
            <w:shd w:val="clear" w:color="auto" w:fill="auto"/>
            <w:vAlign w:val="center"/>
            <w:hideMark/>
          </w:tcPr>
          <w:p w:rsidR="0000273D" w:rsidRPr="00CE09A5" w:rsidRDefault="0000273D" w:rsidP="00D67F1F">
            <w:pPr>
              <w:keepNext/>
              <w:keepLines/>
              <w:spacing w:after="0"/>
              <w:jc w:val="right"/>
              <w:rPr>
                <w:rFonts w:ascii="Calibri" w:eastAsia="Times New Roman" w:hAnsi="Calibri" w:cs="Times New Roman"/>
                <w:color w:val="000000"/>
                <w:sz w:val="20"/>
                <w:szCs w:val="20"/>
              </w:rPr>
            </w:pPr>
            <w:r w:rsidRPr="00CE09A5">
              <w:rPr>
                <w:rFonts w:ascii="Calibri" w:eastAsia="Times New Roman" w:hAnsi="Calibri" w:cs="Times New Roman"/>
                <w:color w:val="000000"/>
                <w:sz w:val="20"/>
                <w:szCs w:val="20"/>
              </w:rPr>
              <w:t>60</w:t>
            </w:r>
          </w:p>
        </w:tc>
        <w:tc>
          <w:tcPr>
            <w:tcW w:w="658" w:type="pct"/>
            <w:shd w:val="clear" w:color="auto" w:fill="auto"/>
            <w:vAlign w:val="center"/>
            <w:hideMark/>
          </w:tcPr>
          <w:p w:rsidR="0000273D" w:rsidRPr="00CE09A5" w:rsidRDefault="0000273D" w:rsidP="00D67F1F">
            <w:pPr>
              <w:keepNext/>
              <w:keepLines/>
              <w:spacing w:after="0"/>
              <w:jc w:val="right"/>
              <w:rPr>
                <w:rFonts w:ascii="Calibri" w:eastAsia="Times New Roman" w:hAnsi="Calibri" w:cs="Times New Roman"/>
                <w:color w:val="000000"/>
                <w:sz w:val="20"/>
                <w:szCs w:val="20"/>
              </w:rPr>
            </w:pPr>
            <w:r w:rsidRPr="00CE09A5">
              <w:rPr>
                <w:rFonts w:ascii="Calibri" w:eastAsia="Times New Roman" w:hAnsi="Calibri" w:cs="Times New Roman"/>
                <w:color w:val="000000"/>
                <w:sz w:val="20"/>
                <w:szCs w:val="20"/>
              </w:rPr>
              <w:t>71%</w:t>
            </w:r>
          </w:p>
        </w:tc>
        <w:tc>
          <w:tcPr>
            <w:tcW w:w="657" w:type="pct"/>
            <w:shd w:val="clear" w:color="auto" w:fill="auto"/>
            <w:vAlign w:val="center"/>
            <w:hideMark/>
          </w:tcPr>
          <w:p w:rsidR="0000273D" w:rsidRPr="00CE09A5" w:rsidRDefault="0000273D" w:rsidP="00D67F1F">
            <w:pPr>
              <w:keepNext/>
              <w:keepLines/>
              <w:spacing w:after="0"/>
              <w:jc w:val="right"/>
              <w:rPr>
                <w:rFonts w:ascii="Calibri" w:eastAsia="Times New Roman" w:hAnsi="Calibri" w:cs="Times New Roman"/>
                <w:color w:val="000000"/>
                <w:sz w:val="20"/>
                <w:szCs w:val="20"/>
              </w:rPr>
            </w:pPr>
            <w:r w:rsidRPr="00CE09A5">
              <w:rPr>
                <w:rFonts w:ascii="Calibri" w:eastAsia="Times New Roman" w:hAnsi="Calibri" w:cs="Times New Roman"/>
                <w:color w:val="000000"/>
                <w:sz w:val="20"/>
                <w:szCs w:val="20"/>
              </w:rPr>
              <w:t>6%</w:t>
            </w:r>
          </w:p>
        </w:tc>
        <w:tc>
          <w:tcPr>
            <w:tcW w:w="808" w:type="pct"/>
            <w:shd w:val="clear" w:color="auto" w:fill="auto"/>
            <w:vAlign w:val="center"/>
            <w:hideMark/>
          </w:tcPr>
          <w:p w:rsidR="0000273D" w:rsidRPr="00CE09A5" w:rsidRDefault="0000273D" w:rsidP="00D67F1F">
            <w:pPr>
              <w:keepNext/>
              <w:keepLines/>
              <w:spacing w:after="0"/>
              <w:jc w:val="right"/>
              <w:rPr>
                <w:rFonts w:ascii="Calibri" w:eastAsia="Times New Roman" w:hAnsi="Calibri" w:cs="Times New Roman"/>
                <w:color w:val="000000"/>
                <w:sz w:val="20"/>
                <w:szCs w:val="20"/>
              </w:rPr>
            </w:pPr>
            <w:r w:rsidRPr="00CE09A5">
              <w:rPr>
                <w:rFonts w:ascii="Calibri" w:eastAsia="Times New Roman" w:hAnsi="Calibri" w:cs="Times New Roman"/>
                <w:color w:val="000000"/>
                <w:sz w:val="20"/>
                <w:szCs w:val="20"/>
              </w:rPr>
              <w:t>8%</w:t>
            </w:r>
          </w:p>
        </w:tc>
      </w:tr>
      <w:tr w:rsidR="0000273D" w:rsidRPr="00CE09A5" w:rsidTr="00135F68">
        <w:tc>
          <w:tcPr>
            <w:tcW w:w="702" w:type="pct"/>
            <w:vMerge/>
            <w:vAlign w:val="center"/>
            <w:hideMark/>
          </w:tcPr>
          <w:p w:rsidR="0000273D" w:rsidRPr="00CE09A5" w:rsidRDefault="0000273D" w:rsidP="00D67F1F">
            <w:pPr>
              <w:keepNext/>
              <w:keepLines/>
              <w:spacing w:after="0"/>
              <w:rPr>
                <w:rFonts w:ascii="Calibri" w:eastAsia="Times New Roman" w:hAnsi="Calibri" w:cs="Times New Roman"/>
                <w:color w:val="000000"/>
                <w:sz w:val="20"/>
                <w:szCs w:val="20"/>
              </w:rPr>
            </w:pPr>
          </w:p>
        </w:tc>
        <w:tc>
          <w:tcPr>
            <w:tcW w:w="813" w:type="pct"/>
            <w:shd w:val="clear" w:color="auto" w:fill="auto"/>
            <w:vAlign w:val="center"/>
            <w:hideMark/>
          </w:tcPr>
          <w:p w:rsidR="0000273D" w:rsidRPr="00CE09A5" w:rsidRDefault="0000273D" w:rsidP="00D67F1F">
            <w:pPr>
              <w:keepNext/>
              <w:keepLines/>
              <w:spacing w:after="0"/>
              <w:rPr>
                <w:rFonts w:ascii="Calibri" w:eastAsia="Times New Roman" w:hAnsi="Calibri" w:cs="Times New Roman"/>
                <w:color w:val="000000"/>
                <w:sz w:val="20"/>
                <w:szCs w:val="20"/>
              </w:rPr>
            </w:pPr>
            <w:r w:rsidRPr="00CE09A5">
              <w:rPr>
                <w:rFonts w:ascii="Calibri" w:eastAsia="Times New Roman" w:hAnsi="Calibri" w:cs="Times New Roman"/>
                <w:color w:val="000000"/>
                <w:sz w:val="20"/>
                <w:szCs w:val="20"/>
              </w:rPr>
              <w:t>Adjusted Gross</w:t>
            </w:r>
          </w:p>
        </w:tc>
        <w:tc>
          <w:tcPr>
            <w:tcW w:w="515" w:type="pct"/>
            <w:shd w:val="clear" w:color="auto" w:fill="auto"/>
            <w:vAlign w:val="center"/>
            <w:hideMark/>
          </w:tcPr>
          <w:p w:rsidR="0000273D" w:rsidRPr="00CE09A5" w:rsidRDefault="0000273D" w:rsidP="00D67F1F">
            <w:pPr>
              <w:keepNext/>
              <w:keepLines/>
              <w:spacing w:after="0"/>
              <w:jc w:val="right"/>
              <w:rPr>
                <w:rFonts w:ascii="Calibri" w:eastAsia="Times New Roman" w:hAnsi="Calibri" w:cs="Times New Roman"/>
                <w:color w:val="000000"/>
                <w:sz w:val="20"/>
                <w:szCs w:val="20"/>
              </w:rPr>
            </w:pPr>
            <w:r w:rsidRPr="00CE09A5">
              <w:rPr>
                <w:rFonts w:ascii="Calibri" w:eastAsia="Times New Roman" w:hAnsi="Calibri" w:cs="Times New Roman"/>
                <w:color w:val="000000"/>
                <w:sz w:val="20"/>
                <w:szCs w:val="20"/>
              </w:rPr>
              <w:t>3</w:t>
            </w:r>
            <w:r w:rsidR="001B48EB">
              <w:rPr>
                <w:rFonts w:ascii="Calibri" w:eastAsia="Times New Roman" w:hAnsi="Calibri" w:cs="Times New Roman"/>
                <w:color w:val="000000"/>
                <w:sz w:val="20"/>
                <w:szCs w:val="20"/>
              </w:rPr>
              <w:t>2</w:t>
            </w:r>
          </w:p>
        </w:tc>
        <w:tc>
          <w:tcPr>
            <w:tcW w:w="845" w:type="pct"/>
            <w:shd w:val="clear" w:color="auto" w:fill="auto"/>
            <w:vAlign w:val="center"/>
            <w:hideMark/>
          </w:tcPr>
          <w:p w:rsidR="0000273D" w:rsidRPr="00CE09A5" w:rsidRDefault="0000273D" w:rsidP="00D67F1F">
            <w:pPr>
              <w:keepNext/>
              <w:keepLines/>
              <w:spacing w:after="0"/>
              <w:jc w:val="right"/>
              <w:rPr>
                <w:rFonts w:ascii="Calibri" w:eastAsia="Times New Roman" w:hAnsi="Calibri" w:cs="Times New Roman"/>
                <w:color w:val="000000"/>
                <w:sz w:val="20"/>
                <w:szCs w:val="20"/>
              </w:rPr>
            </w:pPr>
            <w:r w:rsidRPr="00CE09A5">
              <w:rPr>
                <w:rFonts w:ascii="Calibri" w:eastAsia="Times New Roman" w:hAnsi="Calibri" w:cs="Times New Roman"/>
                <w:color w:val="000000"/>
                <w:sz w:val="20"/>
                <w:szCs w:val="20"/>
              </w:rPr>
              <w:t>60</w:t>
            </w:r>
          </w:p>
        </w:tc>
        <w:tc>
          <w:tcPr>
            <w:tcW w:w="658" w:type="pct"/>
            <w:shd w:val="clear" w:color="auto" w:fill="auto"/>
            <w:vAlign w:val="center"/>
            <w:hideMark/>
          </w:tcPr>
          <w:p w:rsidR="0000273D" w:rsidRPr="00CE09A5" w:rsidRDefault="001B48EB" w:rsidP="00D67F1F">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5</w:t>
            </w:r>
            <w:r w:rsidR="0000273D" w:rsidRPr="00CE09A5">
              <w:rPr>
                <w:rFonts w:ascii="Calibri" w:eastAsia="Times New Roman" w:hAnsi="Calibri" w:cs="Times New Roman"/>
                <w:color w:val="000000"/>
                <w:sz w:val="20"/>
                <w:szCs w:val="20"/>
              </w:rPr>
              <w:t>3%</w:t>
            </w:r>
          </w:p>
        </w:tc>
        <w:tc>
          <w:tcPr>
            <w:tcW w:w="657" w:type="pct"/>
            <w:shd w:val="clear" w:color="auto" w:fill="auto"/>
            <w:vAlign w:val="center"/>
            <w:hideMark/>
          </w:tcPr>
          <w:p w:rsidR="0000273D" w:rsidRPr="00CE09A5" w:rsidRDefault="001B48EB" w:rsidP="00D67F1F">
            <w:pPr>
              <w:keepNext/>
              <w:keepLines/>
              <w:spacing w:after="0"/>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w:t>
            </w:r>
            <w:r w:rsidR="0000273D" w:rsidRPr="00CE09A5">
              <w:rPr>
                <w:rFonts w:ascii="Calibri" w:eastAsia="Times New Roman" w:hAnsi="Calibri" w:cs="Times New Roman"/>
                <w:color w:val="000000"/>
                <w:sz w:val="20"/>
                <w:szCs w:val="20"/>
              </w:rPr>
              <w:t>%</w:t>
            </w:r>
          </w:p>
        </w:tc>
        <w:tc>
          <w:tcPr>
            <w:tcW w:w="808" w:type="pct"/>
            <w:shd w:val="clear" w:color="auto" w:fill="auto"/>
            <w:vAlign w:val="center"/>
            <w:hideMark/>
          </w:tcPr>
          <w:p w:rsidR="0000273D" w:rsidRPr="00CE09A5" w:rsidRDefault="0000273D" w:rsidP="00D67F1F">
            <w:pPr>
              <w:keepNext/>
              <w:keepLines/>
              <w:spacing w:after="0"/>
              <w:jc w:val="right"/>
              <w:rPr>
                <w:rFonts w:ascii="Calibri" w:eastAsia="Times New Roman" w:hAnsi="Calibri" w:cs="Times New Roman"/>
                <w:color w:val="000000"/>
                <w:sz w:val="20"/>
                <w:szCs w:val="20"/>
              </w:rPr>
            </w:pPr>
            <w:r w:rsidRPr="00CE09A5">
              <w:rPr>
                <w:rFonts w:ascii="Calibri" w:eastAsia="Times New Roman" w:hAnsi="Calibri" w:cs="Times New Roman"/>
                <w:color w:val="000000"/>
                <w:sz w:val="20"/>
                <w:szCs w:val="20"/>
              </w:rPr>
              <w:t>8%</w:t>
            </w:r>
          </w:p>
        </w:tc>
      </w:tr>
    </w:tbl>
    <w:p w:rsidR="00032C95" w:rsidRDefault="00032C95" w:rsidP="00135F68">
      <w:pPr>
        <w:pStyle w:val="NormalAfterTablesandFigures"/>
      </w:pPr>
    </w:p>
    <w:p w:rsidR="00654B4F" w:rsidRDefault="005B2729" w:rsidP="005B2729">
      <w:pPr>
        <w:pStyle w:val="Heading1"/>
      </w:pPr>
      <w:bookmarkStart w:id="134" w:name="_Toc389663851"/>
      <w:r>
        <w:lastRenderedPageBreak/>
        <w:t>Recommendations</w:t>
      </w:r>
      <w:bookmarkEnd w:id="134"/>
    </w:p>
    <w:p w:rsidR="008A5BD0" w:rsidRDefault="008A5BD0" w:rsidP="008A5BD0">
      <w:pPr>
        <w:pStyle w:val="Heading2"/>
      </w:pPr>
      <w:bookmarkStart w:id="135" w:name="_Toc389663852"/>
      <w:r>
        <w:t>General</w:t>
      </w:r>
      <w:bookmarkEnd w:id="135"/>
    </w:p>
    <w:p w:rsidR="008A5BD0" w:rsidRPr="00EB6D4C" w:rsidRDefault="008A5BD0" w:rsidP="00575B04">
      <w:pPr>
        <w:pStyle w:val="NormalBeforeList"/>
      </w:pPr>
      <w:r>
        <w:t>As discussed in the Volume 1 report, the Evaluation Team has developed several recommendations related to improved data management</w:t>
      </w:r>
      <w:r w:rsidR="008B5CA6">
        <w:t xml:space="preserve">. These </w:t>
      </w:r>
      <w:r w:rsidR="000E6E3C">
        <w:t xml:space="preserve">recommendations </w:t>
      </w:r>
      <w:r w:rsidR="008B5CA6">
        <w:t xml:space="preserve">address </w:t>
      </w:r>
      <w:r>
        <w:t xml:space="preserve">challenges </w:t>
      </w:r>
      <w:r w:rsidR="008B5CA6">
        <w:t xml:space="preserve">that arose </w:t>
      </w:r>
      <w:r>
        <w:t xml:space="preserve">in working with utility billing and program tracking data throughout this study. In addition to </w:t>
      </w:r>
      <w:r w:rsidR="0020250D">
        <w:t>recommendations</w:t>
      </w:r>
      <w:r>
        <w:t xml:space="preserve"> discussed in Volume 1, some additional suggestions </w:t>
      </w:r>
      <w:r w:rsidR="008B5CA6">
        <w:t xml:space="preserve">follow </w:t>
      </w:r>
      <w:r>
        <w:t>for improvement</w:t>
      </w:r>
      <w:r w:rsidR="008B5CA6">
        <w:t>s</w:t>
      </w:r>
      <w:r>
        <w:t xml:space="preserve"> </w:t>
      </w:r>
      <w:r w:rsidR="0020250D">
        <w:t xml:space="preserve">in </w:t>
      </w:r>
      <w:r>
        <w:t xml:space="preserve">data management. </w:t>
      </w:r>
      <w:r w:rsidR="008B5CA6">
        <w:t>T</w:t>
      </w:r>
      <w:r>
        <w:t xml:space="preserve">hese </w:t>
      </w:r>
      <w:r w:rsidR="0020250D">
        <w:t xml:space="preserve">adjustments will </w:t>
      </w:r>
      <w:r w:rsidR="008B5CA6">
        <w:t xml:space="preserve">not only </w:t>
      </w:r>
      <w:r>
        <w:t>benefit the evaluation</w:t>
      </w:r>
      <w:r w:rsidR="008B5CA6">
        <w:t>,</w:t>
      </w:r>
      <w:r>
        <w:t xml:space="preserve"> but will provide valuable data to inform </w:t>
      </w:r>
      <w:r w:rsidR="008B5CA6">
        <w:t xml:space="preserve">the future </w:t>
      </w:r>
      <w:r>
        <w:t xml:space="preserve">delivery </w:t>
      </w:r>
      <w:r w:rsidR="008B5CA6">
        <w:t xml:space="preserve">of </w:t>
      </w:r>
      <w:r>
        <w:t>these programs</w:t>
      </w:r>
      <w:r w:rsidR="008B5CA6">
        <w:t>:</w:t>
      </w:r>
    </w:p>
    <w:p w:rsidR="008A5BD0" w:rsidRDefault="0020250D" w:rsidP="00575B04">
      <w:pPr>
        <w:pStyle w:val="Bulletlevel1"/>
      </w:pPr>
      <w:r>
        <w:rPr>
          <w:b/>
          <w:i/>
        </w:rPr>
        <w:t>M</w:t>
      </w:r>
      <w:r w:rsidR="008A5BD0" w:rsidRPr="00FB2AF7">
        <w:rPr>
          <w:b/>
          <w:i/>
        </w:rPr>
        <w:t xml:space="preserve">easure-specific inputs </w:t>
      </w:r>
      <w:r>
        <w:rPr>
          <w:b/>
          <w:i/>
        </w:rPr>
        <w:t xml:space="preserve">require better tracking </w:t>
      </w:r>
      <w:r w:rsidR="008A5BD0" w:rsidRPr="00FB2AF7">
        <w:rPr>
          <w:b/>
          <w:i/>
        </w:rPr>
        <w:t>within the utility program tracking systems</w:t>
      </w:r>
      <w:r w:rsidR="008A5BD0">
        <w:t xml:space="preserve"> to calculate savings based on PSD algorithms</w:t>
      </w:r>
      <w:r>
        <w:t>. I</w:t>
      </w:r>
      <w:r w:rsidR="008B5CA6">
        <w:t xml:space="preserve">n </w:t>
      </w:r>
      <w:r w:rsidR="008A5BD0">
        <w:t>many cases</w:t>
      </w:r>
      <w:r w:rsidR="008B5CA6">
        <w:t>, the</w:t>
      </w:r>
      <w:r w:rsidR="008A5BD0">
        <w:t xml:space="preserve"> tracking system did not provide </w:t>
      </w:r>
      <w:r>
        <w:t xml:space="preserve">the </w:t>
      </w:r>
      <w:r w:rsidR="008A5BD0">
        <w:t>details used for these calculations (e.g., windows, no baseline or efficient unit descriptions or installed square footage)</w:t>
      </w:r>
      <w:r>
        <w:t>.</w:t>
      </w:r>
    </w:p>
    <w:p w:rsidR="008A5BD0" w:rsidRDefault="008A5BD0" w:rsidP="00575B04">
      <w:pPr>
        <w:pStyle w:val="Bulletlevel2"/>
      </w:pPr>
      <w:r>
        <w:t xml:space="preserve">Many challenges </w:t>
      </w:r>
      <w:r w:rsidR="008B5CA6">
        <w:t xml:space="preserve">arose </w:t>
      </w:r>
      <w:r>
        <w:t>in identif</w:t>
      </w:r>
      <w:r w:rsidR="0020250D">
        <w:t xml:space="preserve">ying </w:t>
      </w:r>
      <w:r>
        <w:t>measure names/descriptions and</w:t>
      </w:r>
      <w:r w:rsidR="008B5CA6">
        <w:t>,</w:t>
      </w:r>
      <w:r>
        <w:t xml:space="preserve"> in some case</w:t>
      </w:r>
      <w:r w:rsidR="0020250D">
        <w:t>s</w:t>
      </w:r>
      <w:r w:rsidR="008B5CA6">
        <w:t>,</w:t>
      </w:r>
      <w:r>
        <w:t xml:space="preserve"> disaggregat</w:t>
      </w:r>
      <w:r w:rsidR="008B5CA6">
        <w:t>ing</w:t>
      </w:r>
      <w:r>
        <w:t xml:space="preserve"> a category into specific measures for energy-savings calculations (e.g., appliances, insulation)</w:t>
      </w:r>
      <w:r w:rsidR="008B5CA6">
        <w:t>.</w:t>
      </w:r>
    </w:p>
    <w:p w:rsidR="008A5BD0" w:rsidRDefault="0020250D" w:rsidP="008B5CA6">
      <w:pPr>
        <w:pStyle w:val="Bulletlevel1"/>
      </w:pPr>
      <w:r>
        <w:rPr>
          <w:b/>
          <w:i/>
        </w:rPr>
        <w:t>C</w:t>
      </w:r>
      <w:r w:rsidR="008A5BD0" w:rsidRPr="00FB2AF7">
        <w:rPr>
          <w:b/>
          <w:i/>
        </w:rPr>
        <w:t xml:space="preserve">onsistency </w:t>
      </w:r>
      <w:r>
        <w:rPr>
          <w:b/>
          <w:i/>
        </w:rPr>
        <w:t xml:space="preserve">should increase </w:t>
      </w:r>
      <w:r w:rsidR="008A5BD0" w:rsidRPr="00FB2AF7">
        <w:rPr>
          <w:b/>
          <w:i/>
        </w:rPr>
        <w:t>between utility tracking systems</w:t>
      </w:r>
      <w:r w:rsidR="00A84AFD">
        <w:t xml:space="preserve"> for</w:t>
      </w:r>
      <w:r w:rsidR="008A5BD0">
        <w:t xml:space="preserve"> programs and measures, particularly if </w:t>
      </w:r>
      <w:r w:rsidR="008B5CA6">
        <w:t xml:space="preserve">the </w:t>
      </w:r>
      <w:r w:rsidR="008A5BD0">
        <w:t xml:space="preserve">programs continue to be reported and evaluated jointly across gas and </w:t>
      </w:r>
      <w:r>
        <w:br/>
      </w:r>
      <w:r w:rsidR="008A5BD0">
        <w:t>electric utilities.</w:t>
      </w:r>
    </w:p>
    <w:p w:rsidR="008A5BD0" w:rsidRDefault="008A5BD0" w:rsidP="00575B04">
      <w:pPr>
        <w:pStyle w:val="Bulletlevel2"/>
      </w:pPr>
      <w:r>
        <w:t>Align terminolog</w:t>
      </w:r>
      <w:r w:rsidR="008B5CA6">
        <w:t>ies</w:t>
      </w:r>
      <w:r>
        <w:t>, such as</w:t>
      </w:r>
      <w:r w:rsidR="008B5CA6">
        <w:t>:</w:t>
      </w:r>
      <w:r>
        <w:t xml:space="preserve"> discrete measure categories (including subcategories and descriptions, as necessary)</w:t>
      </w:r>
      <w:r w:rsidR="008B5CA6">
        <w:t>;</w:t>
      </w:r>
      <w:r>
        <w:t xml:space="preserve"> </w:t>
      </w:r>
      <w:r w:rsidR="00CC0DCD">
        <w:t xml:space="preserve">measure input values (e.g., efficiency levels); </w:t>
      </w:r>
      <w:r>
        <w:t>program and subprogram names</w:t>
      </w:r>
      <w:r w:rsidR="008B5CA6">
        <w:t>; and</w:t>
      </w:r>
      <w:r>
        <w:t xml:space="preserve"> building/household/equipment characteristics</w:t>
      </w:r>
      <w:r w:rsidR="008B5CA6">
        <w:t>.</w:t>
      </w:r>
    </w:p>
    <w:p w:rsidR="008A5BD0" w:rsidRDefault="008A5BD0" w:rsidP="00575B04">
      <w:pPr>
        <w:pStyle w:val="Bulletlevel2"/>
      </w:pPr>
      <w:r>
        <w:t>Consistently collect household/equipment characteristics that feed into detailed savings calculations (such as building type</w:t>
      </w:r>
      <w:r w:rsidR="008B5CA6">
        <w:t>s</w:t>
      </w:r>
      <w:r>
        <w:t>, heating fuel</w:t>
      </w:r>
      <w:r w:rsidR="008B5CA6">
        <w:t>s</w:t>
      </w:r>
      <w:r>
        <w:t xml:space="preserve">, </w:t>
      </w:r>
      <w:r w:rsidR="008B5CA6">
        <w:t xml:space="preserve">and </w:t>
      </w:r>
      <w:r>
        <w:t>heating and cooling equipment)</w:t>
      </w:r>
      <w:r w:rsidR="008B5CA6">
        <w:t>.</w:t>
      </w:r>
      <w:r>
        <w:t xml:space="preserve"> </w:t>
      </w:r>
    </w:p>
    <w:p w:rsidR="008A5BD0" w:rsidRDefault="008A5BD0" w:rsidP="00575B04">
      <w:pPr>
        <w:pStyle w:val="Bulletlevel2"/>
      </w:pPr>
      <w:r>
        <w:t>Integrate database QA protocols to ensure consistencies within projects</w:t>
      </w:r>
      <w:r w:rsidR="008B5CA6">
        <w:t>:</w:t>
      </w:r>
      <w:r>
        <w:t xml:space="preserve"> </w:t>
      </w:r>
    </w:p>
    <w:p w:rsidR="008A5BD0" w:rsidRDefault="008B5CA6" w:rsidP="00CB415B">
      <w:pPr>
        <w:pStyle w:val="ListParagraph"/>
        <w:numPr>
          <w:ilvl w:val="2"/>
          <w:numId w:val="23"/>
        </w:numPr>
        <w:spacing w:after="60"/>
        <w:ind w:left="1440"/>
      </w:pPr>
      <w:r>
        <w:t xml:space="preserve">For example, </w:t>
      </w:r>
      <w:r w:rsidR="00687F05">
        <w:t xml:space="preserve">the value of </w:t>
      </w:r>
      <w:r>
        <w:t>c</w:t>
      </w:r>
      <w:r w:rsidR="008A5BD0">
        <w:t>ondition</w:t>
      </w:r>
      <w:r w:rsidR="00CC0DCD">
        <w:t>ed</w:t>
      </w:r>
      <w:r w:rsidR="008A5BD0">
        <w:t xml:space="preserve"> square footage </w:t>
      </w:r>
      <w:r w:rsidR="00687F05">
        <w:t xml:space="preserve">from an </w:t>
      </w:r>
      <w:r w:rsidR="008A5BD0">
        <w:t>initial home audit should match reported condition square footage collected in subsequent visit</w:t>
      </w:r>
      <w:r w:rsidR="00687F05">
        <w:t>s</w:t>
      </w:r>
      <w:r w:rsidR="008A5BD0">
        <w:t xml:space="preserve"> for follow-on measure installations</w:t>
      </w:r>
      <w:r w:rsidR="004A5D9D">
        <w:t xml:space="preserve">; in some </w:t>
      </w:r>
      <w:r w:rsidR="008A5BD0">
        <w:t>instances</w:t>
      </w:r>
      <w:r w:rsidR="004A5D9D">
        <w:t>,</w:t>
      </w:r>
      <w:r w:rsidR="008A5BD0">
        <w:t xml:space="preserve"> audit data reported conflicting information</w:t>
      </w:r>
      <w:r w:rsidR="00687F05">
        <w:t xml:space="preserve"> for individual participants</w:t>
      </w:r>
      <w:r>
        <w:t>.</w:t>
      </w:r>
    </w:p>
    <w:p w:rsidR="008A5BD0" w:rsidRDefault="008A5BD0" w:rsidP="00CB415B">
      <w:pPr>
        <w:pStyle w:val="Bulletlevel2-last"/>
        <w:spacing w:after="60"/>
      </w:pPr>
      <w:r>
        <w:t>Ensure</w:t>
      </w:r>
      <w:r w:rsidR="00CC0DCD">
        <w:t xml:space="preserve"> </w:t>
      </w:r>
      <w:r>
        <w:t xml:space="preserve">fields </w:t>
      </w:r>
      <w:r w:rsidR="00B73767">
        <w:t xml:space="preserve">are </w:t>
      </w:r>
      <w:r>
        <w:t xml:space="preserve">populated </w:t>
      </w:r>
      <w:r w:rsidR="00CC0DCD">
        <w:t xml:space="preserve">consistently </w:t>
      </w:r>
      <w:r>
        <w:t>with standardized values</w:t>
      </w:r>
      <w:r w:rsidR="00B73767">
        <w:t>:</w:t>
      </w:r>
      <w:r>
        <w:t xml:space="preserve"> many differences </w:t>
      </w:r>
      <w:r w:rsidR="00B73767">
        <w:t>occur</w:t>
      </w:r>
      <w:r w:rsidR="004A5D9D">
        <w:t>red</w:t>
      </w:r>
      <w:r w:rsidR="00B73767">
        <w:t xml:space="preserve"> </w:t>
      </w:r>
      <w:r>
        <w:t xml:space="preserve">within and across utility data </w:t>
      </w:r>
      <w:r w:rsidR="004A5D9D">
        <w:t>regarding</w:t>
      </w:r>
      <w:r>
        <w:t xml:space="preserve"> how measures </w:t>
      </w:r>
      <w:r w:rsidR="004A5D9D">
        <w:t>were</w:t>
      </w:r>
      <w:r>
        <w:t xml:space="preserve"> defined</w:t>
      </w:r>
      <w:r w:rsidR="00B73767">
        <w:t xml:space="preserve"> or </w:t>
      </w:r>
      <w:r>
        <w:t>described</w:t>
      </w:r>
      <w:r w:rsidR="00B73767">
        <w:t>;</w:t>
      </w:r>
      <w:r>
        <w:t xml:space="preserve"> unpopulated fields (blanks) </w:t>
      </w:r>
      <w:r w:rsidR="00B73767">
        <w:t xml:space="preserve">could be appropriately replaced with </w:t>
      </w:r>
      <w:r>
        <w:t>values such “n/a” or a quantity of zero.</w:t>
      </w:r>
    </w:p>
    <w:p w:rsidR="008A5BD0" w:rsidRDefault="008A5BD0" w:rsidP="00575B04">
      <w:pPr>
        <w:pStyle w:val="Bulletlevel1"/>
      </w:pPr>
      <w:r w:rsidRPr="00FB2AF7">
        <w:rPr>
          <w:b/>
          <w:i/>
        </w:rPr>
        <w:t>QA check information by project</w:t>
      </w:r>
      <w:r>
        <w:t xml:space="preserve">. Specifically for insulation, </w:t>
      </w:r>
      <w:r w:rsidR="004A5D9D">
        <w:t xml:space="preserve">QA checks should determine </w:t>
      </w:r>
      <w:r>
        <w:t xml:space="preserve">whether installed square footage quantities surpass reasonable </w:t>
      </w:r>
      <w:r w:rsidR="004A5D9D">
        <w:t xml:space="preserve">values </w:t>
      </w:r>
      <w:r>
        <w:t xml:space="preserve">relative to </w:t>
      </w:r>
      <w:r w:rsidR="00B73767">
        <w:t xml:space="preserve">a </w:t>
      </w:r>
      <w:r>
        <w:t>reported</w:t>
      </w:r>
      <w:r w:rsidR="00B73767">
        <w:t>,</w:t>
      </w:r>
      <w:r>
        <w:t xml:space="preserve"> total</w:t>
      </w:r>
      <w:r w:rsidR="00B73767">
        <w:t>,</w:t>
      </w:r>
      <w:r>
        <w:t xml:space="preserve"> conditioned floor area.</w:t>
      </w:r>
      <w:r w:rsidR="00382DBB">
        <w:t xml:space="preserve"> Additionally, </w:t>
      </w:r>
      <w:r w:rsidR="0039536B">
        <w:t xml:space="preserve">QA </w:t>
      </w:r>
      <w:r w:rsidR="00382DBB">
        <w:t xml:space="preserve">checks could ensure fuel-specific savings calculated for a project </w:t>
      </w:r>
      <w:r w:rsidR="0039536B">
        <w:t xml:space="preserve">remain </w:t>
      </w:r>
      <w:r w:rsidR="00382DBB">
        <w:t xml:space="preserve">consistent with the information provided for </w:t>
      </w:r>
      <w:r w:rsidR="0039536B">
        <w:t>a</w:t>
      </w:r>
      <w:r w:rsidR="00382DBB">
        <w:t xml:space="preserve"> site regarding heating and water heating fuel</w:t>
      </w:r>
      <w:r w:rsidR="0039536B">
        <w:t>s</w:t>
      </w:r>
      <w:r w:rsidR="00382DBB">
        <w:t xml:space="preserve"> and </w:t>
      </w:r>
      <w:r w:rsidR="0039536B">
        <w:t xml:space="preserve">the </w:t>
      </w:r>
      <w:r w:rsidR="00382DBB">
        <w:t>presence and/or type of cooling equipment.</w:t>
      </w:r>
    </w:p>
    <w:p w:rsidR="008A5BD0" w:rsidRDefault="008A5BD0" w:rsidP="00575B04">
      <w:pPr>
        <w:pStyle w:val="Bulletlevel1"/>
      </w:pPr>
      <w:r w:rsidRPr="00FB2AF7">
        <w:rPr>
          <w:b/>
          <w:i/>
        </w:rPr>
        <w:lastRenderedPageBreak/>
        <w:t>Improved tracking of project data for multifamily buildings</w:t>
      </w:r>
      <w:r w:rsidR="00B73767">
        <w:rPr>
          <w:b/>
          <w:i/>
        </w:rPr>
        <w:t>.</w:t>
      </w:r>
      <w:r>
        <w:t xml:space="preserve"> </w:t>
      </w:r>
      <w:r w:rsidR="00150AD4">
        <w:t>R</w:t>
      </w:r>
      <w:r>
        <w:t>eporting</w:t>
      </w:r>
      <w:r w:rsidR="00150AD4">
        <w:t xml:space="preserve"> should be consistent </w:t>
      </w:r>
      <w:r>
        <w:t xml:space="preserve">at the unit level. The Evaluation Team observed </w:t>
      </w:r>
      <w:r w:rsidR="00B73767">
        <w:t xml:space="preserve">that </w:t>
      </w:r>
      <w:r>
        <w:t xml:space="preserve">tracking data and billing data </w:t>
      </w:r>
      <w:r w:rsidR="00B73767">
        <w:t>could not always be directly mapped</w:t>
      </w:r>
      <w:r>
        <w:t xml:space="preserve">. </w:t>
      </w:r>
      <w:r w:rsidR="00CC0DCD">
        <w:t>Billing data often were presented at the facility level</w:t>
      </w:r>
      <w:r>
        <w:t xml:space="preserve">, while measure data </w:t>
      </w:r>
      <w:r w:rsidR="00B73767">
        <w:t xml:space="preserve">often </w:t>
      </w:r>
      <w:r>
        <w:t>were presented at the unit level</w:t>
      </w:r>
      <w:r w:rsidR="004A5D9D">
        <w:t>;</w:t>
      </w:r>
      <w:r>
        <w:t xml:space="preserve"> a unique identifier to link these data sources</w:t>
      </w:r>
      <w:r w:rsidR="00687F05">
        <w:t xml:space="preserve"> should help to resolve this issue.</w:t>
      </w:r>
      <w:r>
        <w:t xml:space="preserve"> If program tracking data can maintain consistency for multifamily participants in </w:t>
      </w:r>
      <w:r w:rsidR="00687F05">
        <w:t xml:space="preserve">recording information </w:t>
      </w:r>
      <w:r>
        <w:t>at the unit level, this unique identifier for multifamily unit</w:t>
      </w:r>
      <w:r w:rsidR="00687F05">
        <w:t>s</w:t>
      </w:r>
      <w:r>
        <w:t xml:space="preserve"> should be present in the billing data to facilitate integration.</w:t>
      </w:r>
    </w:p>
    <w:p w:rsidR="008A5BD0" w:rsidRDefault="00CC0DCD" w:rsidP="00575B04">
      <w:pPr>
        <w:pStyle w:val="Bulletlevel1"/>
      </w:pPr>
      <w:r w:rsidRPr="00FB2AF7">
        <w:rPr>
          <w:b/>
          <w:i/>
        </w:rPr>
        <w:t>Improve ability to easily export program tracking data</w:t>
      </w:r>
      <w:r>
        <w:t xml:space="preserve"> </w:t>
      </w:r>
      <w:r w:rsidR="008A5BD0">
        <w:t>for specific programs in isolation</w:t>
      </w:r>
      <w:r w:rsidR="00B73767">
        <w:t>. In</w:t>
      </w:r>
      <w:r w:rsidR="008A5BD0">
        <w:t xml:space="preserve"> some </w:t>
      </w:r>
      <w:r w:rsidR="00B73767">
        <w:t>cases</w:t>
      </w:r>
      <w:r w:rsidR="008A5BD0">
        <w:t xml:space="preserve">, challenges </w:t>
      </w:r>
      <w:r w:rsidR="00B73767">
        <w:t xml:space="preserve">emerged </w:t>
      </w:r>
      <w:r w:rsidR="008A5BD0">
        <w:t xml:space="preserve">in identifying measures attributed to HES and HES-IE programs (versus other energy-efficiency programs). </w:t>
      </w:r>
      <w:r w:rsidR="00B73767">
        <w:t>In several cases, l</w:t>
      </w:r>
      <w:r w:rsidR="008A5BD0">
        <w:t xml:space="preserve">acking a program identifier, the Evaluation Team </w:t>
      </w:r>
      <w:r w:rsidR="00B73767">
        <w:t xml:space="preserve">had </w:t>
      </w:r>
      <w:r w:rsidR="008A5BD0">
        <w:t>to identify program-attributed measures using measure descriptions and rebate levels.</w:t>
      </w:r>
      <w:r w:rsidR="00A06349">
        <w:t xml:space="preserve"> Recommended actions include creating a data dictionary for existing variables and always </w:t>
      </w:r>
      <w:r w:rsidR="00A24FEE">
        <w:t xml:space="preserve">adding </w:t>
      </w:r>
      <w:r w:rsidR="00A06349">
        <w:t>a variable description when adding new fields/values to the dataset.</w:t>
      </w:r>
    </w:p>
    <w:p w:rsidR="008A5BD0" w:rsidRPr="00EB6D4C" w:rsidRDefault="008A5BD0" w:rsidP="00575B04">
      <w:pPr>
        <w:pStyle w:val="Bulletlevel1-last"/>
      </w:pPr>
      <w:r w:rsidRPr="00FB2AF7">
        <w:rPr>
          <w:b/>
          <w:i/>
        </w:rPr>
        <w:t>Ensure program tracking of both electric and gas account numbers</w:t>
      </w:r>
      <w:r w:rsidR="00B73767">
        <w:rPr>
          <w:b/>
          <w:i/>
        </w:rPr>
        <w:t>.</w:t>
      </w:r>
      <w:r>
        <w:t xml:space="preserve"> </w:t>
      </w:r>
      <w:r w:rsidR="00B73767">
        <w:t>T</w:t>
      </w:r>
      <w:r>
        <w:t xml:space="preserve">his </w:t>
      </w:r>
      <w:r w:rsidR="004A5D9D">
        <w:t xml:space="preserve">would </w:t>
      </w:r>
      <w:r>
        <w:t>facilitate accessibility and connection</w:t>
      </w:r>
      <w:r w:rsidR="00B73767">
        <w:t>s</w:t>
      </w:r>
      <w:r>
        <w:t xml:space="preserve"> to other databases</w:t>
      </w:r>
      <w:r w:rsidR="004A5D9D">
        <w:t>,</w:t>
      </w:r>
      <w:r>
        <w:t xml:space="preserve"> </w:t>
      </w:r>
      <w:r w:rsidR="00B73767">
        <w:t xml:space="preserve">using </w:t>
      </w:r>
      <w:r>
        <w:t xml:space="preserve">account numbers as unique identifiers (e.g., billing and transaction data). </w:t>
      </w:r>
      <w:r w:rsidR="00CC0DCD">
        <w:t xml:space="preserve">Alternatively, </w:t>
      </w:r>
      <w:r w:rsidR="00A06349">
        <w:t xml:space="preserve">perhaps </w:t>
      </w:r>
      <w:r w:rsidR="00CC0DCD">
        <w:t xml:space="preserve">another unique identifier </w:t>
      </w:r>
      <w:r w:rsidR="00D26056">
        <w:t xml:space="preserve">currently utilized by utilities </w:t>
      </w:r>
      <w:r w:rsidR="00CC0DCD">
        <w:t xml:space="preserve">could </w:t>
      </w:r>
      <w:r w:rsidR="004A5D9D">
        <w:t xml:space="preserve">better </w:t>
      </w:r>
      <w:r w:rsidR="00CC0DCD">
        <w:t>facilitate this process.</w:t>
      </w:r>
    </w:p>
    <w:p w:rsidR="008A5BD0" w:rsidRDefault="008A5BD0" w:rsidP="008A5BD0">
      <w:pPr>
        <w:pStyle w:val="Heading2"/>
      </w:pPr>
      <w:bookmarkStart w:id="136" w:name="_Toc389663853"/>
      <w:r>
        <w:t>Measure</w:t>
      </w:r>
      <w:r w:rsidR="00B73767">
        <w:t xml:space="preserve"> </w:t>
      </w:r>
      <w:r w:rsidR="00CC0DCD">
        <w:t>Specific</w:t>
      </w:r>
      <w:bookmarkEnd w:id="136"/>
    </w:p>
    <w:p w:rsidR="008A5BD0" w:rsidRDefault="008A5BD0" w:rsidP="008A5BD0">
      <w:pPr>
        <w:pStyle w:val="Heading3"/>
      </w:pPr>
      <w:r>
        <w:t>Ductless Heat Pumps</w:t>
      </w:r>
    </w:p>
    <w:p w:rsidR="008A5BD0" w:rsidRPr="00EB6D4C" w:rsidRDefault="008A5BD0" w:rsidP="008B5CA6">
      <w:r>
        <w:t xml:space="preserve">Based on measure-level and whole-house findings, </w:t>
      </w:r>
      <w:r w:rsidRPr="00B73767">
        <w:rPr>
          <w:i/>
        </w:rPr>
        <w:t>ex ante</w:t>
      </w:r>
      <w:r>
        <w:t xml:space="preserve"> savings estimates for ductless heat pumps overestimat</w:t>
      </w:r>
      <w:r w:rsidR="00B73767">
        <w:t>e</w:t>
      </w:r>
      <w:r>
        <w:t xml:space="preserve"> actual savings and </w:t>
      </w:r>
      <w:r w:rsidR="00B73767">
        <w:t xml:space="preserve">do </w:t>
      </w:r>
      <w:r>
        <w:t>not account for scale</w:t>
      </w:r>
      <w:r w:rsidR="00B73767">
        <w:t>d-</w:t>
      </w:r>
      <w:r>
        <w:t xml:space="preserve">down savings, </w:t>
      </w:r>
      <w:r w:rsidR="004A5D9D">
        <w:t xml:space="preserve">which </w:t>
      </w:r>
      <w:r>
        <w:t>potentially relate</w:t>
      </w:r>
      <w:r w:rsidR="004A5D9D">
        <w:t>s</w:t>
      </w:r>
      <w:r>
        <w:t xml:space="preserve"> to take-back effect</w:t>
      </w:r>
      <w:r w:rsidR="00B73767">
        <w:t>s</w:t>
      </w:r>
      <w:r>
        <w:t xml:space="preserve"> or </w:t>
      </w:r>
      <w:r w:rsidR="00B73767">
        <w:t xml:space="preserve">the </w:t>
      </w:r>
      <w:r>
        <w:t xml:space="preserve">accuracy of baseline assumptions (e.g., some level of continued baseboard heating or increased cooling loads). </w:t>
      </w:r>
      <w:r w:rsidR="00CB415B">
        <w:t xml:space="preserve">More detailed analysis should be </w:t>
      </w:r>
      <w:r>
        <w:t>perform</w:t>
      </w:r>
      <w:r w:rsidR="00CB415B">
        <w:t>ed</w:t>
      </w:r>
      <w:r w:rsidR="00B73767">
        <w:t>,</w:t>
      </w:r>
      <w:r>
        <w:t xml:space="preserve"> specific to this measure</w:t>
      </w:r>
      <w:r w:rsidR="00B73767">
        <w:t>,</w:t>
      </w:r>
      <w:r>
        <w:t xml:space="preserve"> for HES and HES-IE participants (</w:t>
      </w:r>
      <w:r w:rsidR="00B73767">
        <w:t xml:space="preserve">and </w:t>
      </w:r>
      <w:r w:rsidR="00687F05">
        <w:t xml:space="preserve">could include </w:t>
      </w:r>
      <w:r>
        <w:t xml:space="preserve">other programs offering ductless heat pumps in Connecticut). </w:t>
      </w:r>
      <w:r w:rsidR="00150AD4">
        <w:t>R</w:t>
      </w:r>
      <w:r>
        <w:t>egion-specific research will</w:t>
      </w:r>
      <w:r w:rsidR="00150AD4">
        <w:t xml:space="preserve"> help</w:t>
      </w:r>
      <w:r>
        <w:t xml:space="preserve"> clarify the discrepancies between current planning estimates and evaluated savings</w:t>
      </w:r>
      <w:r w:rsidR="00150AD4">
        <w:t xml:space="preserve">, </w:t>
      </w:r>
      <w:r>
        <w:t xml:space="preserve">refine assumptions </w:t>
      </w:r>
      <w:r w:rsidR="00B73767">
        <w:t>regarding</w:t>
      </w:r>
      <w:r>
        <w:t xml:space="preserve"> baseline conditions</w:t>
      </w:r>
      <w:r w:rsidR="00150AD4">
        <w:t xml:space="preserve">, </w:t>
      </w:r>
      <w:r>
        <w:t xml:space="preserve">and identify key inputs </w:t>
      </w:r>
      <w:r w:rsidR="00B73767">
        <w:t xml:space="preserve">that </w:t>
      </w:r>
      <w:r>
        <w:t xml:space="preserve">the current algorithm </w:t>
      </w:r>
      <w:r w:rsidR="00B73767">
        <w:t xml:space="preserve">does </w:t>
      </w:r>
      <w:r>
        <w:t>not account</w:t>
      </w:r>
      <w:r w:rsidR="00B73767">
        <w:t xml:space="preserve"> for</w:t>
      </w:r>
      <w:r>
        <w:t>.</w:t>
      </w:r>
    </w:p>
    <w:p w:rsidR="008A5BD0" w:rsidRPr="00635DCD" w:rsidRDefault="008A5BD0" w:rsidP="008A5BD0">
      <w:pPr>
        <w:pStyle w:val="Heading3"/>
      </w:pPr>
      <w:r>
        <w:t>Faucet Aerators</w:t>
      </w:r>
    </w:p>
    <w:p w:rsidR="00D252C6" w:rsidRDefault="008A5BD0" w:rsidP="008B5CA6">
      <w:r>
        <w:t>Based on the engineering review and benchmarking performed on the faucet aerator measure, the savings algorithms and inputs used for the energy</w:t>
      </w:r>
      <w:r w:rsidR="00B73767">
        <w:t>-</w:t>
      </w:r>
      <w:r>
        <w:t>savings calculation</w:t>
      </w:r>
      <w:r w:rsidR="00CB415B">
        <w:t xml:space="preserve"> should be adjusted</w:t>
      </w:r>
      <w:r>
        <w:t xml:space="preserve">. </w:t>
      </w:r>
    </w:p>
    <w:p w:rsidR="008A5BD0" w:rsidRDefault="00B73767" w:rsidP="008B5CA6">
      <w:r>
        <w:t>F</w:t>
      </w:r>
      <w:r w:rsidR="008A5BD0">
        <w:t>irst</w:t>
      </w:r>
      <w:r>
        <w:t>, a drain factor should be included</w:t>
      </w:r>
      <w:r w:rsidR="008A5BD0">
        <w:t xml:space="preserve">. </w:t>
      </w:r>
      <w:r>
        <w:t xml:space="preserve">This would </w:t>
      </w:r>
      <w:r w:rsidR="008A5BD0">
        <w:t xml:space="preserve">account for </w:t>
      </w:r>
      <w:r>
        <w:t xml:space="preserve">non-time-dependent </w:t>
      </w:r>
      <w:r w:rsidR="008A5BD0">
        <w:t>water usage and</w:t>
      </w:r>
      <w:r w:rsidR="004A5D9D">
        <w:t>,</w:t>
      </w:r>
      <w:r w:rsidR="008A5BD0">
        <w:t xml:space="preserve"> therefore</w:t>
      </w:r>
      <w:r w:rsidR="004A5D9D">
        <w:t>,</w:t>
      </w:r>
      <w:r w:rsidR="008A5BD0">
        <w:t xml:space="preserve"> </w:t>
      </w:r>
      <w:r w:rsidR="00CB415B">
        <w:t xml:space="preserve">would </w:t>
      </w:r>
      <w:r w:rsidR="008A5BD0">
        <w:t xml:space="preserve">not </w:t>
      </w:r>
      <w:r w:rsidR="00CB415B">
        <w:t xml:space="preserve">be </w:t>
      </w:r>
      <w:r w:rsidR="008A5BD0">
        <w:t>impacted by flow rate</w:t>
      </w:r>
      <w:r>
        <w:t>s</w:t>
      </w:r>
      <w:r w:rsidR="00AD68B8">
        <w:t>.</w:t>
      </w:r>
      <w:r w:rsidR="00CB415B">
        <w:t xml:space="preserve"> </w:t>
      </w:r>
      <w:r w:rsidR="00AD68B8">
        <w:t>F</w:t>
      </w:r>
      <w:r w:rsidR="00D252C6">
        <w:t xml:space="preserve">or </w:t>
      </w:r>
      <w:r w:rsidR="008A5BD0">
        <w:t>example</w:t>
      </w:r>
      <w:r w:rsidR="00D252C6">
        <w:t>,</w:t>
      </w:r>
      <w:r w:rsidR="008A5BD0">
        <w:t xml:space="preserve"> filling a vessel</w:t>
      </w:r>
      <w:r w:rsidR="00AD68B8">
        <w:t xml:space="preserve"> </w:t>
      </w:r>
      <w:r w:rsidR="004A5D9D">
        <w:t xml:space="preserve">requires </w:t>
      </w:r>
      <w:r w:rsidR="008A5BD0">
        <w:t>the same amount of water</w:t>
      </w:r>
      <w:r w:rsidR="004A5D9D">
        <w:t xml:space="preserve">, whether or not using </w:t>
      </w:r>
      <w:r w:rsidR="00AD68B8">
        <w:t xml:space="preserve">an aerator. As a result, </w:t>
      </w:r>
      <w:r w:rsidR="008A5BD0">
        <w:t>installation of a low-flow faucet aerator</w:t>
      </w:r>
      <w:r w:rsidR="00AD68B8">
        <w:t>s</w:t>
      </w:r>
      <w:r w:rsidR="008A5BD0">
        <w:t xml:space="preserve"> only increase the time </w:t>
      </w:r>
      <w:r w:rsidR="00D252C6">
        <w:t xml:space="preserve">required to complete </w:t>
      </w:r>
      <w:r w:rsidR="00AD68B8">
        <w:t xml:space="preserve">this </w:t>
      </w:r>
      <w:r w:rsidR="00D252C6">
        <w:t xml:space="preserve">task and </w:t>
      </w:r>
      <w:r w:rsidR="00AD68B8">
        <w:t>do</w:t>
      </w:r>
      <w:r w:rsidR="00150AD4">
        <w:t>es</w:t>
      </w:r>
      <w:r w:rsidR="00AD68B8">
        <w:t xml:space="preserve"> </w:t>
      </w:r>
      <w:r w:rsidR="008A5BD0">
        <w:t xml:space="preserve">not reduce the amount of water </w:t>
      </w:r>
      <w:r w:rsidR="004A5D9D">
        <w:t>used</w:t>
      </w:r>
      <w:r w:rsidR="008A5BD0">
        <w:t xml:space="preserve">. </w:t>
      </w:r>
    </w:p>
    <w:p w:rsidR="00AD68B8" w:rsidRDefault="00D252C6" w:rsidP="00AD68B8">
      <w:r>
        <w:t>S</w:t>
      </w:r>
      <w:r w:rsidR="008A5BD0">
        <w:t>econd</w:t>
      </w:r>
      <w:r>
        <w:t>,</w:t>
      </w:r>
      <w:r w:rsidR="008A5BD0">
        <w:t xml:space="preserve"> </w:t>
      </w:r>
      <w:r w:rsidR="00AD68B8">
        <w:t xml:space="preserve">the utility should use </w:t>
      </w:r>
      <w:r w:rsidR="004A5D9D">
        <w:t xml:space="preserve">the </w:t>
      </w:r>
      <w:r w:rsidR="00AD68B8">
        <w:t xml:space="preserve">water heater recovery efficiency rather than the energy factor when determining energy savings for faucet aerators. The energy factor accounts for the total amount of hot </w:t>
      </w:r>
      <w:r w:rsidR="00AD68B8">
        <w:lastRenderedPageBreak/>
        <w:t xml:space="preserve">water produced relative to energy consumed for a given day, which includes: the recovery efficiency, standby losses, and cycling losses. Installation of an aerator does not impact standby or cycling losses in a water heater; rather, energy savings are realized </w:t>
      </w:r>
      <w:r w:rsidR="004A5D9D">
        <w:t xml:space="preserve">due to </w:t>
      </w:r>
      <w:r w:rsidR="00AD68B8">
        <w:t>a smaller volume of cold water entering the water heater. Consequently, recovery efficiency is the true efficiency that should be used for energy-savings calculations.</w:t>
      </w:r>
    </w:p>
    <w:p w:rsidR="008A5BD0" w:rsidRPr="00635DCD" w:rsidRDefault="008A5BD0" w:rsidP="008A5BD0">
      <w:pPr>
        <w:pStyle w:val="Heading3"/>
      </w:pPr>
      <w:r>
        <w:t xml:space="preserve">Showerhead </w:t>
      </w:r>
    </w:p>
    <w:p w:rsidR="008A5BD0" w:rsidRDefault="004A5D9D" w:rsidP="008A5BD0">
      <w:r>
        <w:t>Much like faucet aerators (above), t</w:t>
      </w:r>
      <w:r w:rsidR="008A5BD0">
        <w:t xml:space="preserve">he utility </w:t>
      </w:r>
      <w:r w:rsidR="00CB415B">
        <w:t xml:space="preserve">should </w:t>
      </w:r>
      <w:r w:rsidR="008A5BD0">
        <w:t xml:space="preserve">use </w:t>
      </w:r>
      <w:r>
        <w:t xml:space="preserve">the </w:t>
      </w:r>
      <w:r w:rsidR="008A5BD0">
        <w:t>water heater recovery efficiency rather than the energy factor when determining energy savings for showerheads</w:t>
      </w:r>
      <w:r w:rsidR="00AD68B8">
        <w:t>. T</w:t>
      </w:r>
      <w:r w:rsidR="008A5BD0">
        <w:t>he energy factor accounts for the total amount of hot water produced relative to energy consumed for a given day</w:t>
      </w:r>
      <w:r w:rsidR="00AD68B8">
        <w:t>, which includes</w:t>
      </w:r>
      <w:r w:rsidR="00CB415B">
        <w:t>:</w:t>
      </w:r>
      <w:r w:rsidR="008A5BD0">
        <w:t xml:space="preserve"> the recovery efficiency, standby losses, and cycling losses. </w:t>
      </w:r>
      <w:r w:rsidR="00F15E15">
        <w:t>I</w:t>
      </w:r>
      <w:r w:rsidR="008A5BD0">
        <w:t>nstallation of a showerhead does not impact standby or cycling losses in a water heater</w:t>
      </w:r>
      <w:r w:rsidR="00F15E15">
        <w:t>;</w:t>
      </w:r>
      <w:r w:rsidR="008A5BD0">
        <w:t xml:space="preserve"> </w:t>
      </w:r>
      <w:r w:rsidR="00F15E15">
        <w:t xml:space="preserve">rather, </w:t>
      </w:r>
      <w:r w:rsidR="008A5BD0">
        <w:t xml:space="preserve">energy savings are realized </w:t>
      </w:r>
      <w:r>
        <w:t xml:space="preserve">due to </w:t>
      </w:r>
      <w:r w:rsidR="008A5BD0">
        <w:t xml:space="preserve">a smaller volume of cold water entering the water heater. </w:t>
      </w:r>
      <w:r w:rsidR="00F15E15">
        <w:t xml:space="preserve">Consequently, </w:t>
      </w:r>
      <w:r w:rsidR="008A5BD0">
        <w:t>recovery efficiency is the true efficiency that should be used for energy</w:t>
      </w:r>
      <w:r w:rsidR="00F15E15">
        <w:t>-</w:t>
      </w:r>
      <w:r w:rsidR="008A5BD0">
        <w:t>savings calculations.</w:t>
      </w:r>
    </w:p>
    <w:p w:rsidR="008A5BD0" w:rsidRPr="00635DCD" w:rsidRDefault="008A5BD0" w:rsidP="008A5BD0">
      <w:pPr>
        <w:pStyle w:val="Heading3"/>
      </w:pPr>
      <w:r>
        <w:t xml:space="preserve">Pipe Insulation </w:t>
      </w:r>
    </w:p>
    <w:p w:rsidR="008A5BD0" w:rsidRDefault="008A5BD0" w:rsidP="008A5BD0">
      <w:r>
        <w:t xml:space="preserve">Based on the Evaluation </w:t>
      </w:r>
      <w:r w:rsidR="00AD68B8">
        <w:t>Team’s</w:t>
      </w:r>
      <w:r>
        <w:t xml:space="preserve"> review of the pipe insulation measure, the PSD does not limit the amount of insulation that can be installed and receive savings. Through </w:t>
      </w:r>
      <w:r w:rsidR="00F15E15">
        <w:t>a</w:t>
      </w:r>
      <w:r>
        <w:t xml:space="preserve"> review of supplemental resources, the Evaluation Team found the maximum savings achievable through pipe insulation should not exceed the savings achieved through installation of </w:t>
      </w:r>
      <w:r w:rsidR="00F15E15">
        <w:t xml:space="preserve">a </w:t>
      </w:r>
      <w:r>
        <w:t xml:space="preserve">heat trap in a water heater. Based on the PSD value of 10.4 kWh per linear foot of pipe insulation, this results in a maximum installation of approximately six feet of pipe insulation per water heater. </w:t>
      </w:r>
      <w:r w:rsidR="00F15E15">
        <w:t>T</w:t>
      </w:r>
      <w:r>
        <w:t xml:space="preserve">he Evaluation Team </w:t>
      </w:r>
      <w:r w:rsidR="00F15E15">
        <w:t xml:space="preserve">finds </w:t>
      </w:r>
      <w:r>
        <w:t xml:space="preserve">that </w:t>
      </w:r>
      <w:r w:rsidR="00AE7AC1">
        <w:t xml:space="preserve">savings for </w:t>
      </w:r>
      <w:r>
        <w:t xml:space="preserve">hot water pipe insulation should only be </w:t>
      </w:r>
      <w:r w:rsidR="00AE7AC1">
        <w:t xml:space="preserve">received </w:t>
      </w:r>
      <w:r>
        <w:t xml:space="preserve">for </w:t>
      </w:r>
      <w:r w:rsidR="00150AD4">
        <w:t xml:space="preserve">the </w:t>
      </w:r>
      <w:r>
        <w:t>installation of six feet of pipe insulation. Additional insulation provides negligible savings</w:t>
      </w:r>
      <w:r w:rsidR="00F15E15">
        <w:t>,</w:t>
      </w:r>
      <w:r>
        <w:t xml:space="preserve"> and the installation of less insulation </w:t>
      </w:r>
      <w:r w:rsidR="00F15E15">
        <w:t xml:space="preserve">proves </w:t>
      </w:r>
      <w:r>
        <w:t>ineffective in reducing energy consumption.</w:t>
      </w:r>
    </w:p>
    <w:p w:rsidR="008A5BD0" w:rsidRDefault="008A5BD0" w:rsidP="008A5BD0">
      <w:r>
        <w:t xml:space="preserve">Furthermore, the Evaluation Team </w:t>
      </w:r>
      <w:r w:rsidR="00625B91">
        <w:t xml:space="preserve">considers </w:t>
      </w:r>
      <w:r>
        <w:t>it worthwhile for the utility to revisit the savings estimates used for installation</w:t>
      </w:r>
      <w:r w:rsidR="00625B91">
        <w:t>s</w:t>
      </w:r>
      <w:r>
        <w:t xml:space="preserve"> of pipe insulation. The model used by the utility calculat</w:t>
      </w:r>
      <w:r w:rsidR="00625B91">
        <w:t>es</w:t>
      </w:r>
      <w:r>
        <w:t xml:space="preserve"> energy savings in system</w:t>
      </w:r>
      <w:r w:rsidR="00625B91">
        <w:t>s</w:t>
      </w:r>
      <w:r>
        <w:t xml:space="preserve"> where water continuously circulat</w:t>
      </w:r>
      <w:r w:rsidR="00625B91">
        <w:t>es</w:t>
      </w:r>
      <w:r>
        <w:t xml:space="preserve"> at a raised temperature</w:t>
      </w:r>
      <w:r w:rsidR="00625B91">
        <w:t>—</w:t>
      </w:r>
      <w:r>
        <w:t xml:space="preserve">a common occurrence in many commercial applications. </w:t>
      </w:r>
      <w:r w:rsidR="00625B91">
        <w:t>I</w:t>
      </w:r>
      <w:r>
        <w:t xml:space="preserve">n a residential hot water system, </w:t>
      </w:r>
      <w:r w:rsidR="00625B91">
        <w:t xml:space="preserve">however, </w:t>
      </w:r>
      <w:r>
        <w:t xml:space="preserve">hot water primarily </w:t>
      </w:r>
      <w:r w:rsidR="00625B91">
        <w:t xml:space="preserve">is </w:t>
      </w:r>
      <w:r>
        <w:t>located in hot water tank</w:t>
      </w:r>
      <w:r w:rsidR="00625B91">
        <w:t>s</w:t>
      </w:r>
      <w:r>
        <w:t xml:space="preserve"> and </w:t>
      </w:r>
      <w:r w:rsidR="00625B91">
        <w:t xml:space="preserve">does </w:t>
      </w:r>
      <w:r>
        <w:t>not constantly circulat</w:t>
      </w:r>
      <w:r w:rsidR="00625B91">
        <w:t>e</w:t>
      </w:r>
      <w:r>
        <w:t xml:space="preserve"> through piping system</w:t>
      </w:r>
      <w:r w:rsidR="00625B91">
        <w:t>s</w:t>
      </w:r>
      <w:r>
        <w:t xml:space="preserve">. </w:t>
      </w:r>
      <w:r w:rsidR="00625B91">
        <w:t xml:space="preserve">Consequently, </w:t>
      </w:r>
      <w:r>
        <w:t>water in the pipes cools relatively quickly, and energy savings drop off dramatically.</w:t>
      </w:r>
    </w:p>
    <w:p w:rsidR="00710A32" w:rsidRDefault="00710A32" w:rsidP="008A5BD0">
      <w:pPr>
        <w:pStyle w:val="Heading3"/>
      </w:pPr>
      <w:r>
        <w:t>Window AC</w:t>
      </w:r>
    </w:p>
    <w:p w:rsidR="00710A32" w:rsidRPr="00710A32" w:rsidRDefault="00710A32" w:rsidP="00710A32">
      <w:r>
        <w:t xml:space="preserve">Utilities should ensure that </w:t>
      </w:r>
      <w:r w:rsidR="00AC1115">
        <w:t>window AC replacements installed through the program meet minimum efficienc</w:t>
      </w:r>
      <w:r w:rsidR="00BD65D5">
        <w:t>y</w:t>
      </w:r>
      <w:r w:rsidR="00AC1115">
        <w:t xml:space="preserve"> requirements</w:t>
      </w:r>
      <w:r w:rsidR="00BD65D5">
        <w:t>,</w:t>
      </w:r>
      <w:r w:rsidR="00C56840">
        <w:t xml:space="preserve"> and claimed savings should account for the installed efficiency collected through tracking data (rather than assuming a constant installed efficiency from the PSD)</w:t>
      </w:r>
      <w:r w:rsidR="00AC1115">
        <w:t>. As discussed, the Evaluation Team found that</w:t>
      </w:r>
      <w:r w:rsidR="00BD65D5">
        <w:t>,</w:t>
      </w:r>
      <w:r w:rsidR="00AC1115">
        <w:t xml:space="preserve"> in many cases</w:t>
      </w:r>
      <w:r w:rsidR="00BD65D5">
        <w:t>,</w:t>
      </w:r>
      <w:r w:rsidR="00AC1115">
        <w:t xml:space="preserve"> the installed units </w:t>
      </w:r>
      <w:r w:rsidR="00BD65D5">
        <w:t>proved</w:t>
      </w:r>
      <w:r w:rsidR="00AC1115">
        <w:t xml:space="preserve"> less efficient than the CEER Tier 1 or Tier 1 l</w:t>
      </w:r>
      <w:r w:rsidR="00C56840">
        <w:t xml:space="preserve">evels, </w:t>
      </w:r>
    </w:p>
    <w:p w:rsidR="00625B91" w:rsidRPr="00635DCD" w:rsidRDefault="00625B91" w:rsidP="008B5CA6"/>
    <w:p w:rsidR="00AF07EA" w:rsidRDefault="00AF07EA" w:rsidP="00AF07EA">
      <w:pPr>
        <w:pStyle w:val="Heading1"/>
      </w:pPr>
      <w:bookmarkStart w:id="137" w:name="_Toc378750721"/>
      <w:bookmarkStart w:id="138" w:name="_Ref382984477"/>
      <w:bookmarkStart w:id="139" w:name="_Toc389663854"/>
      <w:r>
        <w:lastRenderedPageBreak/>
        <w:t xml:space="preserve">Appendix A. </w:t>
      </w:r>
      <w:bookmarkEnd w:id="137"/>
      <w:r>
        <w:t xml:space="preserve">Billing Analysis </w:t>
      </w:r>
      <w:r w:rsidR="004448C8">
        <w:t>Fixed</w:t>
      </w:r>
      <w:r w:rsidR="00FE4369">
        <w:t>-</w:t>
      </w:r>
      <w:r w:rsidR="004448C8">
        <w:t xml:space="preserve">Effects </w:t>
      </w:r>
      <w:r>
        <w:t>Model Specifications</w:t>
      </w:r>
      <w:bookmarkEnd w:id="138"/>
      <w:bookmarkEnd w:id="139"/>
    </w:p>
    <w:p w:rsidR="00AF07EA" w:rsidRPr="004D1F89" w:rsidRDefault="00523B88" w:rsidP="004D1F89">
      <w:pPr>
        <w:spacing w:before="200" w:after="0"/>
        <w:rPr>
          <w:b/>
          <w:i/>
          <w:color w:val="898A17"/>
          <w:sz w:val="29"/>
          <w:szCs w:val="29"/>
        </w:rPr>
      </w:pPr>
      <w:bookmarkStart w:id="140" w:name="_Toc378750724"/>
      <w:r w:rsidRPr="004D1F89">
        <w:rPr>
          <w:b/>
          <w:i/>
          <w:color w:val="898A17"/>
          <w:sz w:val="29"/>
          <w:szCs w:val="29"/>
        </w:rPr>
        <w:t xml:space="preserve">Measure-Level </w:t>
      </w:r>
      <w:r w:rsidR="00AF07EA" w:rsidRPr="004D1F89">
        <w:rPr>
          <w:b/>
          <w:i/>
          <w:color w:val="898A17"/>
          <w:sz w:val="29"/>
          <w:szCs w:val="29"/>
        </w:rPr>
        <w:t xml:space="preserve">Model </w:t>
      </w:r>
      <w:bookmarkEnd w:id="140"/>
      <w:r w:rsidR="0038684A">
        <w:rPr>
          <w:b/>
          <w:i/>
          <w:color w:val="898A17"/>
          <w:sz w:val="29"/>
          <w:szCs w:val="29"/>
        </w:rPr>
        <w:t>Results</w:t>
      </w:r>
    </w:p>
    <w:p w:rsidR="004448C8" w:rsidRPr="004D1F89" w:rsidRDefault="004448C8" w:rsidP="004D1F89">
      <w:pPr>
        <w:pStyle w:val="NormalBeforeList"/>
      </w:pPr>
      <w:r w:rsidRPr="004D1F89">
        <w:t xml:space="preserve">To estimate </w:t>
      </w:r>
      <w:r w:rsidR="00523B88" w:rsidRPr="004D1F89">
        <w:t xml:space="preserve">gas and electric </w:t>
      </w:r>
      <w:r w:rsidRPr="004D1F89">
        <w:t xml:space="preserve">energy savings from </w:t>
      </w:r>
      <w:r w:rsidR="007E4CF0" w:rsidRPr="004D1F89">
        <w:t>the HES</w:t>
      </w:r>
      <w:r w:rsidR="00C67044" w:rsidRPr="004D1F89">
        <w:t xml:space="preserve"> and HES-IE</w:t>
      </w:r>
      <w:r w:rsidR="007E4CF0" w:rsidRPr="004D1F89">
        <w:t xml:space="preserve"> </w:t>
      </w:r>
      <w:r w:rsidRPr="004D1F89">
        <w:t>program</w:t>
      </w:r>
      <w:r w:rsidR="00C67044" w:rsidRPr="004D1F89">
        <w:t>s</w:t>
      </w:r>
      <w:r w:rsidRPr="004D1F89">
        <w:t xml:space="preserve">, </w:t>
      </w:r>
      <w:r w:rsidR="007851DE">
        <w:t xml:space="preserve">the Evaluation Team used </w:t>
      </w:r>
      <w:r w:rsidRPr="004D1F89">
        <w:t>a pre-</w:t>
      </w:r>
      <w:r w:rsidR="004C2CFB" w:rsidRPr="004D1F89">
        <w:t xml:space="preserve"> and </w:t>
      </w:r>
      <w:r w:rsidRPr="004D1F89">
        <w:t xml:space="preserve">post-installation savings analysis fixed-effects modeling method, </w:t>
      </w:r>
      <w:r w:rsidR="004C2CFB" w:rsidRPr="004D1F89">
        <w:t xml:space="preserve">which </w:t>
      </w:r>
      <w:r w:rsidR="007851DE">
        <w:t xml:space="preserve">utilized </w:t>
      </w:r>
      <w:r w:rsidRPr="004D1F89">
        <w:t>pooled monthly time-series (panel) billing data. The fixed-effects modeling approach corrected for</w:t>
      </w:r>
      <w:r w:rsidR="007851DE">
        <w:t xml:space="preserve"> the following</w:t>
      </w:r>
      <w:r w:rsidRPr="004D1F89">
        <w:t xml:space="preserve">: </w:t>
      </w:r>
    </w:p>
    <w:p w:rsidR="004448C8" w:rsidRPr="0000273D" w:rsidRDefault="004448C8" w:rsidP="00E46FC7">
      <w:pPr>
        <w:pStyle w:val="Bulletlevel1"/>
      </w:pPr>
      <w:r w:rsidRPr="0000273D">
        <w:t xml:space="preserve">Differences between pre- and post-installation weather conditions; and </w:t>
      </w:r>
    </w:p>
    <w:p w:rsidR="004448C8" w:rsidRPr="0000273D" w:rsidRDefault="004448C8" w:rsidP="00E46FC7">
      <w:pPr>
        <w:pStyle w:val="Bulletlevel1-last"/>
      </w:pPr>
      <w:r w:rsidRPr="0000273D">
        <w:t xml:space="preserve">Differences in usage consumption between participants, through inclusion of a separate intercept for each participant. </w:t>
      </w:r>
    </w:p>
    <w:p w:rsidR="0000273D" w:rsidRDefault="004448C8" w:rsidP="004D1F89">
      <w:r w:rsidRPr="0000273D">
        <w:t xml:space="preserve">This modeling approach ensured </w:t>
      </w:r>
      <w:r w:rsidR="004C4750" w:rsidRPr="0000273D">
        <w:t xml:space="preserve">that </w:t>
      </w:r>
      <w:r w:rsidRPr="0000273D">
        <w:t xml:space="preserve">model savings estimates would not be skewed by unusually high-usage or low-usage participants. </w:t>
      </w:r>
      <w:r w:rsidR="0000273D">
        <w:t xml:space="preserve">The measure-level analysis used the same analysis samples and a similar model specification to </w:t>
      </w:r>
      <w:r w:rsidR="006D1551">
        <w:t xml:space="preserve">that used for </w:t>
      </w:r>
      <w:r w:rsidR="0000273D">
        <w:t xml:space="preserve">whole-house billing analysis, </w:t>
      </w:r>
      <w:r w:rsidR="006D1551">
        <w:t xml:space="preserve">while adding </w:t>
      </w:r>
      <w:r w:rsidR="0000273D">
        <w:t>measure-specific indicators as parameters</w:t>
      </w:r>
      <w:r w:rsidR="007851DE">
        <w:t xml:space="preserve"> (</w:t>
      </w:r>
      <w:r w:rsidR="0000273D">
        <w:t>interacting with POST, AVGHDD, and AVGCDD variables</w:t>
      </w:r>
      <w:r w:rsidR="007851DE">
        <w:t>)</w:t>
      </w:r>
      <w:r w:rsidR="0000273D">
        <w:t>. Due to the model</w:t>
      </w:r>
      <w:r w:rsidR="007851DE">
        <w:t>’s</w:t>
      </w:r>
      <w:r w:rsidR="0000273D">
        <w:t xml:space="preserve"> complexity and the extent of parameters used, the following tables present </w:t>
      </w:r>
      <w:r w:rsidR="00523B88">
        <w:t>key parameter estimates that represent total energy savings for measure</w:t>
      </w:r>
      <w:r w:rsidR="006D1551">
        <w:t>s</w:t>
      </w:r>
      <w:r w:rsidR="00523B88">
        <w:t xml:space="preserve">. </w:t>
      </w:r>
    </w:p>
    <w:p w:rsidR="00523B88" w:rsidRPr="0016076C" w:rsidRDefault="00523B88" w:rsidP="00523B88">
      <w:pPr>
        <w:pStyle w:val="Caption"/>
        <w:spacing w:after="0"/>
        <w:rPr>
          <w:szCs w:val="22"/>
        </w:rPr>
      </w:pPr>
      <w:r w:rsidRPr="0016076C">
        <w:rPr>
          <w:szCs w:val="22"/>
        </w:rPr>
        <w:t xml:space="preserve">Table </w:t>
      </w:r>
      <w:r w:rsidR="005C2163" w:rsidRPr="0016076C">
        <w:rPr>
          <w:szCs w:val="22"/>
        </w:rPr>
        <w:fldChar w:fldCharType="begin"/>
      </w:r>
      <w:r w:rsidRPr="0016076C">
        <w:rPr>
          <w:szCs w:val="22"/>
        </w:rPr>
        <w:instrText xml:space="preserve"> SEQ Table \* ARABIC </w:instrText>
      </w:r>
      <w:r w:rsidR="005C2163" w:rsidRPr="0016076C">
        <w:rPr>
          <w:szCs w:val="22"/>
        </w:rPr>
        <w:fldChar w:fldCharType="separate"/>
      </w:r>
      <w:r w:rsidR="00CD20CF">
        <w:rPr>
          <w:noProof/>
          <w:szCs w:val="22"/>
        </w:rPr>
        <w:t>80</w:t>
      </w:r>
      <w:r w:rsidR="005C2163" w:rsidRPr="0016076C">
        <w:rPr>
          <w:szCs w:val="22"/>
        </w:rPr>
        <w:fldChar w:fldCharType="end"/>
      </w:r>
      <w:r w:rsidRPr="0016076C">
        <w:rPr>
          <w:szCs w:val="22"/>
        </w:rPr>
        <w:t>. HES</w:t>
      </w:r>
      <w:r>
        <w:rPr>
          <w:szCs w:val="22"/>
        </w:rPr>
        <w:t xml:space="preserve"> Electric</w:t>
      </w:r>
      <w:r w:rsidRPr="0016076C">
        <w:rPr>
          <w:szCs w:val="22"/>
        </w:rPr>
        <w:t xml:space="preserve"> Compl</w:t>
      </w:r>
      <w:r>
        <w:rPr>
          <w:szCs w:val="22"/>
        </w:rPr>
        <w:t>ex Measures Model Specification</w:t>
      </w:r>
    </w:p>
    <w:tbl>
      <w:tblPr>
        <w:tblW w:w="500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038"/>
        <w:gridCol w:w="2381"/>
        <w:gridCol w:w="1821"/>
        <w:gridCol w:w="1256"/>
        <w:gridCol w:w="1080"/>
      </w:tblGrid>
      <w:tr w:rsidR="00523B88" w:rsidRPr="0016076C" w:rsidTr="00523B88">
        <w:trPr>
          <w:jc w:val="center"/>
        </w:trPr>
        <w:tc>
          <w:tcPr>
            <w:tcW w:w="0" w:type="auto"/>
            <w:shd w:val="clear" w:color="000000" w:fill="005DAA"/>
            <w:noWrap/>
            <w:vAlign w:val="center"/>
            <w:hideMark/>
          </w:tcPr>
          <w:p w:rsidR="00523B88" w:rsidRPr="0016076C" w:rsidRDefault="00523B88" w:rsidP="00216CA2">
            <w:pPr>
              <w:keepNext/>
              <w:keepLines/>
              <w:spacing w:after="0"/>
              <w:jc w:val="center"/>
              <w:rPr>
                <w:rFonts w:ascii="Calibri" w:eastAsia="Times New Roman" w:hAnsi="Calibri" w:cs="Times New Roman"/>
                <w:b/>
                <w:bCs/>
                <w:color w:val="FFFFFF"/>
              </w:rPr>
            </w:pPr>
            <w:r w:rsidRPr="0016076C">
              <w:rPr>
                <w:rFonts w:ascii="Calibri" w:eastAsia="Times New Roman" w:hAnsi="Calibri" w:cs="Times New Roman"/>
                <w:b/>
                <w:bCs/>
                <w:color w:val="FFFFFF"/>
              </w:rPr>
              <w:t>Variable</w:t>
            </w:r>
          </w:p>
        </w:tc>
        <w:tc>
          <w:tcPr>
            <w:tcW w:w="0" w:type="auto"/>
            <w:shd w:val="clear" w:color="000000" w:fill="005DAA"/>
            <w:noWrap/>
            <w:vAlign w:val="center"/>
            <w:hideMark/>
          </w:tcPr>
          <w:p w:rsidR="00523B88" w:rsidRPr="0016076C" w:rsidRDefault="00523B88" w:rsidP="00216CA2">
            <w:pPr>
              <w:keepNext/>
              <w:keepLines/>
              <w:spacing w:after="0"/>
              <w:jc w:val="center"/>
              <w:rPr>
                <w:rFonts w:ascii="Calibri" w:eastAsia="Times New Roman" w:hAnsi="Calibri" w:cs="Times New Roman"/>
                <w:b/>
                <w:bCs/>
                <w:color w:val="FFFFFF"/>
              </w:rPr>
            </w:pPr>
            <w:r w:rsidRPr="0016076C">
              <w:rPr>
                <w:rFonts w:ascii="Calibri" w:eastAsia="Times New Roman" w:hAnsi="Calibri" w:cs="Times New Roman"/>
                <w:b/>
                <w:bCs/>
                <w:color w:val="FFFFFF"/>
              </w:rPr>
              <w:t>Parameter Estimate</w:t>
            </w:r>
          </w:p>
        </w:tc>
        <w:tc>
          <w:tcPr>
            <w:tcW w:w="0" w:type="auto"/>
            <w:shd w:val="clear" w:color="000000" w:fill="005DAA"/>
            <w:noWrap/>
            <w:vAlign w:val="center"/>
            <w:hideMark/>
          </w:tcPr>
          <w:p w:rsidR="00523B88" w:rsidRPr="0016076C" w:rsidRDefault="00523B88" w:rsidP="00216CA2">
            <w:pPr>
              <w:keepNext/>
              <w:keepLines/>
              <w:spacing w:after="0"/>
              <w:jc w:val="center"/>
              <w:rPr>
                <w:rFonts w:ascii="Calibri" w:eastAsia="Times New Roman" w:hAnsi="Calibri" w:cs="Times New Roman"/>
                <w:b/>
                <w:bCs/>
                <w:color w:val="FFFFFF"/>
              </w:rPr>
            </w:pPr>
            <w:r w:rsidRPr="0016076C">
              <w:rPr>
                <w:rFonts w:ascii="Calibri" w:eastAsia="Times New Roman" w:hAnsi="Calibri" w:cs="Times New Roman"/>
                <w:b/>
                <w:bCs/>
                <w:color w:val="FFFFFF"/>
              </w:rPr>
              <w:t>Standard Error</w:t>
            </w:r>
          </w:p>
        </w:tc>
        <w:tc>
          <w:tcPr>
            <w:tcW w:w="0" w:type="auto"/>
            <w:shd w:val="clear" w:color="000000" w:fill="005DAA"/>
            <w:noWrap/>
            <w:vAlign w:val="center"/>
            <w:hideMark/>
          </w:tcPr>
          <w:p w:rsidR="00523B88" w:rsidRPr="0016076C" w:rsidRDefault="00523B88" w:rsidP="00216CA2">
            <w:pPr>
              <w:keepNext/>
              <w:keepLines/>
              <w:spacing w:after="0"/>
              <w:jc w:val="center"/>
              <w:rPr>
                <w:rFonts w:ascii="Calibri" w:eastAsia="Times New Roman" w:hAnsi="Calibri" w:cs="Times New Roman"/>
                <w:b/>
                <w:bCs/>
                <w:color w:val="FFFFFF"/>
              </w:rPr>
            </w:pPr>
            <w:r w:rsidRPr="0016076C">
              <w:rPr>
                <w:rFonts w:ascii="Calibri" w:eastAsia="Times New Roman" w:hAnsi="Calibri" w:cs="Times New Roman"/>
                <w:b/>
                <w:bCs/>
                <w:color w:val="FFFFFF"/>
              </w:rPr>
              <w:t>t-statistic</w:t>
            </w:r>
          </w:p>
        </w:tc>
        <w:tc>
          <w:tcPr>
            <w:tcW w:w="0" w:type="auto"/>
            <w:shd w:val="clear" w:color="000000" w:fill="005DAA"/>
            <w:noWrap/>
            <w:vAlign w:val="center"/>
            <w:hideMark/>
          </w:tcPr>
          <w:p w:rsidR="00523B88" w:rsidRPr="0016076C" w:rsidRDefault="00523B88" w:rsidP="00216CA2">
            <w:pPr>
              <w:keepNext/>
              <w:keepLines/>
              <w:spacing w:after="0"/>
              <w:jc w:val="center"/>
              <w:rPr>
                <w:rFonts w:ascii="Calibri" w:eastAsia="Times New Roman" w:hAnsi="Calibri" w:cs="Times New Roman"/>
                <w:b/>
                <w:bCs/>
                <w:color w:val="FFFFFF"/>
              </w:rPr>
            </w:pPr>
            <w:r w:rsidRPr="0016076C">
              <w:rPr>
                <w:rFonts w:ascii="Calibri" w:eastAsia="Times New Roman" w:hAnsi="Calibri" w:cs="Times New Roman"/>
                <w:b/>
                <w:bCs/>
                <w:color w:val="FFFFFF"/>
              </w:rPr>
              <w:t>p-Value</w:t>
            </w:r>
          </w:p>
        </w:tc>
      </w:tr>
      <w:tr w:rsidR="00523B88" w:rsidRPr="0016076C" w:rsidTr="00523B88">
        <w:trPr>
          <w:jc w:val="center"/>
        </w:trPr>
        <w:tc>
          <w:tcPr>
            <w:tcW w:w="0" w:type="auto"/>
            <w:shd w:val="clear" w:color="auto" w:fill="auto"/>
            <w:noWrap/>
            <w:vAlign w:val="center"/>
            <w:hideMark/>
          </w:tcPr>
          <w:p w:rsidR="00523B88" w:rsidRPr="004D1F89" w:rsidRDefault="00523B88" w:rsidP="00216CA2">
            <w:pPr>
              <w:keepNext/>
              <w:keepLines/>
              <w:spacing w:after="0"/>
              <w:rPr>
                <w:rFonts w:eastAsia="Times New Roman" w:cs="Times New Roman"/>
                <w:color w:val="000000"/>
                <w:sz w:val="20"/>
                <w:szCs w:val="20"/>
              </w:rPr>
            </w:pPr>
            <w:r w:rsidRPr="004D1F89">
              <w:rPr>
                <w:rFonts w:eastAsia="Times New Roman" w:cs="Times New Roman"/>
                <w:color w:val="000000"/>
                <w:sz w:val="20"/>
                <w:szCs w:val="20"/>
              </w:rPr>
              <w:t>Air Sealing</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-271.88</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33.83</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-8.04</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0.0000</w:t>
            </w:r>
          </w:p>
        </w:tc>
      </w:tr>
      <w:tr w:rsidR="00523B88" w:rsidRPr="0016076C" w:rsidTr="00523B88">
        <w:trPr>
          <w:jc w:val="center"/>
        </w:trPr>
        <w:tc>
          <w:tcPr>
            <w:tcW w:w="0" w:type="auto"/>
            <w:shd w:val="clear" w:color="auto" w:fill="auto"/>
            <w:noWrap/>
            <w:vAlign w:val="center"/>
            <w:hideMark/>
          </w:tcPr>
          <w:p w:rsidR="00523B88" w:rsidRPr="004D1F89" w:rsidRDefault="00523B88" w:rsidP="00216CA2">
            <w:pPr>
              <w:keepNext/>
              <w:keepLines/>
              <w:spacing w:after="0"/>
              <w:rPr>
                <w:rFonts w:eastAsia="Times New Roman" w:cs="Times New Roman"/>
                <w:color w:val="000000"/>
                <w:sz w:val="20"/>
                <w:szCs w:val="20"/>
              </w:rPr>
            </w:pPr>
            <w:r w:rsidRPr="004D1F89">
              <w:rPr>
                <w:rFonts w:eastAsia="Times New Roman" w:cs="Times New Roman"/>
                <w:color w:val="000000"/>
                <w:sz w:val="20"/>
                <w:szCs w:val="20"/>
              </w:rPr>
              <w:t>Lighting</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-780.93</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26.78</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-29.16</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0.0000</w:t>
            </w:r>
          </w:p>
        </w:tc>
      </w:tr>
      <w:tr w:rsidR="00523B88" w:rsidRPr="0016076C" w:rsidTr="00523B88">
        <w:trPr>
          <w:jc w:val="center"/>
        </w:trPr>
        <w:tc>
          <w:tcPr>
            <w:tcW w:w="0" w:type="auto"/>
            <w:shd w:val="clear" w:color="auto" w:fill="auto"/>
            <w:noWrap/>
            <w:vAlign w:val="center"/>
            <w:hideMark/>
          </w:tcPr>
          <w:p w:rsidR="00523B88" w:rsidRPr="004D1F89" w:rsidRDefault="00523B88" w:rsidP="00216CA2">
            <w:pPr>
              <w:keepNext/>
              <w:keepLines/>
              <w:spacing w:after="0"/>
              <w:rPr>
                <w:rFonts w:eastAsia="Times New Roman" w:cs="Times New Roman"/>
                <w:color w:val="000000"/>
                <w:sz w:val="20"/>
                <w:szCs w:val="20"/>
              </w:rPr>
            </w:pPr>
            <w:r w:rsidRPr="004D1F89">
              <w:rPr>
                <w:rFonts w:eastAsia="Times New Roman" w:cs="Times New Roman"/>
                <w:color w:val="000000"/>
                <w:sz w:val="20"/>
                <w:szCs w:val="20"/>
              </w:rPr>
              <w:t>Dehumidifier</w:t>
            </w:r>
            <w:r w:rsidR="002953AD">
              <w:rPr>
                <w:rFonts w:eastAsia="Times New Roman" w:cs="Times New Roman"/>
                <w:color w:val="000000"/>
                <w:sz w:val="20"/>
                <w:szCs w:val="20"/>
              </w:rPr>
              <w:t xml:space="preserve"> </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256.72</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172.46</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1.49</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0.1366</w:t>
            </w:r>
          </w:p>
        </w:tc>
      </w:tr>
      <w:tr w:rsidR="00523B88" w:rsidRPr="0016076C" w:rsidTr="00523B88">
        <w:trPr>
          <w:jc w:val="center"/>
        </w:trPr>
        <w:tc>
          <w:tcPr>
            <w:tcW w:w="0" w:type="auto"/>
            <w:shd w:val="clear" w:color="auto" w:fill="auto"/>
            <w:noWrap/>
            <w:vAlign w:val="center"/>
            <w:hideMark/>
          </w:tcPr>
          <w:p w:rsidR="00523B88" w:rsidRPr="004D1F89" w:rsidRDefault="00523B88" w:rsidP="00216CA2">
            <w:pPr>
              <w:keepNext/>
              <w:keepLines/>
              <w:spacing w:after="0"/>
              <w:rPr>
                <w:rFonts w:eastAsia="Times New Roman" w:cs="Times New Roman"/>
                <w:color w:val="000000"/>
                <w:sz w:val="20"/>
                <w:szCs w:val="20"/>
              </w:rPr>
            </w:pPr>
            <w:r w:rsidRPr="004D1F89">
              <w:rPr>
                <w:rFonts w:eastAsia="Times New Roman" w:cs="Times New Roman"/>
                <w:color w:val="000000"/>
                <w:sz w:val="20"/>
                <w:szCs w:val="20"/>
              </w:rPr>
              <w:t>Freezer</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-124.23</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736.21</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-0.17</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0.8660</w:t>
            </w:r>
          </w:p>
        </w:tc>
      </w:tr>
      <w:tr w:rsidR="00523B88" w:rsidRPr="0016076C" w:rsidTr="00523B88">
        <w:trPr>
          <w:jc w:val="center"/>
        </w:trPr>
        <w:tc>
          <w:tcPr>
            <w:tcW w:w="0" w:type="auto"/>
            <w:shd w:val="clear" w:color="auto" w:fill="auto"/>
            <w:noWrap/>
            <w:vAlign w:val="center"/>
            <w:hideMark/>
          </w:tcPr>
          <w:p w:rsidR="00523B88" w:rsidRPr="004D1F89" w:rsidRDefault="00523B88" w:rsidP="00216CA2">
            <w:pPr>
              <w:keepNext/>
              <w:keepLines/>
              <w:spacing w:after="0"/>
              <w:rPr>
                <w:rFonts w:eastAsia="Times New Roman" w:cs="Times New Roman"/>
                <w:color w:val="000000"/>
                <w:sz w:val="20"/>
                <w:szCs w:val="20"/>
              </w:rPr>
            </w:pPr>
            <w:r w:rsidRPr="004D1F89">
              <w:rPr>
                <w:rFonts w:eastAsia="Times New Roman" w:cs="Times New Roman"/>
                <w:color w:val="000000"/>
                <w:sz w:val="20"/>
                <w:szCs w:val="20"/>
              </w:rPr>
              <w:t>Refrigerator</w:t>
            </w:r>
            <w:r w:rsidR="002953AD">
              <w:rPr>
                <w:rFonts w:eastAsia="Times New Roman" w:cs="Times New Roman"/>
                <w:color w:val="000000"/>
                <w:sz w:val="20"/>
                <w:szCs w:val="20"/>
              </w:rPr>
              <w:t xml:space="preserve"> </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-323.81</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130.35</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-2.48</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0.0130</w:t>
            </w:r>
          </w:p>
        </w:tc>
      </w:tr>
      <w:tr w:rsidR="00523B88" w:rsidRPr="0016076C" w:rsidTr="00523B88">
        <w:trPr>
          <w:jc w:val="center"/>
        </w:trPr>
        <w:tc>
          <w:tcPr>
            <w:tcW w:w="0" w:type="auto"/>
            <w:shd w:val="clear" w:color="auto" w:fill="auto"/>
            <w:noWrap/>
            <w:vAlign w:val="center"/>
            <w:hideMark/>
          </w:tcPr>
          <w:p w:rsidR="00523B88" w:rsidRPr="004D1F89" w:rsidRDefault="00523B88" w:rsidP="00216CA2">
            <w:pPr>
              <w:keepNext/>
              <w:keepLines/>
              <w:spacing w:after="0"/>
              <w:rPr>
                <w:rFonts w:eastAsia="Times New Roman" w:cs="Times New Roman"/>
                <w:color w:val="000000"/>
                <w:sz w:val="20"/>
                <w:szCs w:val="20"/>
              </w:rPr>
            </w:pPr>
            <w:r w:rsidRPr="004D1F89">
              <w:rPr>
                <w:rFonts w:eastAsia="Times New Roman" w:cs="Times New Roman"/>
                <w:color w:val="000000"/>
                <w:sz w:val="20"/>
                <w:szCs w:val="20"/>
              </w:rPr>
              <w:t>Central A</w:t>
            </w:r>
            <w:r w:rsidR="007851DE">
              <w:rPr>
                <w:rFonts w:eastAsia="Times New Roman" w:cs="Times New Roman"/>
                <w:color w:val="000000"/>
                <w:sz w:val="20"/>
                <w:szCs w:val="20"/>
              </w:rPr>
              <w:t>ir Conditioner</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-142.95</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123.29</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-1.16</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0.2463</w:t>
            </w:r>
          </w:p>
        </w:tc>
      </w:tr>
      <w:tr w:rsidR="00523B88" w:rsidRPr="0016076C" w:rsidTr="00523B88">
        <w:trPr>
          <w:jc w:val="center"/>
        </w:trPr>
        <w:tc>
          <w:tcPr>
            <w:tcW w:w="0" w:type="auto"/>
            <w:shd w:val="clear" w:color="auto" w:fill="auto"/>
            <w:noWrap/>
            <w:vAlign w:val="center"/>
            <w:hideMark/>
          </w:tcPr>
          <w:p w:rsidR="00523B88" w:rsidRPr="004D1F89" w:rsidRDefault="00523B88" w:rsidP="00216CA2">
            <w:pPr>
              <w:keepNext/>
              <w:keepLines/>
              <w:spacing w:after="0"/>
              <w:rPr>
                <w:rFonts w:eastAsia="Times New Roman" w:cs="Times New Roman"/>
                <w:color w:val="000000"/>
                <w:sz w:val="20"/>
                <w:szCs w:val="20"/>
              </w:rPr>
            </w:pPr>
            <w:r w:rsidRPr="004D1F89">
              <w:rPr>
                <w:rFonts w:eastAsia="Times New Roman" w:cs="Times New Roman"/>
                <w:color w:val="000000"/>
                <w:sz w:val="20"/>
                <w:szCs w:val="20"/>
              </w:rPr>
              <w:t>Duct Sealing</w:t>
            </w:r>
            <w:r w:rsidR="002953AD">
              <w:rPr>
                <w:rFonts w:eastAsia="Times New Roman" w:cs="Times New Roman"/>
                <w:color w:val="000000"/>
                <w:sz w:val="20"/>
                <w:szCs w:val="20"/>
              </w:rPr>
              <w:t xml:space="preserve"> </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-131.04</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45.14</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-2.90</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0.0037</w:t>
            </w:r>
          </w:p>
        </w:tc>
      </w:tr>
      <w:tr w:rsidR="00523B88" w:rsidRPr="0016076C" w:rsidTr="00523B88">
        <w:trPr>
          <w:jc w:val="center"/>
        </w:trPr>
        <w:tc>
          <w:tcPr>
            <w:tcW w:w="0" w:type="auto"/>
            <w:shd w:val="clear" w:color="auto" w:fill="auto"/>
            <w:noWrap/>
            <w:vAlign w:val="center"/>
            <w:hideMark/>
          </w:tcPr>
          <w:p w:rsidR="00523B88" w:rsidRPr="004D1F89" w:rsidRDefault="00523B88" w:rsidP="00216CA2">
            <w:pPr>
              <w:keepNext/>
              <w:keepLines/>
              <w:spacing w:after="0"/>
              <w:rPr>
                <w:rFonts w:eastAsia="Times New Roman" w:cs="Times New Roman"/>
                <w:color w:val="000000"/>
                <w:sz w:val="20"/>
                <w:szCs w:val="20"/>
              </w:rPr>
            </w:pPr>
            <w:r w:rsidRPr="004D1F89">
              <w:rPr>
                <w:rFonts w:eastAsia="Times New Roman" w:cs="Times New Roman"/>
                <w:color w:val="000000"/>
                <w:sz w:val="20"/>
                <w:szCs w:val="20"/>
              </w:rPr>
              <w:t>Pipe Insulation</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-271.58</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77.81</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-3.49</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0.0005</w:t>
            </w:r>
          </w:p>
        </w:tc>
      </w:tr>
      <w:tr w:rsidR="00523B88" w:rsidRPr="0016076C" w:rsidTr="00523B88">
        <w:trPr>
          <w:jc w:val="center"/>
        </w:trPr>
        <w:tc>
          <w:tcPr>
            <w:tcW w:w="0" w:type="auto"/>
            <w:shd w:val="clear" w:color="auto" w:fill="auto"/>
            <w:noWrap/>
            <w:vAlign w:val="center"/>
            <w:hideMark/>
          </w:tcPr>
          <w:p w:rsidR="00523B88" w:rsidRPr="004D1F89" w:rsidRDefault="00523B88" w:rsidP="00216CA2">
            <w:pPr>
              <w:keepNext/>
              <w:keepLines/>
              <w:spacing w:after="0"/>
              <w:rPr>
                <w:rFonts w:eastAsia="Times New Roman" w:cs="Times New Roman"/>
                <w:color w:val="000000"/>
                <w:sz w:val="20"/>
                <w:szCs w:val="20"/>
              </w:rPr>
            </w:pPr>
            <w:r w:rsidRPr="004D1F89">
              <w:rPr>
                <w:rFonts w:eastAsia="Times New Roman" w:cs="Times New Roman"/>
                <w:color w:val="000000"/>
                <w:sz w:val="20"/>
                <w:szCs w:val="20"/>
              </w:rPr>
              <w:t>Clothes Washer</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-361.38</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249.59</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-1.45</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0.1477</w:t>
            </w:r>
          </w:p>
        </w:tc>
      </w:tr>
      <w:tr w:rsidR="00523B88" w:rsidRPr="0016076C" w:rsidTr="00523B88">
        <w:trPr>
          <w:jc w:val="center"/>
        </w:trPr>
        <w:tc>
          <w:tcPr>
            <w:tcW w:w="0" w:type="auto"/>
            <w:shd w:val="clear" w:color="auto" w:fill="auto"/>
            <w:noWrap/>
            <w:vAlign w:val="center"/>
            <w:hideMark/>
          </w:tcPr>
          <w:p w:rsidR="00523B88" w:rsidRPr="004D1F89" w:rsidRDefault="00523B88" w:rsidP="00216CA2">
            <w:pPr>
              <w:keepNext/>
              <w:keepLines/>
              <w:spacing w:after="0"/>
              <w:rPr>
                <w:rFonts w:eastAsia="Times New Roman" w:cs="Times New Roman"/>
                <w:color w:val="000000"/>
                <w:sz w:val="20"/>
                <w:szCs w:val="20"/>
              </w:rPr>
            </w:pPr>
            <w:r w:rsidRPr="004D1F89">
              <w:rPr>
                <w:rFonts w:eastAsia="Times New Roman" w:cs="Times New Roman"/>
                <w:color w:val="000000"/>
                <w:sz w:val="20"/>
                <w:szCs w:val="20"/>
              </w:rPr>
              <w:t>Insulation Other</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-626.65</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137.28</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-4.56</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0.0000</w:t>
            </w:r>
          </w:p>
        </w:tc>
      </w:tr>
      <w:tr w:rsidR="00523B88" w:rsidRPr="0016076C" w:rsidTr="00523B88">
        <w:trPr>
          <w:jc w:val="center"/>
        </w:trPr>
        <w:tc>
          <w:tcPr>
            <w:tcW w:w="0" w:type="auto"/>
            <w:shd w:val="clear" w:color="auto" w:fill="auto"/>
            <w:noWrap/>
            <w:vAlign w:val="center"/>
            <w:hideMark/>
          </w:tcPr>
          <w:p w:rsidR="00523B88" w:rsidRPr="004D1F89" w:rsidRDefault="00523B88" w:rsidP="00216CA2">
            <w:pPr>
              <w:keepNext/>
              <w:keepLines/>
              <w:spacing w:after="0"/>
              <w:rPr>
                <w:rFonts w:eastAsia="Times New Roman" w:cs="Times New Roman"/>
                <w:color w:val="000000"/>
                <w:sz w:val="20"/>
                <w:szCs w:val="20"/>
              </w:rPr>
            </w:pPr>
            <w:r w:rsidRPr="004D1F89">
              <w:rPr>
                <w:rFonts w:eastAsia="Times New Roman" w:cs="Times New Roman"/>
                <w:color w:val="000000"/>
                <w:sz w:val="20"/>
                <w:szCs w:val="20"/>
              </w:rPr>
              <w:t>Heat Pump Water Heater</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-318.82</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313.23</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-1.02</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0.3088</w:t>
            </w:r>
          </w:p>
        </w:tc>
      </w:tr>
      <w:tr w:rsidR="00523B88" w:rsidRPr="0016076C" w:rsidTr="00523B88">
        <w:trPr>
          <w:jc w:val="center"/>
        </w:trPr>
        <w:tc>
          <w:tcPr>
            <w:tcW w:w="0" w:type="auto"/>
            <w:shd w:val="clear" w:color="auto" w:fill="auto"/>
            <w:noWrap/>
            <w:vAlign w:val="center"/>
            <w:hideMark/>
          </w:tcPr>
          <w:p w:rsidR="00523B88" w:rsidRPr="004D1F89" w:rsidRDefault="00523B88" w:rsidP="00216CA2">
            <w:pPr>
              <w:keepNext/>
              <w:keepLines/>
              <w:spacing w:after="0"/>
              <w:rPr>
                <w:rFonts w:eastAsia="Times New Roman" w:cs="Times New Roman"/>
                <w:color w:val="000000"/>
                <w:sz w:val="20"/>
                <w:szCs w:val="20"/>
              </w:rPr>
            </w:pPr>
            <w:r w:rsidRPr="004D1F89">
              <w:rPr>
                <w:rFonts w:eastAsia="Times New Roman" w:cs="Times New Roman"/>
                <w:color w:val="000000"/>
                <w:sz w:val="20"/>
                <w:szCs w:val="20"/>
              </w:rPr>
              <w:t>Windows</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-422.61</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490.15</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-0.86</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0.3886</w:t>
            </w:r>
          </w:p>
        </w:tc>
      </w:tr>
      <w:tr w:rsidR="00523B88" w:rsidRPr="0016076C" w:rsidTr="00523B88">
        <w:trPr>
          <w:jc w:val="center"/>
        </w:trPr>
        <w:tc>
          <w:tcPr>
            <w:tcW w:w="0" w:type="auto"/>
            <w:shd w:val="clear" w:color="auto" w:fill="auto"/>
            <w:noWrap/>
            <w:vAlign w:val="center"/>
            <w:hideMark/>
          </w:tcPr>
          <w:p w:rsidR="00523B88" w:rsidRPr="004D1F89" w:rsidRDefault="00523B88" w:rsidP="00216CA2">
            <w:pPr>
              <w:keepNext/>
              <w:keepLines/>
              <w:spacing w:after="0"/>
              <w:rPr>
                <w:rFonts w:eastAsia="Times New Roman" w:cs="Times New Roman"/>
                <w:color w:val="000000"/>
                <w:sz w:val="20"/>
                <w:szCs w:val="20"/>
              </w:rPr>
            </w:pPr>
            <w:r w:rsidRPr="004D1F89">
              <w:rPr>
                <w:rFonts w:eastAsia="Times New Roman" w:cs="Times New Roman"/>
                <w:color w:val="000000"/>
                <w:sz w:val="20"/>
                <w:szCs w:val="20"/>
              </w:rPr>
              <w:t>Heating System Replacement</w:t>
            </w:r>
            <w:r w:rsidR="002953AD">
              <w:rPr>
                <w:rFonts w:eastAsia="Times New Roman" w:cs="Times New Roman"/>
                <w:color w:val="000000"/>
                <w:sz w:val="20"/>
                <w:szCs w:val="20"/>
              </w:rPr>
              <w:t xml:space="preserve"> </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-276.70</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331.75</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-0.83</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0.4043</w:t>
            </w:r>
          </w:p>
        </w:tc>
      </w:tr>
      <w:tr w:rsidR="00523B88" w:rsidRPr="0016076C" w:rsidTr="00523B88">
        <w:trPr>
          <w:jc w:val="center"/>
        </w:trPr>
        <w:tc>
          <w:tcPr>
            <w:tcW w:w="0" w:type="auto"/>
            <w:shd w:val="clear" w:color="auto" w:fill="auto"/>
            <w:noWrap/>
            <w:vAlign w:val="center"/>
            <w:hideMark/>
          </w:tcPr>
          <w:p w:rsidR="00523B88" w:rsidRPr="004D1F89" w:rsidRDefault="00523B88" w:rsidP="00216CA2">
            <w:pPr>
              <w:keepNext/>
              <w:keepLines/>
              <w:spacing w:after="0"/>
              <w:rPr>
                <w:rFonts w:eastAsia="Times New Roman" w:cs="Times New Roman"/>
                <w:color w:val="000000"/>
                <w:sz w:val="20"/>
                <w:szCs w:val="20"/>
              </w:rPr>
            </w:pPr>
            <w:r w:rsidRPr="004D1F89">
              <w:rPr>
                <w:rFonts w:eastAsia="Times New Roman" w:cs="Times New Roman"/>
                <w:color w:val="000000"/>
                <w:sz w:val="20"/>
                <w:szCs w:val="20"/>
              </w:rPr>
              <w:t>Heat Pump</w:t>
            </w:r>
            <w:r w:rsidR="002953AD">
              <w:rPr>
                <w:rFonts w:eastAsia="Times New Roman" w:cs="Times New Roman"/>
                <w:color w:val="000000"/>
                <w:sz w:val="20"/>
                <w:szCs w:val="20"/>
              </w:rPr>
              <w:t xml:space="preserve"> </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-1778.58</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495.49</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-3.59</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0.0003</w:t>
            </w:r>
          </w:p>
        </w:tc>
      </w:tr>
      <w:tr w:rsidR="00523B88" w:rsidRPr="0016076C" w:rsidTr="00523B88">
        <w:trPr>
          <w:jc w:val="center"/>
        </w:trPr>
        <w:tc>
          <w:tcPr>
            <w:tcW w:w="0" w:type="auto"/>
            <w:shd w:val="clear" w:color="auto" w:fill="auto"/>
            <w:noWrap/>
            <w:vAlign w:val="center"/>
            <w:hideMark/>
          </w:tcPr>
          <w:p w:rsidR="00523B88" w:rsidRPr="004D1F89" w:rsidRDefault="00523B88" w:rsidP="00216CA2">
            <w:pPr>
              <w:keepNext/>
              <w:keepLines/>
              <w:spacing w:after="0"/>
              <w:rPr>
                <w:rFonts w:eastAsia="Times New Roman" w:cs="Times New Roman"/>
                <w:color w:val="000000"/>
                <w:sz w:val="20"/>
                <w:szCs w:val="20"/>
              </w:rPr>
            </w:pPr>
            <w:r w:rsidRPr="004D1F89">
              <w:rPr>
                <w:rFonts w:eastAsia="Times New Roman" w:cs="Times New Roman"/>
                <w:color w:val="000000"/>
                <w:sz w:val="20"/>
                <w:szCs w:val="20"/>
              </w:rPr>
              <w:t xml:space="preserve">Ductless Heat Pump </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-1315.14</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281.67</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-4.67</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0.0000</w:t>
            </w:r>
          </w:p>
        </w:tc>
      </w:tr>
      <w:tr w:rsidR="00523B88" w:rsidRPr="0016076C" w:rsidTr="00523B88">
        <w:trPr>
          <w:jc w:val="center"/>
        </w:trPr>
        <w:tc>
          <w:tcPr>
            <w:tcW w:w="0" w:type="auto"/>
            <w:shd w:val="clear" w:color="auto" w:fill="auto"/>
            <w:noWrap/>
            <w:vAlign w:val="center"/>
            <w:hideMark/>
          </w:tcPr>
          <w:p w:rsidR="00523B88" w:rsidRPr="004D1F89" w:rsidRDefault="00523B88" w:rsidP="00216CA2">
            <w:pPr>
              <w:keepNext/>
              <w:keepLines/>
              <w:spacing w:after="0"/>
              <w:rPr>
                <w:rFonts w:eastAsia="Times New Roman" w:cs="Times New Roman"/>
                <w:color w:val="000000"/>
                <w:sz w:val="20"/>
                <w:szCs w:val="20"/>
              </w:rPr>
            </w:pPr>
            <w:r w:rsidRPr="004D1F89">
              <w:rPr>
                <w:rFonts w:eastAsia="Times New Roman" w:cs="Times New Roman"/>
                <w:color w:val="000000"/>
                <w:sz w:val="20"/>
                <w:szCs w:val="20"/>
              </w:rPr>
              <w:t>Geothermal Heat Pump</w:t>
            </w:r>
            <w:r w:rsidR="002953AD">
              <w:rPr>
                <w:rFonts w:eastAsia="Times New Roman" w:cs="Times New Roman"/>
                <w:color w:val="000000"/>
                <w:sz w:val="20"/>
                <w:szCs w:val="20"/>
              </w:rPr>
              <w:t xml:space="preserve"> </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-1404.01</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753.93</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-1.86</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0.0626</w:t>
            </w:r>
          </w:p>
        </w:tc>
      </w:tr>
      <w:tr w:rsidR="00523B88" w:rsidRPr="0016076C" w:rsidTr="00523B88">
        <w:trPr>
          <w:jc w:val="center"/>
        </w:trPr>
        <w:tc>
          <w:tcPr>
            <w:tcW w:w="0" w:type="auto"/>
            <w:shd w:val="clear" w:color="auto" w:fill="auto"/>
            <w:noWrap/>
            <w:vAlign w:val="center"/>
            <w:hideMark/>
          </w:tcPr>
          <w:p w:rsidR="00523B88" w:rsidRPr="004D1F89" w:rsidRDefault="00523B88" w:rsidP="00216CA2">
            <w:pPr>
              <w:keepNext/>
              <w:keepLines/>
              <w:spacing w:after="0"/>
              <w:rPr>
                <w:rFonts w:eastAsia="Times New Roman" w:cs="Times New Roman"/>
                <w:color w:val="000000"/>
                <w:sz w:val="20"/>
                <w:szCs w:val="20"/>
              </w:rPr>
            </w:pPr>
            <w:r w:rsidRPr="004D1F89">
              <w:rPr>
                <w:rFonts w:eastAsia="Times New Roman" w:cs="Times New Roman"/>
                <w:color w:val="000000"/>
                <w:sz w:val="20"/>
                <w:szCs w:val="20"/>
              </w:rPr>
              <w:t>Other</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-338.16</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393.35</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-0.86</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0.3900</w:t>
            </w:r>
          </w:p>
        </w:tc>
      </w:tr>
      <w:tr w:rsidR="00523B88" w:rsidRPr="0016076C" w:rsidTr="00523B88">
        <w:trPr>
          <w:jc w:val="center"/>
        </w:trPr>
        <w:tc>
          <w:tcPr>
            <w:tcW w:w="0" w:type="auto"/>
            <w:shd w:val="clear" w:color="auto" w:fill="auto"/>
            <w:noWrap/>
            <w:vAlign w:val="center"/>
            <w:hideMark/>
          </w:tcPr>
          <w:p w:rsidR="00523B88" w:rsidRPr="004D1F89" w:rsidRDefault="00523B88" w:rsidP="00216CA2">
            <w:pPr>
              <w:keepNext/>
              <w:keepLines/>
              <w:spacing w:after="0"/>
              <w:rPr>
                <w:rFonts w:eastAsia="Times New Roman" w:cs="Times New Roman"/>
                <w:color w:val="000000"/>
                <w:sz w:val="20"/>
                <w:szCs w:val="20"/>
              </w:rPr>
            </w:pPr>
            <w:r w:rsidRPr="004D1F89">
              <w:rPr>
                <w:rFonts w:eastAsia="Times New Roman" w:cs="Times New Roman"/>
                <w:color w:val="000000"/>
                <w:sz w:val="20"/>
                <w:szCs w:val="20"/>
              </w:rPr>
              <w:t>DHW Bundle</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-316.57</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60.47</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-5.23</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0.0000</w:t>
            </w:r>
          </w:p>
        </w:tc>
      </w:tr>
      <w:tr w:rsidR="00523B88" w:rsidRPr="0016076C" w:rsidTr="00523B88">
        <w:trPr>
          <w:jc w:val="center"/>
        </w:trPr>
        <w:tc>
          <w:tcPr>
            <w:tcW w:w="0" w:type="auto"/>
            <w:shd w:val="clear" w:color="auto" w:fill="auto"/>
            <w:noWrap/>
            <w:vAlign w:val="center"/>
            <w:hideMark/>
          </w:tcPr>
          <w:p w:rsidR="00523B88" w:rsidRPr="004D1F89" w:rsidRDefault="00523B88" w:rsidP="00216CA2">
            <w:pPr>
              <w:keepNext/>
              <w:keepLines/>
              <w:spacing w:after="0"/>
              <w:rPr>
                <w:rFonts w:eastAsia="Times New Roman" w:cs="Times New Roman"/>
                <w:color w:val="000000"/>
                <w:sz w:val="20"/>
                <w:szCs w:val="20"/>
              </w:rPr>
            </w:pPr>
            <w:r w:rsidRPr="004D1F89">
              <w:rPr>
                <w:rFonts w:eastAsia="Times New Roman" w:cs="Times New Roman"/>
                <w:color w:val="000000"/>
                <w:sz w:val="20"/>
                <w:szCs w:val="20"/>
              </w:rPr>
              <w:t>Attic Insulation</w:t>
            </w:r>
            <w:r w:rsidR="002953AD">
              <w:rPr>
                <w:rFonts w:eastAsia="Times New Roman" w:cs="Times New Roman"/>
                <w:color w:val="000000"/>
                <w:sz w:val="20"/>
                <w:szCs w:val="20"/>
              </w:rPr>
              <w:t xml:space="preserve"> </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-126.38</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517.34</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-0.24</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0.8070</w:t>
            </w:r>
          </w:p>
        </w:tc>
      </w:tr>
      <w:tr w:rsidR="00523B88" w:rsidRPr="0016076C" w:rsidTr="004D1F89">
        <w:trPr>
          <w:jc w:val="center"/>
        </w:trPr>
        <w:tc>
          <w:tcPr>
            <w:tcW w:w="0" w:type="auto"/>
            <w:shd w:val="clear" w:color="auto" w:fill="auto"/>
            <w:noWrap/>
            <w:vAlign w:val="center"/>
            <w:hideMark/>
          </w:tcPr>
          <w:p w:rsidR="00523B88" w:rsidRPr="004D1F89" w:rsidRDefault="00523B88" w:rsidP="00216CA2">
            <w:pPr>
              <w:keepNext/>
              <w:keepLines/>
              <w:spacing w:after="0"/>
              <w:rPr>
                <w:rFonts w:eastAsia="Times New Roman" w:cs="Times New Roman"/>
                <w:color w:val="000000"/>
                <w:sz w:val="20"/>
                <w:szCs w:val="20"/>
              </w:rPr>
            </w:pPr>
            <w:r w:rsidRPr="004D1F89">
              <w:rPr>
                <w:rFonts w:eastAsia="Times New Roman" w:cs="Times New Roman"/>
                <w:color w:val="000000"/>
                <w:sz w:val="20"/>
                <w:szCs w:val="20"/>
              </w:rPr>
              <w:t>Wall Insulation</w:t>
            </w:r>
            <w:r w:rsidR="002953AD">
              <w:rPr>
                <w:rFonts w:eastAsia="Times New Roman" w:cs="Times New Roman"/>
                <w:color w:val="000000"/>
                <w:sz w:val="20"/>
                <w:szCs w:val="20"/>
              </w:rPr>
              <w:t xml:space="preserve"> </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-3081.42</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3022.96</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-1.02</w:t>
            </w:r>
          </w:p>
        </w:tc>
        <w:tc>
          <w:tcPr>
            <w:tcW w:w="0" w:type="auto"/>
            <w:shd w:val="clear" w:color="auto" w:fill="auto"/>
            <w:noWrap/>
            <w:vAlign w:val="center"/>
            <w:hideMark/>
          </w:tcPr>
          <w:p w:rsidR="00523B88" w:rsidRPr="004D1F89" w:rsidRDefault="00523B88" w:rsidP="00216CA2">
            <w:pPr>
              <w:keepNext/>
              <w:keepLines/>
              <w:spacing w:after="0"/>
              <w:jc w:val="right"/>
              <w:rPr>
                <w:rFonts w:eastAsia="Times New Roman" w:cs="Times New Roman"/>
                <w:color w:val="000000"/>
                <w:sz w:val="20"/>
                <w:szCs w:val="20"/>
              </w:rPr>
            </w:pPr>
            <w:r w:rsidRPr="004D1F89">
              <w:rPr>
                <w:rFonts w:eastAsia="Times New Roman" w:cs="Times New Roman"/>
                <w:color w:val="000000"/>
                <w:sz w:val="20"/>
                <w:szCs w:val="20"/>
              </w:rPr>
              <w:t>0.3081</w:t>
            </w:r>
          </w:p>
        </w:tc>
      </w:tr>
    </w:tbl>
    <w:p w:rsidR="00523B88" w:rsidRDefault="00523B88" w:rsidP="004D1F89">
      <w:pPr>
        <w:pStyle w:val="NormalAfterTablesandFigures"/>
      </w:pPr>
    </w:p>
    <w:p w:rsidR="00523B88" w:rsidRPr="0016076C" w:rsidRDefault="00523B88" w:rsidP="00523B88">
      <w:pPr>
        <w:pStyle w:val="Caption"/>
        <w:spacing w:after="0"/>
        <w:rPr>
          <w:szCs w:val="22"/>
        </w:rPr>
      </w:pPr>
      <w:r w:rsidRPr="0016076C">
        <w:rPr>
          <w:szCs w:val="22"/>
        </w:rPr>
        <w:lastRenderedPageBreak/>
        <w:t xml:space="preserve">Table </w:t>
      </w:r>
      <w:r w:rsidR="005C2163" w:rsidRPr="0016076C">
        <w:rPr>
          <w:szCs w:val="22"/>
        </w:rPr>
        <w:fldChar w:fldCharType="begin"/>
      </w:r>
      <w:r w:rsidRPr="0016076C">
        <w:rPr>
          <w:szCs w:val="22"/>
        </w:rPr>
        <w:instrText xml:space="preserve"> SEQ Table \* ARABIC </w:instrText>
      </w:r>
      <w:r w:rsidR="005C2163" w:rsidRPr="0016076C">
        <w:rPr>
          <w:szCs w:val="22"/>
        </w:rPr>
        <w:fldChar w:fldCharType="separate"/>
      </w:r>
      <w:r w:rsidR="00CD20CF">
        <w:rPr>
          <w:noProof/>
          <w:szCs w:val="22"/>
        </w:rPr>
        <w:t>81</w:t>
      </w:r>
      <w:r w:rsidR="005C2163" w:rsidRPr="0016076C">
        <w:rPr>
          <w:szCs w:val="22"/>
        </w:rPr>
        <w:fldChar w:fldCharType="end"/>
      </w:r>
      <w:r w:rsidRPr="0016076C">
        <w:rPr>
          <w:szCs w:val="22"/>
        </w:rPr>
        <w:t>.</w:t>
      </w:r>
      <w:r>
        <w:rPr>
          <w:szCs w:val="22"/>
        </w:rPr>
        <w:t xml:space="preserve"> HESIE Electric Complex Measure Model Specification</w:t>
      </w:r>
    </w:p>
    <w:tbl>
      <w:tblPr>
        <w:tblW w:w="5000" w:type="pct"/>
        <w:jc w:val="center"/>
        <w:tblLook w:val="04A0" w:firstRow="1" w:lastRow="0" w:firstColumn="1" w:lastColumn="0" w:noHBand="0" w:noVBand="1"/>
      </w:tblPr>
      <w:tblGrid>
        <w:gridCol w:w="2515"/>
        <w:gridCol w:w="2588"/>
        <w:gridCol w:w="1971"/>
        <w:gridCol w:w="1348"/>
        <w:gridCol w:w="1154"/>
      </w:tblGrid>
      <w:tr w:rsidR="00523B88" w:rsidRPr="0016076C" w:rsidTr="00523B88">
        <w:trPr>
          <w:jc w:val="center"/>
        </w:trPr>
        <w:tc>
          <w:tcPr>
            <w:tcW w:w="1231" w:type="pct"/>
            <w:tcBorders>
              <w:top w:val="single" w:sz="4" w:space="0" w:color="BFBFBF"/>
              <w:left w:val="single" w:sz="4" w:space="0" w:color="BFBFBF"/>
              <w:bottom w:val="single" w:sz="4" w:space="0" w:color="BFBFBF"/>
              <w:right w:val="single" w:sz="4" w:space="0" w:color="BFBFBF"/>
            </w:tcBorders>
            <w:shd w:val="clear" w:color="000000" w:fill="005DAA"/>
            <w:noWrap/>
            <w:vAlign w:val="center"/>
            <w:hideMark/>
          </w:tcPr>
          <w:p w:rsidR="00523B88" w:rsidRPr="0016076C" w:rsidRDefault="00523B88" w:rsidP="00523B88">
            <w:pPr>
              <w:keepNext/>
              <w:keepLines/>
              <w:spacing w:after="0"/>
              <w:jc w:val="center"/>
              <w:rPr>
                <w:rFonts w:ascii="Calibri" w:eastAsia="Times New Roman" w:hAnsi="Calibri" w:cs="Times New Roman"/>
                <w:b/>
                <w:bCs/>
                <w:color w:val="FFFFFF"/>
              </w:rPr>
            </w:pPr>
            <w:r w:rsidRPr="0016076C">
              <w:rPr>
                <w:rFonts w:ascii="Calibri" w:eastAsia="Times New Roman" w:hAnsi="Calibri" w:cs="Times New Roman"/>
                <w:b/>
                <w:bCs/>
                <w:color w:val="FFFFFF"/>
              </w:rPr>
              <w:t>Variable</w:t>
            </w:r>
          </w:p>
        </w:tc>
        <w:tc>
          <w:tcPr>
            <w:tcW w:w="1372" w:type="pct"/>
            <w:tcBorders>
              <w:top w:val="single" w:sz="4" w:space="0" w:color="BFBFBF"/>
              <w:left w:val="nil"/>
              <w:bottom w:val="single" w:sz="4" w:space="0" w:color="BFBFBF"/>
              <w:right w:val="single" w:sz="4" w:space="0" w:color="BFBFBF"/>
            </w:tcBorders>
            <w:shd w:val="clear" w:color="000000" w:fill="005DAA"/>
            <w:noWrap/>
            <w:vAlign w:val="center"/>
            <w:hideMark/>
          </w:tcPr>
          <w:p w:rsidR="00523B88" w:rsidRPr="0016076C" w:rsidRDefault="00523B88" w:rsidP="00523B88">
            <w:pPr>
              <w:keepNext/>
              <w:keepLines/>
              <w:spacing w:after="0"/>
              <w:jc w:val="center"/>
              <w:rPr>
                <w:rFonts w:ascii="Calibri" w:eastAsia="Times New Roman" w:hAnsi="Calibri" w:cs="Times New Roman"/>
                <w:b/>
                <w:bCs/>
                <w:color w:val="FFFFFF"/>
              </w:rPr>
            </w:pPr>
            <w:r w:rsidRPr="0016076C">
              <w:rPr>
                <w:rFonts w:ascii="Calibri" w:eastAsia="Times New Roman" w:hAnsi="Calibri" w:cs="Times New Roman"/>
                <w:b/>
                <w:bCs/>
                <w:color w:val="FFFFFF"/>
              </w:rPr>
              <w:t>Parameter Estimate</w:t>
            </w:r>
          </w:p>
        </w:tc>
        <w:tc>
          <w:tcPr>
            <w:tcW w:w="1050" w:type="pct"/>
            <w:tcBorders>
              <w:top w:val="single" w:sz="4" w:space="0" w:color="BFBFBF"/>
              <w:left w:val="nil"/>
              <w:bottom w:val="single" w:sz="4" w:space="0" w:color="BFBFBF"/>
              <w:right w:val="single" w:sz="4" w:space="0" w:color="BFBFBF"/>
            </w:tcBorders>
            <w:shd w:val="clear" w:color="000000" w:fill="005DAA"/>
            <w:noWrap/>
            <w:vAlign w:val="center"/>
            <w:hideMark/>
          </w:tcPr>
          <w:p w:rsidR="00523B88" w:rsidRPr="0016076C" w:rsidRDefault="00523B88" w:rsidP="00523B88">
            <w:pPr>
              <w:keepNext/>
              <w:keepLines/>
              <w:spacing w:after="0"/>
              <w:jc w:val="center"/>
              <w:rPr>
                <w:rFonts w:ascii="Calibri" w:eastAsia="Times New Roman" w:hAnsi="Calibri" w:cs="Times New Roman"/>
                <w:b/>
                <w:bCs/>
                <w:color w:val="FFFFFF"/>
              </w:rPr>
            </w:pPr>
            <w:r w:rsidRPr="0016076C">
              <w:rPr>
                <w:rFonts w:ascii="Calibri" w:eastAsia="Times New Roman" w:hAnsi="Calibri" w:cs="Times New Roman"/>
                <w:b/>
                <w:bCs/>
                <w:color w:val="FFFFFF"/>
              </w:rPr>
              <w:t>Standard Error</w:t>
            </w:r>
          </w:p>
        </w:tc>
        <w:tc>
          <w:tcPr>
            <w:tcW w:w="724" w:type="pct"/>
            <w:tcBorders>
              <w:top w:val="single" w:sz="4" w:space="0" w:color="BFBFBF"/>
              <w:left w:val="nil"/>
              <w:bottom w:val="single" w:sz="4" w:space="0" w:color="BFBFBF"/>
              <w:right w:val="single" w:sz="4" w:space="0" w:color="BFBFBF"/>
            </w:tcBorders>
            <w:shd w:val="clear" w:color="000000" w:fill="005DAA"/>
            <w:noWrap/>
            <w:vAlign w:val="center"/>
            <w:hideMark/>
          </w:tcPr>
          <w:p w:rsidR="00523B88" w:rsidRPr="0016076C" w:rsidRDefault="00523B88" w:rsidP="00523B88">
            <w:pPr>
              <w:keepNext/>
              <w:keepLines/>
              <w:spacing w:after="0"/>
              <w:jc w:val="center"/>
              <w:rPr>
                <w:rFonts w:ascii="Calibri" w:eastAsia="Times New Roman" w:hAnsi="Calibri" w:cs="Times New Roman"/>
                <w:b/>
                <w:bCs/>
                <w:color w:val="FFFFFF"/>
              </w:rPr>
            </w:pPr>
            <w:r w:rsidRPr="0016076C">
              <w:rPr>
                <w:rFonts w:ascii="Calibri" w:eastAsia="Times New Roman" w:hAnsi="Calibri" w:cs="Times New Roman"/>
                <w:b/>
                <w:bCs/>
                <w:color w:val="FFFFFF"/>
              </w:rPr>
              <w:t>t-statistic</w:t>
            </w:r>
          </w:p>
        </w:tc>
        <w:tc>
          <w:tcPr>
            <w:tcW w:w="623" w:type="pct"/>
            <w:tcBorders>
              <w:top w:val="single" w:sz="4" w:space="0" w:color="BFBFBF"/>
              <w:left w:val="nil"/>
              <w:bottom w:val="single" w:sz="4" w:space="0" w:color="BFBFBF"/>
              <w:right w:val="single" w:sz="4" w:space="0" w:color="BFBFBF"/>
            </w:tcBorders>
            <w:shd w:val="clear" w:color="000000" w:fill="005DAA"/>
            <w:noWrap/>
            <w:vAlign w:val="center"/>
            <w:hideMark/>
          </w:tcPr>
          <w:p w:rsidR="00523B88" w:rsidRPr="0016076C" w:rsidRDefault="00523B88" w:rsidP="00523B88">
            <w:pPr>
              <w:keepNext/>
              <w:keepLines/>
              <w:spacing w:after="0"/>
              <w:jc w:val="center"/>
              <w:rPr>
                <w:rFonts w:ascii="Calibri" w:eastAsia="Times New Roman" w:hAnsi="Calibri" w:cs="Times New Roman"/>
                <w:b/>
                <w:bCs/>
                <w:color w:val="FFFFFF"/>
              </w:rPr>
            </w:pPr>
            <w:r w:rsidRPr="0016076C">
              <w:rPr>
                <w:rFonts w:ascii="Calibri" w:eastAsia="Times New Roman" w:hAnsi="Calibri" w:cs="Times New Roman"/>
                <w:b/>
                <w:bCs/>
                <w:color w:val="FFFFFF"/>
              </w:rPr>
              <w:t>p-Value</w:t>
            </w:r>
          </w:p>
        </w:tc>
      </w:tr>
      <w:tr w:rsidR="00523B88" w:rsidRPr="0016076C" w:rsidTr="00523B88">
        <w:trPr>
          <w:jc w:val="center"/>
        </w:trPr>
        <w:tc>
          <w:tcPr>
            <w:tcW w:w="1231" w:type="pct"/>
            <w:tcBorders>
              <w:top w:val="nil"/>
              <w:left w:val="single" w:sz="4" w:space="0" w:color="BFBFBF"/>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 xml:space="preserve">Air </w:t>
            </w:r>
            <w:r>
              <w:rPr>
                <w:rFonts w:ascii="Calibri" w:eastAsia="Times New Roman" w:hAnsi="Calibri" w:cs="Times New Roman"/>
                <w:color w:val="000000"/>
                <w:sz w:val="20"/>
                <w:szCs w:val="20"/>
              </w:rPr>
              <w:t>S</w:t>
            </w:r>
            <w:r w:rsidRPr="0016076C">
              <w:rPr>
                <w:rFonts w:ascii="Calibri" w:eastAsia="Times New Roman" w:hAnsi="Calibri" w:cs="Times New Roman"/>
                <w:color w:val="000000"/>
                <w:sz w:val="20"/>
                <w:szCs w:val="20"/>
              </w:rPr>
              <w:t>ealing</w:t>
            </w:r>
          </w:p>
        </w:tc>
        <w:tc>
          <w:tcPr>
            <w:tcW w:w="1372"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-66.52</w:t>
            </w:r>
          </w:p>
        </w:tc>
        <w:tc>
          <w:tcPr>
            <w:tcW w:w="1050"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49.18</w:t>
            </w:r>
          </w:p>
        </w:tc>
        <w:tc>
          <w:tcPr>
            <w:tcW w:w="724"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-1.35</w:t>
            </w:r>
          </w:p>
        </w:tc>
        <w:tc>
          <w:tcPr>
            <w:tcW w:w="623"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0.1763</w:t>
            </w:r>
          </w:p>
        </w:tc>
      </w:tr>
      <w:tr w:rsidR="00523B88" w:rsidRPr="0016076C" w:rsidTr="00523B88">
        <w:trPr>
          <w:jc w:val="center"/>
        </w:trPr>
        <w:tc>
          <w:tcPr>
            <w:tcW w:w="1231" w:type="pct"/>
            <w:tcBorders>
              <w:top w:val="nil"/>
              <w:left w:val="single" w:sz="4" w:space="0" w:color="BFBFBF"/>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Lighting</w:t>
            </w:r>
          </w:p>
        </w:tc>
        <w:tc>
          <w:tcPr>
            <w:tcW w:w="1372"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-645.49</w:t>
            </w:r>
          </w:p>
        </w:tc>
        <w:tc>
          <w:tcPr>
            <w:tcW w:w="1050"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23.91</w:t>
            </w:r>
          </w:p>
        </w:tc>
        <w:tc>
          <w:tcPr>
            <w:tcW w:w="724"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-27.00</w:t>
            </w:r>
          </w:p>
        </w:tc>
        <w:tc>
          <w:tcPr>
            <w:tcW w:w="623"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0.0000</w:t>
            </w:r>
          </w:p>
        </w:tc>
      </w:tr>
      <w:tr w:rsidR="00523B88" w:rsidRPr="0016076C" w:rsidTr="00523B88">
        <w:trPr>
          <w:jc w:val="center"/>
        </w:trPr>
        <w:tc>
          <w:tcPr>
            <w:tcW w:w="1231" w:type="pct"/>
            <w:tcBorders>
              <w:top w:val="nil"/>
              <w:left w:val="single" w:sz="4" w:space="0" w:color="BFBFBF"/>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Freezer</w:t>
            </w:r>
          </w:p>
        </w:tc>
        <w:tc>
          <w:tcPr>
            <w:tcW w:w="1372"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-725.40</w:t>
            </w:r>
          </w:p>
        </w:tc>
        <w:tc>
          <w:tcPr>
            <w:tcW w:w="1050"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139.50</w:t>
            </w:r>
          </w:p>
        </w:tc>
        <w:tc>
          <w:tcPr>
            <w:tcW w:w="724"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-5.20</w:t>
            </w:r>
          </w:p>
        </w:tc>
        <w:tc>
          <w:tcPr>
            <w:tcW w:w="623"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0.0000</w:t>
            </w:r>
          </w:p>
        </w:tc>
      </w:tr>
      <w:tr w:rsidR="00523B88" w:rsidRPr="0016076C" w:rsidTr="00523B88">
        <w:trPr>
          <w:jc w:val="center"/>
        </w:trPr>
        <w:tc>
          <w:tcPr>
            <w:tcW w:w="1231" w:type="pct"/>
            <w:tcBorders>
              <w:top w:val="nil"/>
              <w:left w:val="single" w:sz="4" w:space="0" w:color="BFBFBF"/>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Refrigerator</w:t>
            </w:r>
          </w:p>
        </w:tc>
        <w:tc>
          <w:tcPr>
            <w:tcW w:w="1372"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-316.90</w:t>
            </w:r>
          </w:p>
        </w:tc>
        <w:tc>
          <w:tcPr>
            <w:tcW w:w="1050"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53.99</w:t>
            </w:r>
          </w:p>
        </w:tc>
        <w:tc>
          <w:tcPr>
            <w:tcW w:w="724"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-5.87</w:t>
            </w:r>
          </w:p>
        </w:tc>
        <w:tc>
          <w:tcPr>
            <w:tcW w:w="623"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0.0000</w:t>
            </w:r>
          </w:p>
        </w:tc>
      </w:tr>
      <w:tr w:rsidR="00523B88" w:rsidRPr="0016076C" w:rsidTr="00523B88">
        <w:trPr>
          <w:jc w:val="center"/>
        </w:trPr>
        <w:tc>
          <w:tcPr>
            <w:tcW w:w="1231" w:type="pct"/>
            <w:tcBorders>
              <w:top w:val="nil"/>
              <w:left w:val="single" w:sz="4" w:space="0" w:color="BFBFBF"/>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 xml:space="preserve">Central </w:t>
            </w:r>
            <w:r w:rsidR="007851DE" w:rsidRPr="004D1F89">
              <w:rPr>
                <w:rFonts w:eastAsia="Times New Roman" w:cs="Times New Roman"/>
                <w:color w:val="000000"/>
                <w:sz w:val="20"/>
                <w:szCs w:val="20"/>
              </w:rPr>
              <w:t>A</w:t>
            </w:r>
            <w:r w:rsidR="007851DE">
              <w:rPr>
                <w:rFonts w:eastAsia="Times New Roman" w:cs="Times New Roman"/>
                <w:color w:val="000000"/>
                <w:sz w:val="20"/>
                <w:szCs w:val="20"/>
              </w:rPr>
              <w:t>ir Conditioner</w:t>
            </w:r>
          </w:p>
        </w:tc>
        <w:tc>
          <w:tcPr>
            <w:tcW w:w="1372"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294.13</w:t>
            </w:r>
          </w:p>
        </w:tc>
        <w:tc>
          <w:tcPr>
            <w:tcW w:w="1050"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119.15</w:t>
            </w:r>
          </w:p>
        </w:tc>
        <w:tc>
          <w:tcPr>
            <w:tcW w:w="724"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2.47</w:t>
            </w:r>
          </w:p>
        </w:tc>
        <w:tc>
          <w:tcPr>
            <w:tcW w:w="623"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0.0136</w:t>
            </w:r>
          </w:p>
        </w:tc>
      </w:tr>
      <w:tr w:rsidR="00523B88" w:rsidRPr="0016076C" w:rsidTr="00523B88">
        <w:trPr>
          <w:jc w:val="center"/>
        </w:trPr>
        <w:tc>
          <w:tcPr>
            <w:tcW w:w="1231" w:type="pct"/>
            <w:tcBorders>
              <w:top w:val="nil"/>
              <w:left w:val="single" w:sz="4" w:space="0" w:color="BFBFBF"/>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 xml:space="preserve">Duct </w:t>
            </w:r>
            <w:r>
              <w:rPr>
                <w:rFonts w:ascii="Calibri" w:eastAsia="Times New Roman" w:hAnsi="Calibri" w:cs="Times New Roman"/>
                <w:color w:val="000000"/>
                <w:sz w:val="20"/>
                <w:szCs w:val="20"/>
              </w:rPr>
              <w:t>S</w:t>
            </w:r>
            <w:r w:rsidRPr="0016076C">
              <w:rPr>
                <w:rFonts w:ascii="Calibri" w:eastAsia="Times New Roman" w:hAnsi="Calibri" w:cs="Times New Roman"/>
                <w:color w:val="000000"/>
                <w:sz w:val="20"/>
                <w:szCs w:val="20"/>
              </w:rPr>
              <w:t>ealing</w:t>
            </w:r>
          </w:p>
        </w:tc>
        <w:tc>
          <w:tcPr>
            <w:tcW w:w="1372"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-9.65</w:t>
            </w:r>
          </w:p>
        </w:tc>
        <w:tc>
          <w:tcPr>
            <w:tcW w:w="1050"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124.80</w:t>
            </w:r>
          </w:p>
        </w:tc>
        <w:tc>
          <w:tcPr>
            <w:tcW w:w="724"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-0.08</w:t>
            </w:r>
          </w:p>
        </w:tc>
        <w:tc>
          <w:tcPr>
            <w:tcW w:w="623"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0.9384</w:t>
            </w:r>
          </w:p>
        </w:tc>
      </w:tr>
      <w:tr w:rsidR="00523B88" w:rsidRPr="0016076C" w:rsidTr="00523B88">
        <w:trPr>
          <w:jc w:val="center"/>
        </w:trPr>
        <w:tc>
          <w:tcPr>
            <w:tcW w:w="1231" w:type="pct"/>
            <w:tcBorders>
              <w:top w:val="nil"/>
              <w:left w:val="single" w:sz="4" w:space="0" w:color="BFBFBF"/>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 xml:space="preserve">Pipe </w:t>
            </w:r>
            <w:r>
              <w:rPr>
                <w:rFonts w:ascii="Calibri" w:eastAsia="Times New Roman" w:hAnsi="Calibri" w:cs="Times New Roman"/>
                <w:color w:val="000000"/>
                <w:sz w:val="20"/>
                <w:szCs w:val="20"/>
              </w:rPr>
              <w:t>I</w:t>
            </w:r>
            <w:r w:rsidRPr="0016076C">
              <w:rPr>
                <w:rFonts w:ascii="Calibri" w:eastAsia="Times New Roman" w:hAnsi="Calibri" w:cs="Times New Roman"/>
                <w:color w:val="000000"/>
                <w:sz w:val="20"/>
                <w:szCs w:val="20"/>
              </w:rPr>
              <w:t>nsulation</w:t>
            </w:r>
          </w:p>
        </w:tc>
        <w:tc>
          <w:tcPr>
            <w:tcW w:w="1372"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-77.48</w:t>
            </w:r>
          </w:p>
        </w:tc>
        <w:tc>
          <w:tcPr>
            <w:tcW w:w="1050"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165.19</w:t>
            </w:r>
          </w:p>
        </w:tc>
        <w:tc>
          <w:tcPr>
            <w:tcW w:w="724"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-0.47</w:t>
            </w:r>
          </w:p>
        </w:tc>
        <w:tc>
          <w:tcPr>
            <w:tcW w:w="623"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0.6391</w:t>
            </w:r>
          </w:p>
        </w:tc>
      </w:tr>
      <w:tr w:rsidR="00523B88" w:rsidRPr="0016076C" w:rsidTr="00523B88">
        <w:trPr>
          <w:jc w:val="center"/>
        </w:trPr>
        <w:tc>
          <w:tcPr>
            <w:tcW w:w="1231" w:type="pct"/>
            <w:tcBorders>
              <w:top w:val="nil"/>
              <w:left w:val="single" w:sz="4" w:space="0" w:color="BFBFBF"/>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 xml:space="preserve">Insulation </w:t>
            </w:r>
            <w:r>
              <w:rPr>
                <w:rFonts w:ascii="Calibri" w:eastAsia="Times New Roman" w:hAnsi="Calibri" w:cs="Times New Roman"/>
                <w:color w:val="000000"/>
                <w:sz w:val="20"/>
                <w:szCs w:val="20"/>
              </w:rPr>
              <w:t>Other</w:t>
            </w:r>
          </w:p>
        </w:tc>
        <w:tc>
          <w:tcPr>
            <w:tcW w:w="1372"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737.12</w:t>
            </w:r>
          </w:p>
        </w:tc>
        <w:tc>
          <w:tcPr>
            <w:tcW w:w="1050"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172.36</w:t>
            </w:r>
          </w:p>
        </w:tc>
        <w:tc>
          <w:tcPr>
            <w:tcW w:w="724"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4.28</w:t>
            </w:r>
          </w:p>
        </w:tc>
        <w:tc>
          <w:tcPr>
            <w:tcW w:w="623"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0.0000</w:t>
            </w:r>
          </w:p>
        </w:tc>
      </w:tr>
      <w:tr w:rsidR="00523B88" w:rsidRPr="0016076C" w:rsidTr="00523B88">
        <w:trPr>
          <w:jc w:val="center"/>
        </w:trPr>
        <w:tc>
          <w:tcPr>
            <w:tcW w:w="1231" w:type="pct"/>
            <w:tcBorders>
              <w:top w:val="nil"/>
              <w:left w:val="single" w:sz="4" w:space="0" w:color="BFBFBF"/>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Windows</w:t>
            </w:r>
          </w:p>
        </w:tc>
        <w:tc>
          <w:tcPr>
            <w:tcW w:w="1372"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-257.96</w:t>
            </w:r>
          </w:p>
        </w:tc>
        <w:tc>
          <w:tcPr>
            <w:tcW w:w="1050"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204.34</w:t>
            </w:r>
          </w:p>
        </w:tc>
        <w:tc>
          <w:tcPr>
            <w:tcW w:w="724"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-1.26</w:t>
            </w:r>
          </w:p>
        </w:tc>
        <w:tc>
          <w:tcPr>
            <w:tcW w:w="623"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0.2069</w:t>
            </w:r>
          </w:p>
        </w:tc>
      </w:tr>
      <w:tr w:rsidR="00523B88" w:rsidRPr="0016076C" w:rsidTr="00523B88">
        <w:trPr>
          <w:jc w:val="center"/>
        </w:trPr>
        <w:tc>
          <w:tcPr>
            <w:tcW w:w="1231" w:type="pct"/>
            <w:tcBorders>
              <w:top w:val="nil"/>
              <w:left w:val="single" w:sz="4" w:space="0" w:color="BFBFBF"/>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 xml:space="preserve">Heat </w:t>
            </w:r>
            <w:r>
              <w:rPr>
                <w:rFonts w:ascii="Calibri" w:eastAsia="Times New Roman" w:hAnsi="Calibri" w:cs="Times New Roman"/>
                <w:color w:val="000000"/>
                <w:sz w:val="20"/>
                <w:szCs w:val="20"/>
              </w:rPr>
              <w:t>P</w:t>
            </w:r>
            <w:r w:rsidRPr="0016076C">
              <w:rPr>
                <w:rFonts w:ascii="Calibri" w:eastAsia="Times New Roman" w:hAnsi="Calibri" w:cs="Times New Roman"/>
                <w:color w:val="000000"/>
                <w:sz w:val="20"/>
                <w:szCs w:val="20"/>
              </w:rPr>
              <w:t>ump</w:t>
            </w:r>
          </w:p>
        </w:tc>
        <w:tc>
          <w:tcPr>
            <w:tcW w:w="1372"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-1583.91</w:t>
            </w:r>
          </w:p>
        </w:tc>
        <w:tc>
          <w:tcPr>
            <w:tcW w:w="1050"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132.61</w:t>
            </w:r>
          </w:p>
        </w:tc>
        <w:tc>
          <w:tcPr>
            <w:tcW w:w="724"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-11.94</w:t>
            </w:r>
          </w:p>
        </w:tc>
        <w:tc>
          <w:tcPr>
            <w:tcW w:w="623"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0.0000</w:t>
            </w:r>
          </w:p>
        </w:tc>
      </w:tr>
      <w:tr w:rsidR="00523B88" w:rsidRPr="0016076C" w:rsidTr="00523B88">
        <w:trPr>
          <w:jc w:val="center"/>
        </w:trPr>
        <w:tc>
          <w:tcPr>
            <w:tcW w:w="1231" w:type="pct"/>
            <w:tcBorders>
              <w:top w:val="nil"/>
              <w:left w:val="single" w:sz="4" w:space="0" w:color="BFBFBF"/>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Ductless </w:t>
            </w:r>
            <w:r w:rsidRPr="0016076C">
              <w:rPr>
                <w:rFonts w:ascii="Calibri" w:eastAsia="Times New Roman" w:hAnsi="Calibri" w:cs="Times New Roman"/>
                <w:color w:val="000000"/>
                <w:sz w:val="20"/>
                <w:szCs w:val="20"/>
              </w:rPr>
              <w:t xml:space="preserve">Heat </w:t>
            </w:r>
            <w:r>
              <w:rPr>
                <w:rFonts w:ascii="Calibri" w:eastAsia="Times New Roman" w:hAnsi="Calibri" w:cs="Times New Roman"/>
                <w:color w:val="000000"/>
                <w:sz w:val="20"/>
                <w:szCs w:val="20"/>
              </w:rPr>
              <w:t>P</w:t>
            </w:r>
            <w:r w:rsidRPr="0016076C">
              <w:rPr>
                <w:rFonts w:ascii="Calibri" w:eastAsia="Times New Roman" w:hAnsi="Calibri" w:cs="Times New Roman"/>
                <w:color w:val="000000"/>
                <w:sz w:val="20"/>
                <w:szCs w:val="20"/>
              </w:rPr>
              <w:t xml:space="preserve">ump </w:t>
            </w:r>
          </w:p>
        </w:tc>
        <w:tc>
          <w:tcPr>
            <w:tcW w:w="1372"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-696.03</w:t>
            </w:r>
          </w:p>
        </w:tc>
        <w:tc>
          <w:tcPr>
            <w:tcW w:w="1050"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138.13</w:t>
            </w:r>
          </w:p>
        </w:tc>
        <w:tc>
          <w:tcPr>
            <w:tcW w:w="724"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-5.04</w:t>
            </w:r>
          </w:p>
        </w:tc>
        <w:tc>
          <w:tcPr>
            <w:tcW w:w="623"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0.0000</w:t>
            </w:r>
          </w:p>
        </w:tc>
      </w:tr>
      <w:tr w:rsidR="00523B88" w:rsidRPr="0016076C" w:rsidTr="00523B88">
        <w:trPr>
          <w:jc w:val="center"/>
        </w:trPr>
        <w:tc>
          <w:tcPr>
            <w:tcW w:w="1231" w:type="pct"/>
            <w:tcBorders>
              <w:top w:val="nil"/>
              <w:left w:val="single" w:sz="4" w:space="0" w:color="BFBFBF"/>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Other</w:t>
            </w:r>
          </w:p>
        </w:tc>
        <w:tc>
          <w:tcPr>
            <w:tcW w:w="1372"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-922.59</w:t>
            </w:r>
          </w:p>
        </w:tc>
        <w:tc>
          <w:tcPr>
            <w:tcW w:w="1050"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268.75</w:t>
            </w:r>
          </w:p>
        </w:tc>
        <w:tc>
          <w:tcPr>
            <w:tcW w:w="724"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-3.43</w:t>
            </w:r>
          </w:p>
        </w:tc>
        <w:tc>
          <w:tcPr>
            <w:tcW w:w="623"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0.0006</w:t>
            </w:r>
          </w:p>
        </w:tc>
      </w:tr>
      <w:tr w:rsidR="00523B88" w:rsidRPr="0016076C" w:rsidTr="00523B88">
        <w:trPr>
          <w:jc w:val="center"/>
        </w:trPr>
        <w:tc>
          <w:tcPr>
            <w:tcW w:w="1231" w:type="pct"/>
            <w:tcBorders>
              <w:top w:val="nil"/>
              <w:left w:val="single" w:sz="4" w:space="0" w:color="BFBFBF"/>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DHW Bundle</w:t>
            </w:r>
          </w:p>
        </w:tc>
        <w:tc>
          <w:tcPr>
            <w:tcW w:w="1372"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-93.18</w:t>
            </w:r>
          </w:p>
        </w:tc>
        <w:tc>
          <w:tcPr>
            <w:tcW w:w="1050"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58.04</w:t>
            </w:r>
          </w:p>
        </w:tc>
        <w:tc>
          <w:tcPr>
            <w:tcW w:w="724"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-1.61</w:t>
            </w:r>
          </w:p>
        </w:tc>
        <w:tc>
          <w:tcPr>
            <w:tcW w:w="623"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0.1085</w:t>
            </w:r>
          </w:p>
        </w:tc>
      </w:tr>
      <w:tr w:rsidR="00523B88" w:rsidRPr="0016076C" w:rsidTr="00523B88">
        <w:trPr>
          <w:jc w:val="center"/>
        </w:trPr>
        <w:tc>
          <w:tcPr>
            <w:tcW w:w="1231" w:type="pct"/>
            <w:tcBorders>
              <w:top w:val="nil"/>
              <w:left w:val="single" w:sz="4" w:space="0" w:color="BFBFBF"/>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Attic I</w:t>
            </w:r>
            <w:r w:rsidRPr="0016076C">
              <w:rPr>
                <w:rFonts w:ascii="Calibri" w:eastAsia="Times New Roman" w:hAnsi="Calibri" w:cs="Times New Roman"/>
                <w:color w:val="000000"/>
                <w:sz w:val="20"/>
                <w:szCs w:val="20"/>
              </w:rPr>
              <w:t>nsulation</w:t>
            </w:r>
            <w:r w:rsidR="002953AD">
              <w:rPr>
                <w:rFonts w:ascii="Calibri" w:eastAsia="Times New Roman" w:hAnsi="Calibri" w:cs="Times New Roman"/>
                <w:color w:val="000000"/>
                <w:sz w:val="20"/>
                <w:szCs w:val="20"/>
              </w:rPr>
              <w:t xml:space="preserve"> </w:t>
            </w:r>
          </w:p>
        </w:tc>
        <w:tc>
          <w:tcPr>
            <w:tcW w:w="1372"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-330.35</w:t>
            </w:r>
          </w:p>
        </w:tc>
        <w:tc>
          <w:tcPr>
            <w:tcW w:w="1050"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108.19</w:t>
            </w:r>
          </w:p>
        </w:tc>
        <w:tc>
          <w:tcPr>
            <w:tcW w:w="724"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-3.05</w:t>
            </w:r>
          </w:p>
        </w:tc>
        <w:tc>
          <w:tcPr>
            <w:tcW w:w="623"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0.0023</w:t>
            </w:r>
          </w:p>
        </w:tc>
      </w:tr>
      <w:tr w:rsidR="00523B88" w:rsidRPr="0016076C" w:rsidTr="00523B88">
        <w:trPr>
          <w:jc w:val="center"/>
        </w:trPr>
        <w:tc>
          <w:tcPr>
            <w:tcW w:w="1231" w:type="pct"/>
            <w:tcBorders>
              <w:top w:val="nil"/>
              <w:left w:val="single" w:sz="4" w:space="0" w:color="BFBFBF"/>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Wall I</w:t>
            </w:r>
            <w:r w:rsidRPr="0016076C">
              <w:rPr>
                <w:rFonts w:ascii="Calibri" w:eastAsia="Times New Roman" w:hAnsi="Calibri" w:cs="Times New Roman"/>
                <w:color w:val="000000"/>
                <w:sz w:val="20"/>
                <w:szCs w:val="20"/>
              </w:rPr>
              <w:t>nsulation</w:t>
            </w:r>
            <w:r w:rsidR="002953AD">
              <w:rPr>
                <w:rFonts w:ascii="Calibri" w:eastAsia="Times New Roman" w:hAnsi="Calibri" w:cs="Times New Roman"/>
                <w:color w:val="000000"/>
                <w:sz w:val="20"/>
                <w:szCs w:val="20"/>
              </w:rPr>
              <w:t xml:space="preserve"> </w:t>
            </w:r>
          </w:p>
        </w:tc>
        <w:tc>
          <w:tcPr>
            <w:tcW w:w="1372"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923.85</w:t>
            </w:r>
          </w:p>
        </w:tc>
        <w:tc>
          <w:tcPr>
            <w:tcW w:w="1050"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178.14</w:t>
            </w:r>
          </w:p>
        </w:tc>
        <w:tc>
          <w:tcPr>
            <w:tcW w:w="724"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5.19</w:t>
            </w:r>
          </w:p>
        </w:tc>
        <w:tc>
          <w:tcPr>
            <w:tcW w:w="623"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0.0000</w:t>
            </w:r>
          </w:p>
        </w:tc>
      </w:tr>
      <w:tr w:rsidR="00523B88" w:rsidRPr="0016076C" w:rsidTr="00523B88">
        <w:trPr>
          <w:jc w:val="center"/>
        </w:trPr>
        <w:tc>
          <w:tcPr>
            <w:tcW w:w="1231" w:type="pct"/>
            <w:tcBorders>
              <w:top w:val="nil"/>
              <w:left w:val="single" w:sz="4" w:space="0" w:color="BFBFBF"/>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 xml:space="preserve">Appliance </w:t>
            </w:r>
            <w:r>
              <w:rPr>
                <w:rFonts w:ascii="Calibri" w:eastAsia="Times New Roman" w:hAnsi="Calibri" w:cs="Times New Roman"/>
                <w:color w:val="000000"/>
                <w:sz w:val="20"/>
                <w:szCs w:val="20"/>
              </w:rPr>
              <w:t>Other</w:t>
            </w:r>
          </w:p>
        </w:tc>
        <w:tc>
          <w:tcPr>
            <w:tcW w:w="1372"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-493.26</w:t>
            </w:r>
          </w:p>
        </w:tc>
        <w:tc>
          <w:tcPr>
            <w:tcW w:w="1050"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71.17</w:t>
            </w:r>
          </w:p>
        </w:tc>
        <w:tc>
          <w:tcPr>
            <w:tcW w:w="724"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-6.93</w:t>
            </w:r>
          </w:p>
        </w:tc>
        <w:tc>
          <w:tcPr>
            <w:tcW w:w="623"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0.0000</w:t>
            </w:r>
          </w:p>
        </w:tc>
      </w:tr>
      <w:tr w:rsidR="00523B88" w:rsidRPr="0016076C" w:rsidTr="00523B88">
        <w:trPr>
          <w:jc w:val="center"/>
        </w:trPr>
        <w:tc>
          <w:tcPr>
            <w:tcW w:w="1231" w:type="pct"/>
            <w:tcBorders>
              <w:top w:val="nil"/>
              <w:left w:val="single" w:sz="4" w:space="0" w:color="BFBFBF"/>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Window AC</w:t>
            </w:r>
          </w:p>
        </w:tc>
        <w:tc>
          <w:tcPr>
            <w:tcW w:w="1372"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-631.27</w:t>
            </w:r>
          </w:p>
        </w:tc>
        <w:tc>
          <w:tcPr>
            <w:tcW w:w="1050"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107.90</w:t>
            </w:r>
          </w:p>
        </w:tc>
        <w:tc>
          <w:tcPr>
            <w:tcW w:w="724"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-5.85</w:t>
            </w:r>
          </w:p>
        </w:tc>
        <w:tc>
          <w:tcPr>
            <w:tcW w:w="623"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0.0000</w:t>
            </w:r>
          </w:p>
        </w:tc>
      </w:tr>
      <w:tr w:rsidR="00523B88" w:rsidRPr="0016076C" w:rsidTr="00523B88">
        <w:trPr>
          <w:jc w:val="center"/>
        </w:trPr>
        <w:tc>
          <w:tcPr>
            <w:tcW w:w="1231" w:type="pct"/>
            <w:tcBorders>
              <w:top w:val="nil"/>
              <w:left w:val="single" w:sz="4" w:space="0" w:color="BFBFBF"/>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 xml:space="preserve">Water </w:t>
            </w:r>
            <w:r>
              <w:rPr>
                <w:rFonts w:ascii="Calibri" w:eastAsia="Times New Roman" w:hAnsi="Calibri" w:cs="Times New Roman"/>
                <w:color w:val="000000"/>
                <w:sz w:val="20"/>
                <w:szCs w:val="20"/>
              </w:rPr>
              <w:t>H</w:t>
            </w:r>
            <w:r w:rsidRPr="0016076C">
              <w:rPr>
                <w:rFonts w:ascii="Calibri" w:eastAsia="Times New Roman" w:hAnsi="Calibri" w:cs="Times New Roman"/>
                <w:color w:val="000000"/>
                <w:sz w:val="20"/>
                <w:szCs w:val="20"/>
              </w:rPr>
              <w:t>eater</w:t>
            </w:r>
            <w:r>
              <w:rPr>
                <w:rFonts w:ascii="Calibri" w:eastAsia="Times New Roman" w:hAnsi="Calibri" w:cs="Times New Roman"/>
                <w:color w:val="000000"/>
                <w:sz w:val="20"/>
                <w:szCs w:val="20"/>
              </w:rPr>
              <w:t xml:space="preserve"> Temp Setback</w:t>
            </w:r>
          </w:p>
        </w:tc>
        <w:tc>
          <w:tcPr>
            <w:tcW w:w="1372"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56.52</w:t>
            </w:r>
          </w:p>
        </w:tc>
        <w:tc>
          <w:tcPr>
            <w:tcW w:w="1050"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255.66</w:t>
            </w:r>
          </w:p>
        </w:tc>
        <w:tc>
          <w:tcPr>
            <w:tcW w:w="724"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0.22</w:t>
            </w:r>
          </w:p>
        </w:tc>
        <w:tc>
          <w:tcPr>
            <w:tcW w:w="623" w:type="pct"/>
            <w:tcBorders>
              <w:top w:val="nil"/>
              <w:left w:val="nil"/>
              <w:bottom w:val="single" w:sz="4" w:space="0" w:color="BFBFBF"/>
              <w:right w:val="single" w:sz="4" w:space="0" w:color="BFBFBF"/>
            </w:tcBorders>
            <w:shd w:val="clear" w:color="auto" w:fill="auto"/>
            <w:noWrap/>
            <w:vAlign w:val="center"/>
            <w:hideMark/>
          </w:tcPr>
          <w:p w:rsidR="00523B88" w:rsidRPr="0016076C" w:rsidRDefault="00523B88" w:rsidP="00523B88">
            <w:pPr>
              <w:keepNext/>
              <w:keepLines/>
              <w:spacing w:after="0"/>
              <w:jc w:val="right"/>
              <w:rPr>
                <w:rFonts w:ascii="Calibri" w:eastAsia="Times New Roman" w:hAnsi="Calibri" w:cs="Times New Roman"/>
                <w:color w:val="000000"/>
                <w:sz w:val="20"/>
                <w:szCs w:val="20"/>
              </w:rPr>
            </w:pPr>
            <w:r w:rsidRPr="0016076C">
              <w:rPr>
                <w:rFonts w:ascii="Calibri" w:eastAsia="Times New Roman" w:hAnsi="Calibri" w:cs="Times New Roman"/>
                <w:color w:val="000000"/>
                <w:sz w:val="20"/>
                <w:szCs w:val="20"/>
              </w:rPr>
              <w:t>0.8250</w:t>
            </w:r>
          </w:p>
        </w:tc>
      </w:tr>
    </w:tbl>
    <w:p w:rsidR="00523B88" w:rsidRDefault="00523B88" w:rsidP="004D1F89">
      <w:pPr>
        <w:pStyle w:val="NormalAfterTablesandFigures"/>
      </w:pPr>
    </w:p>
    <w:p w:rsidR="00523B88" w:rsidRPr="00FD42D4" w:rsidRDefault="00523B88" w:rsidP="00523B88">
      <w:pPr>
        <w:pStyle w:val="Caption"/>
        <w:spacing w:after="0"/>
        <w:rPr>
          <w:szCs w:val="22"/>
        </w:rPr>
      </w:pPr>
      <w:r w:rsidRPr="00FD42D4">
        <w:rPr>
          <w:szCs w:val="22"/>
        </w:rPr>
        <w:t xml:space="preserve">Table </w:t>
      </w:r>
      <w:r w:rsidR="005C2163" w:rsidRPr="00FD42D4">
        <w:rPr>
          <w:szCs w:val="22"/>
        </w:rPr>
        <w:fldChar w:fldCharType="begin"/>
      </w:r>
      <w:r w:rsidRPr="00FD42D4">
        <w:rPr>
          <w:szCs w:val="22"/>
        </w:rPr>
        <w:instrText xml:space="preserve"> SEQ Table \* ARABIC </w:instrText>
      </w:r>
      <w:r w:rsidR="005C2163" w:rsidRPr="00FD42D4">
        <w:rPr>
          <w:szCs w:val="22"/>
        </w:rPr>
        <w:fldChar w:fldCharType="separate"/>
      </w:r>
      <w:r w:rsidR="00CD20CF">
        <w:rPr>
          <w:noProof/>
          <w:szCs w:val="22"/>
        </w:rPr>
        <w:t>82</w:t>
      </w:r>
      <w:r w:rsidR="005C2163" w:rsidRPr="00FD42D4">
        <w:rPr>
          <w:szCs w:val="22"/>
        </w:rPr>
        <w:fldChar w:fldCharType="end"/>
      </w:r>
      <w:r w:rsidRPr="00FD42D4">
        <w:rPr>
          <w:szCs w:val="22"/>
        </w:rPr>
        <w:t xml:space="preserve">. HES </w:t>
      </w:r>
      <w:r>
        <w:rPr>
          <w:szCs w:val="22"/>
        </w:rPr>
        <w:t>Gas Complex Model Specification</w:t>
      </w:r>
    </w:p>
    <w:tbl>
      <w:tblPr>
        <w:tblW w:w="500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038"/>
        <w:gridCol w:w="2381"/>
        <w:gridCol w:w="1821"/>
        <w:gridCol w:w="1256"/>
        <w:gridCol w:w="1080"/>
      </w:tblGrid>
      <w:tr w:rsidR="00523B88" w:rsidRPr="00FD42D4" w:rsidTr="00523B88">
        <w:trPr>
          <w:jc w:val="center"/>
        </w:trPr>
        <w:tc>
          <w:tcPr>
            <w:tcW w:w="0" w:type="auto"/>
            <w:shd w:val="clear" w:color="000000" w:fill="005DAA"/>
            <w:noWrap/>
            <w:vAlign w:val="center"/>
            <w:hideMark/>
          </w:tcPr>
          <w:p w:rsidR="00523B88" w:rsidRPr="00FD42D4" w:rsidRDefault="00523B88" w:rsidP="00523B88">
            <w:pPr>
              <w:keepNext/>
              <w:keepLines/>
              <w:spacing w:after="0"/>
              <w:jc w:val="center"/>
              <w:rPr>
                <w:rFonts w:ascii="Calibri" w:eastAsia="Times New Roman" w:hAnsi="Calibri" w:cs="Times New Roman"/>
                <w:b/>
                <w:bCs/>
                <w:color w:val="FFFFFF"/>
              </w:rPr>
            </w:pPr>
            <w:r w:rsidRPr="00FD42D4">
              <w:rPr>
                <w:rFonts w:ascii="Calibri" w:eastAsia="Times New Roman" w:hAnsi="Calibri" w:cs="Times New Roman"/>
                <w:b/>
                <w:bCs/>
                <w:color w:val="FFFFFF"/>
              </w:rPr>
              <w:t>Variable</w:t>
            </w:r>
          </w:p>
        </w:tc>
        <w:tc>
          <w:tcPr>
            <w:tcW w:w="0" w:type="auto"/>
            <w:shd w:val="clear" w:color="000000" w:fill="005DAA"/>
            <w:noWrap/>
            <w:vAlign w:val="center"/>
            <w:hideMark/>
          </w:tcPr>
          <w:p w:rsidR="00523B88" w:rsidRPr="00FD42D4" w:rsidRDefault="00523B88" w:rsidP="00523B88">
            <w:pPr>
              <w:keepNext/>
              <w:keepLines/>
              <w:spacing w:after="0"/>
              <w:jc w:val="center"/>
              <w:rPr>
                <w:rFonts w:ascii="Calibri" w:eastAsia="Times New Roman" w:hAnsi="Calibri" w:cs="Times New Roman"/>
                <w:b/>
                <w:bCs/>
                <w:color w:val="FFFFFF"/>
              </w:rPr>
            </w:pPr>
            <w:r w:rsidRPr="00FD42D4">
              <w:rPr>
                <w:rFonts w:ascii="Calibri" w:eastAsia="Times New Roman" w:hAnsi="Calibri" w:cs="Times New Roman"/>
                <w:b/>
                <w:bCs/>
                <w:color w:val="FFFFFF"/>
              </w:rPr>
              <w:t>Parameter Estimate</w:t>
            </w:r>
          </w:p>
        </w:tc>
        <w:tc>
          <w:tcPr>
            <w:tcW w:w="0" w:type="auto"/>
            <w:shd w:val="clear" w:color="000000" w:fill="005DAA"/>
            <w:noWrap/>
            <w:vAlign w:val="center"/>
            <w:hideMark/>
          </w:tcPr>
          <w:p w:rsidR="00523B88" w:rsidRPr="00FD42D4" w:rsidRDefault="00523B88" w:rsidP="00523B88">
            <w:pPr>
              <w:keepNext/>
              <w:keepLines/>
              <w:spacing w:after="0"/>
              <w:jc w:val="center"/>
              <w:rPr>
                <w:rFonts w:ascii="Calibri" w:eastAsia="Times New Roman" w:hAnsi="Calibri" w:cs="Times New Roman"/>
                <w:b/>
                <w:bCs/>
                <w:color w:val="FFFFFF"/>
              </w:rPr>
            </w:pPr>
            <w:r w:rsidRPr="00FD42D4">
              <w:rPr>
                <w:rFonts w:ascii="Calibri" w:eastAsia="Times New Roman" w:hAnsi="Calibri" w:cs="Times New Roman"/>
                <w:b/>
                <w:bCs/>
                <w:color w:val="FFFFFF"/>
              </w:rPr>
              <w:t>Standard Error</w:t>
            </w:r>
          </w:p>
        </w:tc>
        <w:tc>
          <w:tcPr>
            <w:tcW w:w="0" w:type="auto"/>
            <w:shd w:val="clear" w:color="000000" w:fill="005DAA"/>
            <w:noWrap/>
            <w:vAlign w:val="center"/>
            <w:hideMark/>
          </w:tcPr>
          <w:p w:rsidR="00523B88" w:rsidRPr="00FD42D4" w:rsidRDefault="00523B88" w:rsidP="00523B88">
            <w:pPr>
              <w:keepNext/>
              <w:keepLines/>
              <w:spacing w:after="0"/>
              <w:jc w:val="center"/>
              <w:rPr>
                <w:rFonts w:ascii="Calibri" w:eastAsia="Times New Roman" w:hAnsi="Calibri" w:cs="Times New Roman"/>
                <w:b/>
                <w:bCs/>
                <w:color w:val="FFFFFF"/>
              </w:rPr>
            </w:pPr>
            <w:r w:rsidRPr="00FD42D4">
              <w:rPr>
                <w:rFonts w:ascii="Calibri" w:eastAsia="Times New Roman" w:hAnsi="Calibri" w:cs="Times New Roman"/>
                <w:b/>
                <w:bCs/>
                <w:color w:val="FFFFFF"/>
              </w:rPr>
              <w:t>t-statistic</w:t>
            </w:r>
          </w:p>
        </w:tc>
        <w:tc>
          <w:tcPr>
            <w:tcW w:w="0" w:type="auto"/>
            <w:shd w:val="clear" w:color="000000" w:fill="005DAA"/>
            <w:noWrap/>
            <w:vAlign w:val="center"/>
            <w:hideMark/>
          </w:tcPr>
          <w:p w:rsidR="00523B88" w:rsidRPr="00FD42D4" w:rsidRDefault="00523B88" w:rsidP="00523B88">
            <w:pPr>
              <w:keepNext/>
              <w:keepLines/>
              <w:spacing w:after="0"/>
              <w:jc w:val="center"/>
              <w:rPr>
                <w:rFonts w:ascii="Calibri" w:eastAsia="Times New Roman" w:hAnsi="Calibri" w:cs="Times New Roman"/>
                <w:b/>
                <w:bCs/>
                <w:color w:val="FFFFFF"/>
              </w:rPr>
            </w:pPr>
            <w:r w:rsidRPr="00FD42D4">
              <w:rPr>
                <w:rFonts w:ascii="Calibri" w:eastAsia="Times New Roman" w:hAnsi="Calibri" w:cs="Times New Roman"/>
                <w:b/>
                <w:bCs/>
                <w:color w:val="FFFFFF"/>
              </w:rPr>
              <w:t>p-Value</w:t>
            </w:r>
          </w:p>
        </w:tc>
      </w:tr>
      <w:tr w:rsidR="00523B88" w:rsidRPr="00FD42D4" w:rsidTr="00523B88">
        <w:trPr>
          <w:jc w:val="center"/>
        </w:trPr>
        <w:tc>
          <w:tcPr>
            <w:tcW w:w="0" w:type="auto"/>
            <w:shd w:val="clear" w:color="auto" w:fill="auto"/>
            <w:noWrap/>
            <w:vAlign w:val="center"/>
            <w:hideMark/>
          </w:tcPr>
          <w:p w:rsidR="00523B88" w:rsidRPr="00FD42D4" w:rsidRDefault="00523B88" w:rsidP="00523B88">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Air S</w:t>
            </w:r>
            <w:r w:rsidRPr="00FD42D4">
              <w:rPr>
                <w:rFonts w:ascii="Calibri" w:eastAsia="Times New Roman" w:hAnsi="Calibri" w:cs="Times New Roman"/>
                <w:color w:val="000000"/>
                <w:sz w:val="20"/>
                <w:szCs w:val="20"/>
              </w:rPr>
              <w:t>ealing</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-55.93</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4.34</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-12.88</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0.0000</w:t>
            </w:r>
          </w:p>
        </w:tc>
      </w:tr>
      <w:tr w:rsidR="00523B88" w:rsidRPr="00FD42D4" w:rsidTr="00523B88">
        <w:trPr>
          <w:jc w:val="center"/>
        </w:trPr>
        <w:tc>
          <w:tcPr>
            <w:tcW w:w="0" w:type="auto"/>
            <w:shd w:val="clear" w:color="auto" w:fill="auto"/>
            <w:noWrap/>
            <w:vAlign w:val="center"/>
            <w:hideMark/>
          </w:tcPr>
          <w:p w:rsidR="00523B88" w:rsidRPr="00FD42D4" w:rsidRDefault="00523B88" w:rsidP="00523B88">
            <w:pPr>
              <w:keepNext/>
              <w:keepLines/>
              <w:spacing w:after="0"/>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 xml:space="preserve">Duct </w:t>
            </w:r>
            <w:r>
              <w:rPr>
                <w:rFonts w:ascii="Calibri" w:eastAsia="Times New Roman" w:hAnsi="Calibri" w:cs="Times New Roman"/>
                <w:color w:val="000000"/>
                <w:sz w:val="20"/>
                <w:szCs w:val="20"/>
              </w:rPr>
              <w:t>S</w:t>
            </w:r>
            <w:r w:rsidRPr="00FD42D4">
              <w:rPr>
                <w:rFonts w:ascii="Calibri" w:eastAsia="Times New Roman" w:hAnsi="Calibri" w:cs="Times New Roman"/>
                <w:color w:val="000000"/>
                <w:sz w:val="20"/>
                <w:szCs w:val="20"/>
              </w:rPr>
              <w:t>ealing</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-19.30</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8.01</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-2.41</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0.0161</w:t>
            </w:r>
          </w:p>
        </w:tc>
      </w:tr>
      <w:tr w:rsidR="00523B88" w:rsidRPr="00FD42D4" w:rsidTr="00523B88">
        <w:trPr>
          <w:jc w:val="center"/>
        </w:trPr>
        <w:tc>
          <w:tcPr>
            <w:tcW w:w="0" w:type="auto"/>
            <w:shd w:val="clear" w:color="auto" w:fill="auto"/>
            <w:noWrap/>
            <w:vAlign w:val="center"/>
            <w:hideMark/>
          </w:tcPr>
          <w:p w:rsidR="00523B88" w:rsidRPr="00FD42D4" w:rsidRDefault="00523B88" w:rsidP="00523B88">
            <w:pPr>
              <w:keepNext/>
              <w:keepLines/>
              <w:spacing w:after="0"/>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 xml:space="preserve">Pipe </w:t>
            </w:r>
            <w:r>
              <w:rPr>
                <w:rFonts w:ascii="Calibri" w:eastAsia="Times New Roman" w:hAnsi="Calibri" w:cs="Times New Roman"/>
                <w:color w:val="000000"/>
                <w:sz w:val="20"/>
                <w:szCs w:val="20"/>
              </w:rPr>
              <w:t>I</w:t>
            </w:r>
            <w:r w:rsidRPr="00FD42D4">
              <w:rPr>
                <w:rFonts w:ascii="Calibri" w:eastAsia="Times New Roman" w:hAnsi="Calibri" w:cs="Times New Roman"/>
                <w:color w:val="000000"/>
                <w:sz w:val="20"/>
                <w:szCs w:val="20"/>
              </w:rPr>
              <w:t>nsulation</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-11.85</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4.76</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-2.49</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0.0128</w:t>
            </w:r>
          </w:p>
        </w:tc>
      </w:tr>
      <w:tr w:rsidR="00523B88" w:rsidRPr="00FD42D4" w:rsidTr="00523B88">
        <w:trPr>
          <w:jc w:val="center"/>
        </w:trPr>
        <w:tc>
          <w:tcPr>
            <w:tcW w:w="0" w:type="auto"/>
            <w:shd w:val="clear" w:color="auto" w:fill="auto"/>
            <w:noWrap/>
            <w:vAlign w:val="center"/>
            <w:hideMark/>
          </w:tcPr>
          <w:p w:rsidR="00523B88" w:rsidRPr="00FD42D4" w:rsidRDefault="00523B88" w:rsidP="00523B88">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Clothes W</w:t>
            </w:r>
            <w:r w:rsidRPr="00FD42D4">
              <w:rPr>
                <w:rFonts w:ascii="Calibri" w:eastAsia="Times New Roman" w:hAnsi="Calibri" w:cs="Times New Roman"/>
                <w:color w:val="000000"/>
                <w:sz w:val="20"/>
                <w:szCs w:val="20"/>
              </w:rPr>
              <w:t>asher</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-346.55</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4.24</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-81.74</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0.0000</w:t>
            </w:r>
          </w:p>
        </w:tc>
      </w:tr>
      <w:tr w:rsidR="00523B88" w:rsidRPr="00FD42D4" w:rsidTr="00523B88">
        <w:trPr>
          <w:jc w:val="center"/>
        </w:trPr>
        <w:tc>
          <w:tcPr>
            <w:tcW w:w="0" w:type="auto"/>
            <w:shd w:val="clear" w:color="auto" w:fill="auto"/>
            <w:noWrap/>
            <w:vAlign w:val="center"/>
            <w:hideMark/>
          </w:tcPr>
          <w:p w:rsidR="00523B88" w:rsidRPr="00FD42D4" w:rsidRDefault="00523B88" w:rsidP="00523B88">
            <w:pPr>
              <w:keepNext/>
              <w:keepLines/>
              <w:spacing w:after="0"/>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 xml:space="preserve">Insulation </w:t>
            </w:r>
            <w:r>
              <w:rPr>
                <w:rFonts w:ascii="Calibri" w:eastAsia="Times New Roman" w:hAnsi="Calibri" w:cs="Times New Roman"/>
                <w:color w:val="000000"/>
                <w:sz w:val="20"/>
                <w:szCs w:val="20"/>
              </w:rPr>
              <w:t>Other</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-149.19</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34.93</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-4.27</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0.0000</w:t>
            </w:r>
          </w:p>
        </w:tc>
      </w:tr>
      <w:tr w:rsidR="00523B88" w:rsidRPr="00FD42D4" w:rsidTr="00523B88">
        <w:trPr>
          <w:jc w:val="center"/>
        </w:trPr>
        <w:tc>
          <w:tcPr>
            <w:tcW w:w="0" w:type="auto"/>
            <w:shd w:val="clear" w:color="auto" w:fill="auto"/>
            <w:noWrap/>
            <w:vAlign w:val="center"/>
            <w:hideMark/>
          </w:tcPr>
          <w:p w:rsidR="00523B88" w:rsidRPr="00FD42D4" w:rsidRDefault="00523B88" w:rsidP="00523B88">
            <w:pPr>
              <w:keepNext/>
              <w:keepLines/>
              <w:spacing w:after="0"/>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 xml:space="preserve">Water </w:t>
            </w:r>
            <w:r>
              <w:rPr>
                <w:rFonts w:ascii="Calibri" w:eastAsia="Times New Roman" w:hAnsi="Calibri" w:cs="Times New Roman"/>
                <w:color w:val="000000"/>
                <w:sz w:val="20"/>
                <w:szCs w:val="20"/>
              </w:rPr>
              <w:t>H</w:t>
            </w:r>
            <w:r w:rsidRPr="00FD42D4">
              <w:rPr>
                <w:rFonts w:ascii="Calibri" w:eastAsia="Times New Roman" w:hAnsi="Calibri" w:cs="Times New Roman"/>
                <w:color w:val="000000"/>
                <w:sz w:val="20"/>
                <w:szCs w:val="20"/>
              </w:rPr>
              <w:t>eater</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-98.92</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54.31</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-1.82</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0.0687</w:t>
            </w:r>
          </w:p>
        </w:tc>
      </w:tr>
      <w:tr w:rsidR="00523B88" w:rsidRPr="00FD42D4" w:rsidTr="00523B88">
        <w:trPr>
          <w:jc w:val="center"/>
        </w:trPr>
        <w:tc>
          <w:tcPr>
            <w:tcW w:w="0" w:type="auto"/>
            <w:shd w:val="clear" w:color="auto" w:fill="auto"/>
            <w:noWrap/>
            <w:vAlign w:val="center"/>
            <w:hideMark/>
          </w:tcPr>
          <w:p w:rsidR="00523B88" w:rsidRPr="00FD42D4" w:rsidRDefault="00523B88" w:rsidP="00523B88">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Heating Sy</w:t>
            </w:r>
            <w:r w:rsidR="007851DE">
              <w:rPr>
                <w:rFonts w:ascii="Calibri" w:eastAsia="Times New Roman" w:hAnsi="Calibri" w:cs="Times New Roman"/>
                <w:color w:val="000000"/>
                <w:sz w:val="20"/>
                <w:szCs w:val="20"/>
              </w:rPr>
              <w:t>s</w:t>
            </w:r>
            <w:r>
              <w:rPr>
                <w:rFonts w:ascii="Calibri" w:eastAsia="Times New Roman" w:hAnsi="Calibri" w:cs="Times New Roman"/>
                <w:color w:val="000000"/>
                <w:sz w:val="20"/>
                <w:szCs w:val="20"/>
              </w:rPr>
              <w:t>tem R</w:t>
            </w:r>
            <w:r w:rsidRPr="00FD42D4">
              <w:rPr>
                <w:rFonts w:ascii="Calibri" w:eastAsia="Times New Roman" w:hAnsi="Calibri" w:cs="Times New Roman"/>
                <w:color w:val="000000"/>
                <w:sz w:val="20"/>
                <w:szCs w:val="20"/>
              </w:rPr>
              <w:t>eplacement</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-132.85</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37.43</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-3.55</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0.0004</w:t>
            </w:r>
          </w:p>
        </w:tc>
      </w:tr>
      <w:tr w:rsidR="00523B88" w:rsidRPr="00FD42D4" w:rsidTr="00523B88">
        <w:trPr>
          <w:jc w:val="center"/>
        </w:trPr>
        <w:tc>
          <w:tcPr>
            <w:tcW w:w="0" w:type="auto"/>
            <w:shd w:val="clear" w:color="auto" w:fill="auto"/>
            <w:noWrap/>
            <w:vAlign w:val="center"/>
            <w:hideMark/>
          </w:tcPr>
          <w:p w:rsidR="00523B88" w:rsidRPr="00FD42D4" w:rsidRDefault="00523B88" w:rsidP="00523B88">
            <w:pPr>
              <w:keepNext/>
              <w:keepLines/>
              <w:spacing w:after="0"/>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Windows</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-75.02</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5.49</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-13.66</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0.0000</w:t>
            </w:r>
          </w:p>
        </w:tc>
      </w:tr>
      <w:tr w:rsidR="00523B88" w:rsidRPr="00FD42D4" w:rsidTr="00523B88">
        <w:trPr>
          <w:jc w:val="center"/>
        </w:trPr>
        <w:tc>
          <w:tcPr>
            <w:tcW w:w="0" w:type="auto"/>
            <w:shd w:val="clear" w:color="auto" w:fill="auto"/>
            <w:noWrap/>
            <w:vAlign w:val="center"/>
            <w:hideMark/>
          </w:tcPr>
          <w:p w:rsidR="00523B88" w:rsidRPr="00FD42D4" w:rsidRDefault="00523B88" w:rsidP="00523B88">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DHW Bundle</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-12.99</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4.86</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-2.67</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0.0076</w:t>
            </w:r>
          </w:p>
        </w:tc>
      </w:tr>
      <w:tr w:rsidR="00523B88" w:rsidRPr="00FD42D4" w:rsidTr="00523B88">
        <w:trPr>
          <w:jc w:val="center"/>
        </w:trPr>
        <w:tc>
          <w:tcPr>
            <w:tcW w:w="0" w:type="auto"/>
            <w:shd w:val="clear" w:color="auto" w:fill="auto"/>
            <w:noWrap/>
            <w:vAlign w:val="center"/>
            <w:hideMark/>
          </w:tcPr>
          <w:p w:rsidR="00523B88" w:rsidRPr="00FD42D4" w:rsidRDefault="00523B88" w:rsidP="00523B88">
            <w:pPr>
              <w:keepNext/>
              <w:keepLines/>
              <w:spacing w:after="0"/>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 xml:space="preserve">Attic </w:t>
            </w:r>
            <w:r>
              <w:rPr>
                <w:rFonts w:ascii="Calibri" w:eastAsia="Times New Roman" w:hAnsi="Calibri" w:cs="Times New Roman"/>
                <w:color w:val="000000"/>
                <w:sz w:val="20"/>
                <w:szCs w:val="20"/>
              </w:rPr>
              <w:t>I</w:t>
            </w:r>
            <w:r w:rsidRPr="00FD42D4">
              <w:rPr>
                <w:rFonts w:ascii="Calibri" w:eastAsia="Times New Roman" w:hAnsi="Calibri" w:cs="Times New Roman"/>
                <w:color w:val="000000"/>
                <w:sz w:val="20"/>
                <w:szCs w:val="20"/>
              </w:rPr>
              <w:t>nsulation</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-51.68</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26.36</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-1.96</w:t>
            </w:r>
          </w:p>
        </w:tc>
        <w:tc>
          <w:tcPr>
            <w:tcW w:w="0" w:type="auto"/>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0.0501</w:t>
            </w:r>
          </w:p>
        </w:tc>
      </w:tr>
      <w:tr w:rsidR="00523B88" w:rsidRPr="00FD42D4" w:rsidTr="00523B88">
        <w:trPr>
          <w:jc w:val="center"/>
        </w:trPr>
        <w:tc>
          <w:tcPr>
            <w:tcW w:w="0" w:type="auto"/>
            <w:tcBorders>
              <w:bottom w:val="single" w:sz="4" w:space="0" w:color="BFBFBF"/>
            </w:tcBorders>
            <w:shd w:val="clear" w:color="auto" w:fill="auto"/>
            <w:noWrap/>
            <w:vAlign w:val="center"/>
            <w:hideMark/>
          </w:tcPr>
          <w:p w:rsidR="00523B88" w:rsidRPr="00FD42D4" w:rsidRDefault="00523B88" w:rsidP="00523B88">
            <w:pPr>
              <w:keepNext/>
              <w:keepLines/>
              <w:spacing w:after="0"/>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 xml:space="preserve">Wall </w:t>
            </w:r>
            <w:r>
              <w:rPr>
                <w:rFonts w:ascii="Calibri" w:eastAsia="Times New Roman" w:hAnsi="Calibri" w:cs="Times New Roman"/>
                <w:color w:val="000000"/>
                <w:sz w:val="20"/>
                <w:szCs w:val="20"/>
              </w:rPr>
              <w:t>I</w:t>
            </w:r>
            <w:r w:rsidRPr="00FD42D4">
              <w:rPr>
                <w:rFonts w:ascii="Calibri" w:eastAsia="Times New Roman" w:hAnsi="Calibri" w:cs="Times New Roman"/>
                <w:color w:val="000000"/>
                <w:sz w:val="20"/>
                <w:szCs w:val="20"/>
              </w:rPr>
              <w:t>nsulation</w:t>
            </w:r>
          </w:p>
        </w:tc>
        <w:tc>
          <w:tcPr>
            <w:tcW w:w="0" w:type="auto"/>
            <w:tcBorders>
              <w:bottom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-102.17</w:t>
            </w:r>
          </w:p>
        </w:tc>
        <w:tc>
          <w:tcPr>
            <w:tcW w:w="0" w:type="auto"/>
            <w:tcBorders>
              <w:bottom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68.10</w:t>
            </w:r>
          </w:p>
        </w:tc>
        <w:tc>
          <w:tcPr>
            <w:tcW w:w="0" w:type="auto"/>
            <w:tcBorders>
              <w:bottom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-1.50</w:t>
            </w:r>
          </w:p>
        </w:tc>
        <w:tc>
          <w:tcPr>
            <w:tcW w:w="0" w:type="auto"/>
            <w:tcBorders>
              <w:bottom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0.1337</w:t>
            </w:r>
          </w:p>
        </w:tc>
      </w:tr>
    </w:tbl>
    <w:p w:rsidR="00523B88" w:rsidRDefault="00523B88" w:rsidP="004D1F89">
      <w:pPr>
        <w:pStyle w:val="NormalAfterTablesandFigures"/>
      </w:pPr>
    </w:p>
    <w:p w:rsidR="00523B88" w:rsidRPr="00FD42D4" w:rsidRDefault="00523B88" w:rsidP="00523B88">
      <w:pPr>
        <w:pStyle w:val="Caption"/>
        <w:spacing w:after="0"/>
        <w:rPr>
          <w:szCs w:val="22"/>
        </w:rPr>
      </w:pPr>
      <w:r w:rsidRPr="00FD42D4">
        <w:rPr>
          <w:szCs w:val="22"/>
        </w:rPr>
        <w:lastRenderedPageBreak/>
        <w:t xml:space="preserve">Table </w:t>
      </w:r>
      <w:r w:rsidR="005C2163" w:rsidRPr="00FD42D4">
        <w:rPr>
          <w:szCs w:val="22"/>
        </w:rPr>
        <w:fldChar w:fldCharType="begin"/>
      </w:r>
      <w:r w:rsidRPr="00FD42D4">
        <w:rPr>
          <w:szCs w:val="22"/>
        </w:rPr>
        <w:instrText xml:space="preserve"> SEQ Table \* ARABIC </w:instrText>
      </w:r>
      <w:r w:rsidR="005C2163" w:rsidRPr="00FD42D4">
        <w:rPr>
          <w:szCs w:val="22"/>
        </w:rPr>
        <w:fldChar w:fldCharType="separate"/>
      </w:r>
      <w:r w:rsidR="00CD20CF">
        <w:rPr>
          <w:noProof/>
          <w:szCs w:val="22"/>
        </w:rPr>
        <w:t>83</w:t>
      </w:r>
      <w:r w:rsidR="005C2163" w:rsidRPr="00FD42D4">
        <w:rPr>
          <w:szCs w:val="22"/>
        </w:rPr>
        <w:fldChar w:fldCharType="end"/>
      </w:r>
      <w:r w:rsidRPr="00FD42D4">
        <w:rPr>
          <w:szCs w:val="22"/>
        </w:rPr>
        <w:t xml:space="preserve">. HESIE </w:t>
      </w:r>
      <w:r>
        <w:rPr>
          <w:szCs w:val="22"/>
        </w:rPr>
        <w:t>Gas Complex Model Specification</w:t>
      </w:r>
    </w:p>
    <w:tbl>
      <w:tblPr>
        <w:tblW w:w="5000" w:type="pct"/>
        <w:jc w:val="center"/>
        <w:tblLook w:val="04A0" w:firstRow="1" w:lastRow="0" w:firstColumn="1" w:lastColumn="0" w:noHBand="0" w:noVBand="1"/>
      </w:tblPr>
      <w:tblGrid>
        <w:gridCol w:w="3038"/>
        <w:gridCol w:w="2381"/>
        <w:gridCol w:w="1821"/>
        <w:gridCol w:w="1256"/>
        <w:gridCol w:w="1080"/>
      </w:tblGrid>
      <w:tr w:rsidR="00523B88" w:rsidRPr="00FD42D4" w:rsidTr="00523B88">
        <w:trPr>
          <w:jc w:val="center"/>
        </w:trPr>
        <w:tc>
          <w:tcPr>
            <w:tcW w:w="0" w:type="auto"/>
            <w:tcBorders>
              <w:top w:val="single" w:sz="4" w:space="0" w:color="BFBFBF"/>
              <w:left w:val="single" w:sz="4" w:space="0" w:color="BFBFBF"/>
              <w:bottom w:val="single" w:sz="4" w:space="0" w:color="BFBFBF"/>
              <w:right w:val="single" w:sz="4" w:space="0" w:color="BFBFBF"/>
            </w:tcBorders>
            <w:shd w:val="clear" w:color="000000" w:fill="005DAA"/>
            <w:noWrap/>
            <w:vAlign w:val="center"/>
            <w:hideMark/>
          </w:tcPr>
          <w:p w:rsidR="00523B88" w:rsidRPr="00FD42D4" w:rsidRDefault="00523B88" w:rsidP="00523B88">
            <w:pPr>
              <w:keepNext/>
              <w:keepLines/>
              <w:spacing w:after="0"/>
              <w:jc w:val="center"/>
              <w:rPr>
                <w:rFonts w:ascii="Calibri" w:eastAsia="Times New Roman" w:hAnsi="Calibri" w:cs="Times New Roman"/>
                <w:b/>
                <w:bCs/>
                <w:color w:val="FFFFFF"/>
              </w:rPr>
            </w:pPr>
            <w:r w:rsidRPr="00FD42D4">
              <w:rPr>
                <w:rFonts w:ascii="Calibri" w:eastAsia="Times New Roman" w:hAnsi="Calibri" w:cs="Times New Roman"/>
                <w:b/>
                <w:bCs/>
                <w:color w:val="FFFFFF"/>
              </w:rPr>
              <w:t>Variable</w:t>
            </w:r>
          </w:p>
        </w:tc>
        <w:tc>
          <w:tcPr>
            <w:tcW w:w="0" w:type="auto"/>
            <w:tcBorders>
              <w:top w:val="single" w:sz="4" w:space="0" w:color="BFBFBF"/>
              <w:left w:val="nil"/>
              <w:bottom w:val="single" w:sz="4" w:space="0" w:color="BFBFBF"/>
              <w:right w:val="single" w:sz="4" w:space="0" w:color="BFBFBF"/>
            </w:tcBorders>
            <w:shd w:val="clear" w:color="000000" w:fill="005DAA"/>
            <w:noWrap/>
            <w:vAlign w:val="center"/>
            <w:hideMark/>
          </w:tcPr>
          <w:p w:rsidR="00523B88" w:rsidRPr="00FD42D4" w:rsidRDefault="00523B88" w:rsidP="00523B88">
            <w:pPr>
              <w:keepNext/>
              <w:keepLines/>
              <w:spacing w:after="0"/>
              <w:jc w:val="center"/>
              <w:rPr>
                <w:rFonts w:ascii="Calibri" w:eastAsia="Times New Roman" w:hAnsi="Calibri" w:cs="Times New Roman"/>
                <w:b/>
                <w:bCs/>
                <w:color w:val="FFFFFF"/>
              </w:rPr>
            </w:pPr>
            <w:r w:rsidRPr="00FD42D4">
              <w:rPr>
                <w:rFonts w:ascii="Calibri" w:eastAsia="Times New Roman" w:hAnsi="Calibri" w:cs="Times New Roman"/>
                <w:b/>
                <w:bCs/>
                <w:color w:val="FFFFFF"/>
              </w:rPr>
              <w:t>Parameter Estimate</w:t>
            </w:r>
          </w:p>
        </w:tc>
        <w:tc>
          <w:tcPr>
            <w:tcW w:w="0" w:type="auto"/>
            <w:tcBorders>
              <w:top w:val="single" w:sz="4" w:space="0" w:color="BFBFBF"/>
              <w:left w:val="nil"/>
              <w:bottom w:val="single" w:sz="4" w:space="0" w:color="BFBFBF"/>
              <w:right w:val="single" w:sz="4" w:space="0" w:color="BFBFBF"/>
            </w:tcBorders>
            <w:shd w:val="clear" w:color="000000" w:fill="005DAA"/>
            <w:noWrap/>
            <w:vAlign w:val="center"/>
            <w:hideMark/>
          </w:tcPr>
          <w:p w:rsidR="00523B88" w:rsidRPr="00FD42D4" w:rsidRDefault="00523B88" w:rsidP="00523B88">
            <w:pPr>
              <w:keepNext/>
              <w:keepLines/>
              <w:spacing w:after="0"/>
              <w:jc w:val="center"/>
              <w:rPr>
                <w:rFonts w:ascii="Calibri" w:eastAsia="Times New Roman" w:hAnsi="Calibri" w:cs="Times New Roman"/>
                <w:b/>
                <w:bCs/>
                <w:color w:val="FFFFFF"/>
              </w:rPr>
            </w:pPr>
            <w:r w:rsidRPr="00FD42D4">
              <w:rPr>
                <w:rFonts w:ascii="Calibri" w:eastAsia="Times New Roman" w:hAnsi="Calibri" w:cs="Times New Roman"/>
                <w:b/>
                <w:bCs/>
                <w:color w:val="FFFFFF"/>
              </w:rPr>
              <w:t>Standard Error</w:t>
            </w:r>
          </w:p>
        </w:tc>
        <w:tc>
          <w:tcPr>
            <w:tcW w:w="0" w:type="auto"/>
            <w:tcBorders>
              <w:top w:val="single" w:sz="4" w:space="0" w:color="BFBFBF"/>
              <w:left w:val="nil"/>
              <w:bottom w:val="single" w:sz="4" w:space="0" w:color="BFBFBF"/>
              <w:right w:val="single" w:sz="4" w:space="0" w:color="BFBFBF"/>
            </w:tcBorders>
            <w:shd w:val="clear" w:color="000000" w:fill="005DAA"/>
            <w:noWrap/>
            <w:vAlign w:val="center"/>
            <w:hideMark/>
          </w:tcPr>
          <w:p w:rsidR="00523B88" w:rsidRPr="00FD42D4" w:rsidRDefault="00523B88" w:rsidP="00523B88">
            <w:pPr>
              <w:keepNext/>
              <w:keepLines/>
              <w:spacing w:after="0"/>
              <w:jc w:val="center"/>
              <w:rPr>
                <w:rFonts w:ascii="Calibri" w:eastAsia="Times New Roman" w:hAnsi="Calibri" w:cs="Times New Roman"/>
                <w:b/>
                <w:bCs/>
                <w:color w:val="FFFFFF"/>
              </w:rPr>
            </w:pPr>
            <w:r w:rsidRPr="00FD42D4">
              <w:rPr>
                <w:rFonts w:ascii="Calibri" w:eastAsia="Times New Roman" w:hAnsi="Calibri" w:cs="Times New Roman"/>
                <w:b/>
                <w:bCs/>
                <w:color w:val="FFFFFF"/>
              </w:rPr>
              <w:t>t-statistic</w:t>
            </w:r>
          </w:p>
        </w:tc>
        <w:tc>
          <w:tcPr>
            <w:tcW w:w="0" w:type="auto"/>
            <w:tcBorders>
              <w:top w:val="single" w:sz="4" w:space="0" w:color="BFBFBF"/>
              <w:left w:val="nil"/>
              <w:bottom w:val="single" w:sz="4" w:space="0" w:color="BFBFBF"/>
              <w:right w:val="single" w:sz="4" w:space="0" w:color="BFBFBF"/>
            </w:tcBorders>
            <w:shd w:val="clear" w:color="000000" w:fill="005DAA"/>
            <w:noWrap/>
            <w:vAlign w:val="center"/>
            <w:hideMark/>
          </w:tcPr>
          <w:p w:rsidR="00523B88" w:rsidRPr="00FD42D4" w:rsidRDefault="00523B88" w:rsidP="00523B88">
            <w:pPr>
              <w:keepNext/>
              <w:keepLines/>
              <w:spacing w:after="0"/>
              <w:jc w:val="center"/>
              <w:rPr>
                <w:rFonts w:ascii="Calibri" w:eastAsia="Times New Roman" w:hAnsi="Calibri" w:cs="Times New Roman"/>
                <w:b/>
                <w:bCs/>
                <w:color w:val="FFFFFF"/>
              </w:rPr>
            </w:pPr>
            <w:r w:rsidRPr="00FD42D4">
              <w:rPr>
                <w:rFonts w:ascii="Calibri" w:eastAsia="Times New Roman" w:hAnsi="Calibri" w:cs="Times New Roman"/>
                <w:b/>
                <w:bCs/>
                <w:color w:val="FFFFFF"/>
              </w:rPr>
              <w:t>p-Value</w:t>
            </w:r>
          </w:p>
        </w:tc>
      </w:tr>
      <w:tr w:rsidR="00523B88" w:rsidRPr="00FD42D4" w:rsidTr="00523B88">
        <w:trPr>
          <w:jc w:val="center"/>
        </w:trPr>
        <w:tc>
          <w:tcPr>
            <w:tcW w:w="0" w:type="auto"/>
            <w:tcBorders>
              <w:top w:val="nil"/>
              <w:left w:val="single" w:sz="4" w:space="0" w:color="BFBFBF"/>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Air S</w:t>
            </w:r>
            <w:r w:rsidRPr="00FD42D4">
              <w:rPr>
                <w:rFonts w:ascii="Calibri" w:eastAsia="Times New Roman" w:hAnsi="Calibri" w:cs="Times New Roman"/>
                <w:color w:val="000000"/>
                <w:sz w:val="20"/>
                <w:szCs w:val="20"/>
              </w:rPr>
              <w:t>ealing</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-30.32</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5.29</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-5.74</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0.0000</w:t>
            </w:r>
          </w:p>
        </w:tc>
      </w:tr>
      <w:tr w:rsidR="00523B88" w:rsidRPr="00FD42D4" w:rsidTr="00523B88">
        <w:trPr>
          <w:jc w:val="center"/>
        </w:trPr>
        <w:tc>
          <w:tcPr>
            <w:tcW w:w="0" w:type="auto"/>
            <w:tcBorders>
              <w:top w:val="nil"/>
              <w:left w:val="single" w:sz="4" w:space="0" w:color="BFBFBF"/>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 xml:space="preserve">Duct </w:t>
            </w:r>
            <w:r>
              <w:rPr>
                <w:rFonts w:ascii="Calibri" w:eastAsia="Times New Roman" w:hAnsi="Calibri" w:cs="Times New Roman"/>
                <w:color w:val="000000"/>
                <w:sz w:val="20"/>
                <w:szCs w:val="20"/>
              </w:rPr>
              <w:t>S</w:t>
            </w:r>
            <w:r w:rsidRPr="00FD42D4">
              <w:rPr>
                <w:rFonts w:ascii="Calibri" w:eastAsia="Times New Roman" w:hAnsi="Calibri" w:cs="Times New Roman"/>
                <w:color w:val="000000"/>
                <w:sz w:val="20"/>
                <w:szCs w:val="20"/>
              </w:rPr>
              <w:t>ealing</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-13.07</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16.00</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-0.82</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0.4141</w:t>
            </w:r>
          </w:p>
        </w:tc>
      </w:tr>
      <w:tr w:rsidR="00523B88" w:rsidRPr="00FD42D4" w:rsidTr="00523B88">
        <w:trPr>
          <w:jc w:val="center"/>
        </w:trPr>
        <w:tc>
          <w:tcPr>
            <w:tcW w:w="0" w:type="auto"/>
            <w:tcBorders>
              <w:top w:val="nil"/>
              <w:left w:val="single" w:sz="4" w:space="0" w:color="BFBFBF"/>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Pipe I</w:t>
            </w:r>
            <w:r w:rsidRPr="00FD42D4">
              <w:rPr>
                <w:rFonts w:ascii="Calibri" w:eastAsia="Times New Roman" w:hAnsi="Calibri" w:cs="Times New Roman"/>
                <w:color w:val="000000"/>
                <w:sz w:val="20"/>
                <w:szCs w:val="20"/>
              </w:rPr>
              <w:t>nsulation</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3.14</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7.66</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0.41</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0.6815</w:t>
            </w:r>
          </w:p>
        </w:tc>
      </w:tr>
      <w:tr w:rsidR="00523B88" w:rsidRPr="00FD42D4" w:rsidTr="00523B88">
        <w:trPr>
          <w:jc w:val="center"/>
        </w:trPr>
        <w:tc>
          <w:tcPr>
            <w:tcW w:w="0" w:type="auto"/>
            <w:tcBorders>
              <w:top w:val="nil"/>
              <w:left w:val="single" w:sz="4" w:space="0" w:color="BFBFBF"/>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 xml:space="preserve">Water </w:t>
            </w:r>
            <w:r>
              <w:rPr>
                <w:rFonts w:ascii="Calibri" w:eastAsia="Times New Roman" w:hAnsi="Calibri" w:cs="Times New Roman"/>
                <w:color w:val="000000"/>
                <w:sz w:val="20"/>
                <w:szCs w:val="20"/>
              </w:rPr>
              <w:t>H</w:t>
            </w:r>
            <w:r w:rsidRPr="00FD42D4">
              <w:rPr>
                <w:rFonts w:ascii="Calibri" w:eastAsia="Times New Roman" w:hAnsi="Calibri" w:cs="Times New Roman"/>
                <w:color w:val="000000"/>
                <w:sz w:val="20"/>
                <w:szCs w:val="20"/>
              </w:rPr>
              <w:t>eater</w:t>
            </w:r>
            <w:r>
              <w:rPr>
                <w:rFonts w:ascii="Calibri" w:eastAsia="Times New Roman" w:hAnsi="Calibri" w:cs="Times New Roman"/>
                <w:color w:val="000000"/>
                <w:sz w:val="20"/>
                <w:szCs w:val="20"/>
              </w:rPr>
              <w:t xml:space="preserve"> Temp Setback</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-9.64</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7.86</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-1.23</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0.2201</w:t>
            </w:r>
          </w:p>
        </w:tc>
      </w:tr>
      <w:tr w:rsidR="00523B88" w:rsidRPr="00FD42D4" w:rsidTr="00523B88">
        <w:trPr>
          <w:jc w:val="center"/>
        </w:trPr>
        <w:tc>
          <w:tcPr>
            <w:tcW w:w="0" w:type="auto"/>
            <w:tcBorders>
              <w:top w:val="nil"/>
              <w:left w:val="single" w:sz="4" w:space="0" w:color="BFBFBF"/>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Heating System R</w:t>
            </w:r>
            <w:r w:rsidRPr="00FD42D4">
              <w:rPr>
                <w:rFonts w:ascii="Calibri" w:eastAsia="Times New Roman" w:hAnsi="Calibri" w:cs="Times New Roman"/>
                <w:color w:val="000000"/>
                <w:sz w:val="20"/>
                <w:szCs w:val="20"/>
              </w:rPr>
              <w:t>eplacement</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-103.42</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8.81</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-11.73</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0.0000</w:t>
            </w:r>
          </w:p>
        </w:tc>
      </w:tr>
      <w:tr w:rsidR="00523B88" w:rsidRPr="00FD42D4" w:rsidTr="00523B88">
        <w:trPr>
          <w:jc w:val="center"/>
        </w:trPr>
        <w:tc>
          <w:tcPr>
            <w:tcW w:w="0" w:type="auto"/>
            <w:tcBorders>
              <w:top w:val="nil"/>
              <w:left w:val="single" w:sz="4" w:space="0" w:color="BFBFBF"/>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Windows</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-64.64</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21.66</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-2.98</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0.0029</w:t>
            </w:r>
          </w:p>
        </w:tc>
      </w:tr>
      <w:tr w:rsidR="00523B88" w:rsidRPr="00FD42D4" w:rsidTr="00523B88">
        <w:trPr>
          <w:jc w:val="center"/>
        </w:trPr>
        <w:tc>
          <w:tcPr>
            <w:tcW w:w="0" w:type="auto"/>
            <w:tcBorders>
              <w:top w:val="nil"/>
              <w:left w:val="single" w:sz="4" w:space="0" w:color="BFBFBF"/>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Other</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33.28</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13.30</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2.50</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0.0124</w:t>
            </w:r>
          </w:p>
        </w:tc>
      </w:tr>
      <w:tr w:rsidR="00523B88" w:rsidRPr="00FD42D4" w:rsidTr="00523B88">
        <w:trPr>
          <w:jc w:val="center"/>
        </w:trPr>
        <w:tc>
          <w:tcPr>
            <w:tcW w:w="0" w:type="auto"/>
            <w:tcBorders>
              <w:top w:val="nil"/>
              <w:left w:val="single" w:sz="4" w:space="0" w:color="BFBFBF"/>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DHW Bundle</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-36.08</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5.66</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-6.38</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0.0000</w:t>
            </w:r>
          </w:p>
        </w:tc>
      </w:tr>
      <w:tr w:rsidR="00523B88" w:rsidRPr="00FD42D4" w:rsidTr="00523B88">
        <w:trPr>
          <w:jc w:val="center"/>
        </w:trPr>
        <w:tc>
          <w:tcPr>
            <w:tcW w:w="0" w:type="auto"/>
            <w:tcBorders>
              <w:top w:val="nil"/>
              <w:left w:val="single" w:sz="4" w:space="0" w:color="BFBFBF"/>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 xml:space="preserve">Attic </w:t>
            </w:r>
            <w:r>
              <w:rPr>
                <w:rFonts w:ascii="Calibri" w:eastAsia="Times New Roman" w:hAnsi="Calibri" w:cs="Times New Roman"/>
                <w:color w:val="000000"/>
                <w:sz w:val="20"/>
                <w:szCs w:val="20"/>
              </w:rPr>
              <w:t>I</w:t>
            </w:r>
            <w:r w:rsidRPr="00FD42D4">
              <w:rPr>
                <w:rFonts w:ascii="Calibri" w:eastAsia="Times New Roman" w:hAnsi="Calibri" w:cs="Times New Roman"/>
                <w:color w:val="000000"/>
                <w:sz w:val="20"/>
                <w:szCs w:val="20"/>
              </w:rPr>
              <w:t>nsulation</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-44.00</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14.88</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-2.96</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0.0032</w:t>
            </w:r>
          </w:p>
        </w:tc>
      </w:tr>
      <w:tr w:rsidR="00523B88" w:rsidRPr="00FD42D4" w:rsidTr="00523B88">
        <w:trPr>
          <w:jc w:val="center"/>
        </w:trPr>
        <w:tc>
          <w:tcPr>
            <w:tcW w:w="0" w:type="auto"/>
            <w:tcBorders>
              <w:top w:val="nil"/>
              <w:left w:val="single" w:sz="4" w:space="0" w:color="BFBFBF"/>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 xml:space="preserve">Wall </w:t>
            </w:r>
            <w:r>
              <w:rPr>
                <w:rFonts w:ascii="Calibri" w:eastAsia="Times New Roman" w:hAnsi="Calibri" w:cs="Times New Roman"/>
                <w:color w:val="000000"/>
                <w:sz w:val="20"/>
                <w:szCs w:val="20"/>
              </w:rPr>
              <w:t>I</w:t>
            </w:r>
            <w:r w:rsidRPr="00FD42D4">
              <w:rPr>
                <w:rFonts w:ascii="Calibri" w:eastAsia="Times New Roman" w:hAnsi="Calibri" w:cs="Times New Roman"/>
                <w:color w:val="000000"/>
                <w:sz w:val="20"/>
                <w:szCs w:val="20"/>
              </w:rPr>
              <w:t>nsulation</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-90.95</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16.81</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-5.41</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0.0000</w:t>
            </w:r>
          </w:p>
        </w:tc>
      </w:tr>
      <w:tr w:rsidR="00523B88" w:rsidRPr="00FD42D4" w:rsidTr="00523B88">
        <w:trPr>
          <w:jc w:val="center"/>
        </w:trPr>
        <w:tc>
          <w:tcPr>
            <w:tcW w:w="0" w:type="auto"/>
            <w:tcBorders>
              <w:top w:val="nil"/>
              <w:left w:val="single" w:sz="4" w:space="0" w:color="BFBFBF"/>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Appliance</w:t>
            </w:r>
            <w:r>
              <w:rPr>
                <w:rFonts w:ascii="Calibri" w:eastAsia="Times New Roman" w:hAnsi="Calibri" w:cs="Times New Roman"/>
                <w:color w:val="000000"/>
                <w:sz w:val="20"/>
                <w:szCs w:val="20"/>
              </w:rPr>
              <w:t xml:space="preserve"> Other</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-52.88</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48.70</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-1.09</w:t>
            </w:r>
          </w:p>
        </w:tc>
        <w:tc>
          <w:tcPr>
            <w:tcW w:w="0" w:type="auto"/>
            <w:tcBorders>
              <w:top w:val="nil"/>
              <w:left w:val="nil"/>
              <w:bottom w:val="single" w:sz="4" w:space="0" w:color="BFBFBF"/>
              <w:right w:val="single" w:sz="4" w:space="0" w:color="BFBFBF"/>
            </w:tcBorders>
            <w:shd w:val="clear" w:color="auto" w:fill="auto"/>
            <w:noWrap/>
            <w:vAlign w:val="center"/>
            <w:hideMark/>
          </w:tcPr>
          <w:p w:rsidR="00523B88" w:rsidRPr="00FD42D4" w:rsidRDefault="00523B88" w:rsidP="00523B88">
            <w:pPr>
              <w:keepNext/>
              <w:keepLines/>
              <w:spacing w:after="0"/>
              <w:jc w:val="right"/>
              <w:rPr>
                <w:rFonts w:ascii="Calibri" w:eastAsia="Times New Roman" w:hAnsi="Calibri" w:cs="Times New Roman"/>
                <w:color w:val="000000"/>
                <w:sz w:val="20"/>
                <w:szCs w:val="20"/>
              </w:rPr>
            </w:pPr>
            <w:r w:rsidRPr="00FD42D4">
              <w:rPr>
                <w:rFonts w:ascii="Calibri" w:eastAsia="Times New Roman" w:hAnsi="Calibri" w:cs="Times New Roman"/>
                <w:color w:val="000000"/>
                <w:sz w:val="20"/>
                <w:szCs w:val="20"/>
              </w:rPr>
              <w:t>0.2778</w:t>
            </w:r>
          </w:p>
        </w:tc>
      </w:tr>
    </w:tbl>
    <w:p w:rsidR="00523B88" w:rsidRDefault="00523B88" w:rsidP="004D1F89">
      <w:pPr>
        <w:pStyle w:val="NormalAfterTablesandFigures"/>
      </w:pPr>
    </w:p>
    <w:p w:rsidR="00523B88" w:rsidRPr="004D1F89" w:rsidRDefault="00523B88" w:rsidP="004D1F89">
      <w:pPr>
        <w:spacing w:before="200" w:after="0"/>
        <w:rPr>
          <w:b/>
          <w:i/>
          <w:color w:val="898A17"/>
          <w:sz w:val="29"/>
          <w:szCs w:val="29"/>
        </w:rPr>
      </w:pPr>
      <w:r w:rsidRPr="004D1F89">
        <w:rPr>
          <w:b/>
          <w:i/>
          <w:color w:val="898A17"/>
          <w:sz w:val="29"/>
          <w:szCs w:val="29"/>
        </w:rPr>
        <w:t>SP1 and SP4 Model Specification</w:t>
      </w:r>
    </w:p>
    <w:p w:rsidR="00523B88" w:rsidRDefault="006D1551" w:rsidP="004D1F89">
      <w:r>
        <w:t xml:space="preserve">The </w:t>
      </w:r>
      <w:r w:rsidR="00523B88">
        <w:t>Vol</w:t>
      </w:r>
      <w:r>
        <w:t xml:space="preserve">ume </w:t>
      </w:r>
      <w:r w:rsidR="00523B88">
        <w:t xml:space="preserve">1 report </w:t>
      </w:r>
      <w:r>
        <w:t xml:space="preserve">provides </w:t>
      </w:r>
      <w:r w:rsidR="00523B88">
        <w:t>whole-house model specification</w:t>
      </w:r>
      <w:r w:rsidR="007851DE">
        <w:t>s</w:t>
      </w:r>
      <w:r w:rsidR="00523B88">
        <w:t xml:space="preserve"> </w:t>
      </w:r>
      <w:r w:rsidR="007851DE">
        <w:t xml:space="preserve">for the </w:t>
      </w:r>
      <w:r w:rsidR="00523B88">
        <w:t>HES and HES-IE programs.</w:t>
      </w:r>
    </w:p>
    <w:p w:rsidR="00943827" w:rsidRDefault="00943827" w:rsidP="00943827">
      <w:pPr>
        <w:pStyle w:val="Heading1"/>
      </w:pPr>
      <w:bookmarkStart w:id="141" w:name="_Ref382737859"/>
      <w:bookmarkStart w:id="142" w:name="_Ref382737866"/>
      <w:bookmarkStart w:id="143" w:name="_Ref382737875"/>
      <w:bookmarkStart w:id="144" w:name="_Ref382737878"/>
      <w:bookmarkStart w:id="145" w:name="_Ref388169250"/>
      <w:bookmarkStart w:id="146" w:name="_Toc389663855"/>
      <w:r>
        <w:lastRenderedPageBreak/>
        <w:t xml:space="preserve">Appendix B. </w:t>
      </w:r>
      <w:bookmarkEnd w:id="141"/>
      <w:bookmarkEnd w:id="142"/>
      <w:bookmarkEnd w:id="143"/>
      <w:bookmarkEnd w:id="144"/>
      <w:r w:rsidR="003369D1">
        <w:t>Engineering Algorithms</w:t>
      </w:r>
      <w:bookmarkEnd w:id="145"/>
      <w:bookmarkEnd w:id="146"/>
    </w:p>
    <w:p w:rsidR="005A6579" w:rsidRDefault="005A6579" w:rsidP="005A6579">
      <w:r>
        <w:t xml:space="preserve">This section presents a more detailed engineering review for several program measures. The </w:t>
      </w:r>
      <w:r w:rsidR="004A5D9D">
        <w:t xml:space="preserve">review references the </w:t>
      </w:r>
      <w:r>
        <w:t xml:space="preserve">sources </w:t>
      </w:r>
      <w:r w:rsidR="004A5D9D">
        <w:t xml:space="preserve">shown in </w:t>
      </w:r>
      <w:r w:rsidR="005C2163">
        <w:fldChar w:fldCharType="begin"/>
      </w:r>
      <w:r w:rsidR="004A5D9D">
        <w:instrText xml:space="preserve"> REF _Ref389219440 \h </w:instrText>
      </w:r>
      <w:r w:rsidR="005C2163">
        <w:fldChar w:fldCharType="separate"/>
      </w:r>
      <w:r w:rsidR="00CD20CF">
        <w:t xml:space="preserve">Table </w:t>
      </w:r>
      <w:r w:rsidR="00CD20CF">
        <w:rPr>
          <w:noProof/>
        </w:rPr>
        <w:t>84</w:t>
      </w:r>
      <w:r w:rsidR="005C2163">
        <w:fldChar w:fldCharType="end"/>
      </w:r>
      <w:r w:rsidR="004A5D9D">
        <w:t>.</w:t>
      </w:r>
    </w:p>
    <w:p w:rsidR="005A6579" w:rsidRDefault="005A6579" w:rsidP="005A6579">
      <w:pPr>
        <w:pStyle w:val="Caption"/>
      </w:pPr>
      <w:bookmarkStart w:id="147" w:name="_Ref389219440"/>
      <w:r>
        <w:t xml:space="preserve">Table </w:t>
      </w:r>
      <w:r w:rsidR="002506E1">
        <w:fldChar w:fldCharType="begin"/>
      </w:r>
      <w:r w:rsidR="002506E1">
        <w:instrText xml:space="preserve"> SEQ Table \* ARAB</w:instrText>
      </w:r>
      <w:r w:rsidR="002506E1">
        <w:instrText xml:space="preserve">IC </w:instrText>
      </w:r>
      <w:r w:rsidR="002506E1">
        <w:fldChar w:fldCharType="separate"/>
      </w:r>
      <w:r w:rsidR="00CD20CF">
        <w:rPr>
          <w:noProof/>
        </w:rPr>
        <w:t>84</w:t>
      </w:r>
      <w:r w:rsidR="002506E1">
        <w:rPr>
          <w:noProof/>
        </w:rPr>
        <w:fldChar w:fldCharType="end"/>
      </w:r>
      <w:bookmarkEnd w:id="147"/>
      <w:r>
        <w:t>. Sources used in Engineering Algorithm Review</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21"/>
        <w:gridCol w:w="7555"/>
      </w:tblGrid>
      <w:tr w:rsidR="005A6579" w:rsidRPr="005A6579" w:rsidTr="00216CA2">
        <w:tc>
          <w:tcPr>
            <w:tcW w:w="1055" w:type="pct"/>
            <w:shd w:val="clear" w:color="000000" w:fill="005DAA"/>
            <w:vAlign w:val="center"/>
            <w:hideMark/>
          </w:tcPr>
          <w:p w:rsidR="005A6579" w:rsidRPr="00216CA2" w:rsidRDefault="005A6579" w:rsidP="00216CA2">
            <w:pPr>
              <w:spacing w:after="0"/>
              <w:jc w:val="center"/>
              <w:rPr>
                <w:rFonts w:ascii="Calibri" w:eastAsia="Times New Roman" w:hAnsi="Calibri" w:cs="Times New Roman"/>
                <w:b/>
                <w:bCs/>
                <w:color w:val="FFFFFF"/>
              </w:rPr>
            </w:pPr>
            <w:r w:rsidRPr="00216CA2">
              <w:rPr>
                <w:rFonts w:ascii="Calibri" w:eastAsia="Times New Roman" w:hAnsi="Calibri" w:cs="Times New Roman"/>
                <w:b/>
                <w:bCs/>
                <w:color w:val="FFFFFF"/>
              </w:rPr>
              <w:t>Source</w:t>
            </w:r>
          </w:p>
        </w:tc>
        <w:tc>
          <w:tcPr>
            <w:tcW w:w="3945" w:type="pct"/>
            <w:shd w:val="clear" w:color="000000" w:fill="005DAA"/>
            <w:vAlign w:val="center"/>
            <w:hideMark/>
          </w:tcPr>
          <w:p w:rsidR="005A6579" w:rsidRPr="00216CA2" w:rsidRDefault="005A6579" w:rsidP="00216CA2">
            <w:pPr>
              <w:spacing w:after="0"/>
              <w:jc w:val="center"/>
              <w:rPr>
                <w:rFonts w:ascii="Calibri" w:eastAsia="Times New Roman" w:hAnsi="Calibri" w:cs="Times New Roman"/>
                <w:b/>
                <w:bCs/>
                <w:color w:val="FFFFFF"/>
              </w:rPr>
            </w:pPr>
            <w:r w:rsidRPr="00216CA2">
              <w:rPr>
                <w:rFonts w:ascii="Calibri" w:eastAsia="Times New Roman" w:hAnsi="Calibri" w:cs="Times New Roman"/>
                <w:b/>
                <w:bCs/>
                <w:color w:val="FFFFFF"/>
              </w:rPr>
              <w:t>Reference</w:t>
            </w:r>
          </w:p>
        </w:tc>
      </w:tr>
      <w:tr w:rsidR="005A6579" w:rsidRPr="005A6579" w:rsidTr="00216CA2">
        <w:tc>
          <w:tcPr>
            <w:tcW w:w="1055" w:type="pct"/>
            <w:shd w:val="clear" w:color="auto" w:fill="auto"/>
            <w:vAlign w:val="center"/>
            <w:hideMark/>
          </w:tcPr>
          <w:p w:rsidR="005A6579" w:rsidRPr="00216CA2" w:rsidRDefault="005A6579" w:rsidP="00216CA2">
            <w:pPr>
              <w:spacing w:after="0"/>
              <w:rPr>
                <w:rFonts w:ascii="Calibri" w:eastAsia="Times New Roman" w:hAnsi="Calibri" w:cs="Times New Roman"/>
                <w:color w:val="000000"/>
                <w:sz w:val="20"/>
                <w:szCs w:val="20"/>
              </w:rPr>
            </w:pPr>
            <w:r w:rsidRPr="00216CA2">
              <w:rPr>
                <w:rFonts w:ascii="Calibri" w:eastAsia="Times New Roman" w:hAnsi="Calibri" w:cs="Times New Roman"/>
                <w:color w:val="000000"/>
                <w:sz w:val="20"/>
                <w:szCs w:val="20"/>
              </w:rPr>
              <w:t>Indiana TRM</w:t>
            </w:r>
          </w:p>
        </w:tc>
        <w:tc>
          <w:tcPr>
            <w:tcW w:w="3945" w:type="pct"/>
            <w:shd w:val="clear" w:color="auto" w:fill="auto"/>
            <w:vAlign w:val="center"/>
            <w:hideMark/>
          </w:tcPr>
          <w:p w:rsidR="005A6579" w:rsidRPr="00216CA2" w:rsidRDefault="005A6579" w:rsidP="00216CA2">
            <w:pPr>
              <w:spacing w:after="0"/>
              <w:rPr>
                <w:rFonts w:ascii="Calibri" w:eastAsia="Times New Roman" w:hAnsi="Calibri" w:cs="Times New Roman"/>
                <w:color w:val="000000"/>
                <w:sz w:val="20"/>
                <w:szCs w:val="20"/>
              </w:rPr>
            </w:pPr>
            <w:r w:rsidRPr="00216CA2">
              <w:rPr>
                <w:rFonts w:ascii="Calibri" w:eastAsia="Times New Roman" w:hAnsi="Calibri" w:cs="Times New Roman"/>
                <w:color w:val="000000"/>
                <w:sz w:val="20"/>
                <w:szCs w:val="20"/>
              </w:rPr>
              <w:t>Indiana Technical Reference Manual, Version 1.0.</w:t>
            </w:r>
            <w:r w:rsidR="00A41FEC">
              <w:rPr>
                <w:rFonts w:ascii="Calibri" w:eastAsia="Times New Roman" w:hAnsi="Calibri" w:cs="Times New Roman"/>
                <w:color w:val="000000"/>
                <w:sz w:val="20"/>
                <w:szCs w:val="20"/>
              </w:rPr>
              <w:t xml:space="preserve"> </w:t>
            </w:r>
            <w:r w:rsidRPr="00216CA2">
              <w:rPr>
                <w:rFonts w:ascii="Calibri" w:eastAsia="Times New Roman" w:hAnsi="Calibri" w:cs="Times New Roman"/>
                <w:color w:val="000000"/>
                <w:sz w:val="20"/>
                <w:szCs w:val="20"/>
              </w:rPr>
              <w:t>Prepared by TecMarket Works.</w:t>
            </w:r>
            <w:r w:rsidR="00A41FEC">
              <w:rPr>
                <w:rFonts w:ascii="Calibri" w:eastAsia="Times New Roman" w:hAnsi="Calibri" w:cs="Times New Roman"/>
                <w:color w:val="000000"/>
                <w:sz w:val="20"/>
                <w:szCs w:val="20"/>
              </w:rPr>
              <w:t xml:space="preserve"> </w:t>
            </w:r>
            <w:r w:rsidRPr="00216CA2">
              <w:rPr>
                <w:rFonts w:ascii="Calibri" w:eastAsia="Times New Roman" w:hAnsi="Calibri" w:cs="Times New Roman"/>
                <w:color w:val="000000"/>
                <w:sz w:val="20"/>
                <w:szCs w:val="20"/>
              </w:rPr>
              <w:t>January 10, 2013.</w:t>
            </w:r>
          </w:p>
        </w:tc>
      </w:tr>
      <w:tr w:rsidR="005A6579" w:rsidRPr="005A6579" w:rsidTr="00216CA2">
        <w:tc>
          <w:tcPr>
            <w:tcW w:w="1055" w:type="pct"/>
            <w:shd w:val="clear" w:color="auto" w:fill="auto"/>
            <w:vAlign w:val="center"/>
            <w:hideMark/>
          </w:tcPr>
          <w:p w:rsidR="005A6579" w:rsidRPr="00216CA2" w:rsidRDefault="005A6579" w:rsidP="00216CA2">
            <w:pPr>
              <w:spacing w:after="0"/>
              <w:rPr>
                <w:rFonts w:ascii="Calibri" w:eastAsia="Times New Roman" w:hAnsi="Calibri" w:cs="Times New Roman"/>
                <w:color w:val="000000"/>
                <w:sz w:val="20"/>
                <w:szCs w:val="20"/>
              </w:rPr>
            </w:pPr>
            <w:r w:rsidRPr="00216CA2">
              <w:rPr>
                <w:rFonts w:ascii="Calibri" w:eastAsia="Times New Roman" w:hAnsi="Calibri" w:cs="Times New Roman"/>
                <w:color w:val="000000"/>
                <w:sz w:val="20"/>
                <w:szCs w:val="20"/>
              </w:rPr>
              <w:t>Illinois TRM</w:t>
            </w:r>
          </w:p>
        </w:tc>
        <w:tc>
          <w:tcPr>
            <w:tcW w:w="3945" w:type="pct"/>
            <w:shd w:val="clear" w:color="auto" w:fill="auto"/>
            <w:vAlign w:val="center"/>
            <w:hideMark/>
          </w:tcPr>
          <w:p w:rsidR="005A6579" w:rsidRPr="00216CA2" w:rsidRDefault="005A6579" w:rsidP="00216CA2">
            <w:pPr>
              <w:spacing w:after="0"/>
              <w:rPr>
                <w:rFonts w:ascii="Calibri" w:eastAsia="Times New Roman" w:hAnsi="Calibri" w:cs="Times New Roman"/>
                <w:color w:val="000000"/>
                <w:sz w:val="20"/>
                <w:szCs w:val="20"/>
              </w:rPr>
            </w:pPr>
            <w:r w:rsidRPr="00216CA2">
              <w:rPr>
                <w:rFonts w:ascii="Calibri" w:eastAsia="Times New Roman" w:hAnsi="Calibri" w:cs="Times New Roman"/>
                <w:color w:val="000000"/>
                <w:sz w:val="20"/>
                <w:szCs w:val="20"/>
              </w:rPr>
              <w:t>Illinois Statewide Technical Reference Manual for Energy Efficiency, Version 2.0.</w:t>
            </w:r>
            <w:r w:rsidR="00A41FEC">
              <w:rPr>
                <w:rFonts w:ascii="Calibri" w:eastAsia="Times New Roman" w:hAnsi="Calibri" w:cs="Times New Roman"/>
                <w:color w:val="000000"/>
                <w:sz w:val="20"/>
                <w:szCs w:val="20"/>
              </w:rPr>
              <w:t xml:space="preserve"> </w:t>
            </w:r>
            <w:r w:rsidRPr="00216CA2">
              <w:rPr>
                <w:rFonts w:ascii="Calibri" w:eastAsia="Times New Roman" w:hAnsi="Calibri" w:cs="Times New Roman"/>
                <w:color w:val="000000"/>
                <w:sz w:val="20"/>
                <w:szCs w:val="20"/>
              </w:rPr>
              <w:t>Created by the Illinois Energy Efficiency Stakeholder Advisory Group.</w:t>
            </w:r>
            <w:r w:rsidR="00A41FEC">
              <w:rPr>
                <w:rFonts w:ascii="Calibri" w:eastAsia="Times New Roman" w:hAnsi="Calibri" w:cs="Times New Roman"/>
                <w:color w:val="000000"/>
                <w:sz w:val="20"/>
                <w:szCs w:val="20"/>
              </w:rPr>
              <w:t xml:space="preserve"> </w:t>
            </w:r>
            <w:r w:rsidRPr="00216CA2">
              <w:rPr>
                <w:rFonts w:ascii="Calibri" w:eastAsia="Times New Roman" w:hAnsi="Calibri" w:cs="Times New Roman"/>
                <w:color w:val="000000"/>
                <w:sz w:val="20"/>
                <w:szCs w:val="20"/>
              </w:rPr>
              <w:t>June 7, 2013.</w:t>
            </w:r>
          </w:p>
        </w:tc>
      </w:tr>
      <w:tr w:rsidR="005A6579" w:rsidRPr="005A6579" w:rsidTr="00216CA2">
        <w:tc>
          <w:tcPr>
            <w:tcW w:w="1055" w:type="pct"/>
            <w:shd w:val="clear" w:color="auto" w:fill="auto"/>
            <w:vAlign w:val="center"/>
            <w:hideMark/>
          </w:tcPr>
          <w:p w:rsidR="005A6579" w:rsidRPr="00216CA2" w:rsidRDefault="005A6579" w:rsidP="00216CA2">
            <w:pPr>
              <w:spacing w:after="0"/>
              <w:rPr>
                <w:rFonts w:ascii="Calibri" w:eastAsia="Times New Roman" w:hAnsi="Calibri" w:cs="Times New Roman"/>
                <w:color w:val="000000"/>
                <w:sz w:val="20"/>
                <w:szCs w:val="20"/>
              </w:rPr>
            </w:pPr>
            <w:r w:rsidRPr="00216CA2">
              <w:rPr>
                <w:rFonts w:ascii="Calibri" w:eastAsia="Times New Roman" w:hAnsi="Calibri" w:cs="Times New Roman"/>
                <w:color w:val="000000"/>
                <w:sz w:val="20"/>
                <w:szCs w:val="20"/>
              </w:rPr>
              <w:t>Massachusetts TRM</w:t>
            </w:r>
          </w:p>
        </w:tc>
        <w:tc>
          <w:tcPr>
            <w:tcW w:w="3945" w:type="pct"/>
            <w:shd w:val="clear" w:color="auto" w:fill="auto"/>
            <w:vAlign w:val="center"/>
            <w:hideMark/>
          </w:tcPr>
          <w:p w:rsidR="005A6579" w:rsidRPr="00216CA2" w:rsidRDefault="005A6579" w:rsidP="00216CA2">
            <w:pPr>
              <w:spacing w:after="0"/>
              <w:rPr>
                <w:rFonts w:ascii="Calibri" w:eastAsia="Times New Roman" w:hAnsi="Calibri" w:cs="Times New Roman"/>
                <w:color w:val="000000"/>
                <w:sz w:val="20"/>
                <w:szCs w:val="20"/>
              </w:rPr>
            </w:pPr>
            <w:r w:rsidRPr="00216CA2">
              <w:rPr>
                <w:rFonts w:ascii="Calibri" w:eastAsia="Times New Roman" w:hAnsi="Calibri" w:cs="Times New Roman"/>
                <w:color w:val="000000"/>
                <w:sz w:val="20"/>
                <w:szCs w:val="20"/>
              </w:rPr>
              <w:t>Massachusetts Technical Reference Manual for Estimating Savings from Energy Efficiency Measures.</w:t>
            </w:r>
            <w:r w:rsidR="00A41FEC">
              <w:rPr>
                <w:rFonts w:ascii="Calibri" w:eastAsia="Times New Roman" w:hAnsi="Calibri" w:cs="Times New Roman"/>
                <w:color w:val="000000"/>
                <w:sz w:val="20"/>
                <w:szCs w:val="20"/>
              </w:rPr>
              <w:t xml:space="preserve"> </w:t>
            </w:r>
            <w:r w:rsidRPr="00216CA2">
              <w:rPr>
                <w:rFonts w:ascii="Calibri" w:eastAsia="Times New Roman" w:hAnsi="Calibri" w:cs="Times New Roman"/>
                <w:color w:val="000000"/>
                <w:sz w:val="20"/>
                <w:szCs w:val="20"/>
              </w:rPr>
              <w:t>2012 Program Year – Report Version.</w:t>
            </w:r>
            <w:r w:rsidR="00A41FEC">
              <w:rPr>
                <w:rFonts w:ascii="Calibri" w:eastAsia="Times New Roman" w:hAnsi="Calibri" w:cs="Times New Roman"/>
                <w:color w:val="000000"/>
                <w:sz w:val="20"/>
                <w:szCs w:val="20"/>
              </w:rPr>
              <w:t xml:space="preserve"> </w:t>
            </w:r>
            <w:r w:rsidRPr="00216CA2">
              <w:rPr>
                <w:rFonts w:ascii="Calibri" w:eastAsia="Times New Roman" w:hAnsi="Calibri" w:cs="Times New Roman"/>
                <w:color w:val="000000"/>
                <w:sz w:val="20"/>
                <w:szCs w:val="20"/>
              </w:rPr>
              <w:t>August 2013.</w:t>
            </w:r>
          </w:p>
        </w:tc>
      </w:tr>
      <w:tr w:rsidR="005A6579" w:rsidRPr="005A6579" w:rsidTr="00216CA2">
        <w:tc>
          <w:tcPr>
            <w:tcW w:w="1055" w:type="pct"/>
            <w:shd w:val="clear" w:color="auto" w:fill="auto"/>
            <w:vAlign w:val="center"/>
            <w:hideMark/>
          </w:tcPr>
          <w:p w:rsidR="005A6579" w:rsidRPr="00216CA2" w:rsidRDefault="005A6579" w:rsidP="00216CA2">
            <w:pPr>
              <w:spacing w:after="0"/>
              <w:rPr>
                <w:rFonts w:ascii="Calibri" w:eastAsia="Times New Roman" w:hAnsi="Calibri" w:cs="Times New Roman"/>
                <w:color w:val="000000"/>
                <w:sz w:val="20"/>
                <w:szCs w:val="20"/>
              </w:rPr>
            </w:pPr>
            <w:r w:rsidRPr="00216CA2">
              <w:rPr>
                <w:rFonts w:ascii="Calibri" w:eastAsia="Times New Roman" w:hAnsi="Calibri" w:cs="Times New Roman"/>
                <w:color w:val="000000"/>
                <w:sz w:val="20"/>
                <w:szCs w:val="20"/>
              </w:rPr>
              <w:t>Pennsylvania TRM</w:t>
            </w:r>
          </w:p>
        </w:tc>
        <w:tc>
          <w:tcPr>
            <w:tcW w:w="3945" w:type="pct"/>
            <w:shd w:val="clear" w:color="auto" w:fill="auto"/>
            <w:vAlign w:val="center"/>
            <w:hideMark/>
          </w:tcPr>
          <w:p w:rsidR="005A6579" w:rsidRPr="00216CA2" w:rsidRDefault="005A6579" w:rsidP="00216CA2">
            <w:pPr>
              <w:spacing w:after="0"/>
              <w:rPr>
                <w:rFonts w:ascii="Calibri" w:eastAsia="Times New Roman" w:hAnsi="Calibri" w:cs="Times New Roman"/>
                <w:color w:val="000000"/>
                <w:sz w:val="20"/>
                <w:szCs w:val="20"/>
              </w:rPr>
            </w:pPr>
            <w:r w:rsidRPr="00216CA2">
              <w:rPr>
                <w:rFonts w:ascii="Calibri" w:eastAsia="Times New Roman" w:hAnsi="Calibri" w:cs="Times New Roman"/>
                <w:color w:val="000000"/>
                <w:sz w:val="20"/>
                <w:szCs w:val="20"/>
              </w:rPr>
              <w:t>Technical Reference Manual for the State of Pennsylvania.</w:t>
            </w:r>
            <w:r w:rsidR="00A41FEC">
              <w:rPr>
                <w:rFonts w:ascii="Calibri" w:eastAsia="Times New Roman" w:hAnsi="Calibri" w:cs="Times New Roman"/>
                <w:color w:val="000000"/>
                <w:sz w:val="20"/>
                <w:szCs w:val="20"/>
              </w:rPr>
              <w:t xml:space="preserve"> </w:t>
            </w:r>
            <w:r w:rsidRPr="00216CA2">
              <w:rPr>
                <w:rFonts w:ascii="Calibri" w:eastAsia="Times New Roman" w:hAnsi="Calibri" w:cs="Times New Roman"/>
                <w:color w:val="000000"/>
                <w:sz w:val="20"/>
                <w:szCs w:val="20"/>
              </w:rPr>
              <w:t>June 2014.</w:t>
            </w:r>
          </w:p>
        </w:tc>
      </w:tr>
      <w:tr w:rsidR="005A6579" w:rsidRPr="005A6579" w:rsidTr="00216CA2">
        <w:tc>
          <w:tcPr>
            <w:tcW w:w="1055" w:type="pct"/>
            <w:shd w:val="clear" w:color="auto" w:fill="auto"/>
            <w:vAlign w:val="center"/>
            <w:hideMark/>
          </w:tcPr>
          <w:p w:rsidR="005A6579" w:rsidRPr="00216CA2" w:rsidRDefault="005A6579" w:rsidP="00216CA2">
            <w:pPr>
              <w:spacing w:after="0"/>
              <w:rPr>
                <w:rFonts w:ascii="Calibri" w:eastAsia="Times New Roman" w:hAnsi="Calibri" w:cs="Times New Roman"/>
                <w:color w:val="000000"/>
                <w:sz w:val="20"/>
                <w:szCs w:val="20"/>
              </w:rPr>
            </w:pPr>
            <w:r w:rsidRPr="00216CA2">
              <w:rPr>
                <w:rFonts w:ascii="Calibri" w:eastAsia="Times New Roman" w:hAnsi="Calibri" w:cs="Times New Roman"/>
                <w:color w:val="000000"/>
                <w:sz w:val="20"/>
                <w:szCs w:val="20"/>
              </w:rPr>
              <w:t>Mid Atlantic TRM</w:t>
            </w:r>
          </w:p>
        </w:tc>
        <w:tc>
          <w:tcPr>
            <w:tcW w:w="3945" w:type="pct"/>
            <w:shd w:val="clear" w:color="auto" w:fill="auto"/>
            <w:vAlign w:val="center"/>
            <w:hideMark/>
          </w:tcPr>
          <w:p w:rsidR="005A6579" w:rsidRPr="00216CA2" w:rsidRDefault="005A6579" w:rsidP="00216CA2">
            <w:pPr>
              <w:spacing w:after="0"/>
              <w:rPr>
                <w:rFonts w:ascii="Calibri" w:eastAsia="Times New Roman" w:hAnsi="Calibri" w:cs="Times New Roman"/>
                <w:color w:val="000000"/>
                <w:sz w:val="20"/>
                <w:szCs w:val="20"/>
              </w:rPr>
            </w:pPr>
            <w:r w:rsidRPr="00216CA2">
              <w:rPr>
                <w:rFonts w:ascii="Calibri" w:eastAsia="Times New Roman" w:hAnsi="Calibri" w:cs="Times New Roman"/>
                <w:color w:val="000000"/>
                <w:sz w:val="20"/>
                <w:szCs w:val="20"/>
              </w:rPr>
              <w:t>Mid-Atlantic Technical Reference Manual, Version 3.0</w:t>
            </w:r>
            <w:r w:rsidR="00A41FEC">
              <w:rPr>
                <w:rFonts w:ascii="Calibri" w:eastAsia="Times New Roman" w:hAnsi="Calibri" w:cs="Times New Roman"/>
                <w:color w:val="000000"/>
                <w:sz w:val="20"/>
                <w:szCs w:val="20"/>
              </w:rPr>
              <w:t xml:space="preserve"> </w:t>
            </w:r>
            <w:r w:rsidRPr="00216CA2">
              <w:rPr>
                <w:rFonts w:ascii="Calibri" w:eastAsia="Times New Roman" w:hAnsi="Calibri" w:cs="Times New Roman"/>
                <w:color w:val="000000"/>
                <w:sz w:val="20"/>
                <w:szCs w:val="20"/>
              </w:rPr>
              <w:t>Prepared by Shelter Analytics.</w:t>
            </w:r>
            <w:r w:rsidR="00A41FEC">
              <w:rPr>
                <w:rFonts w:ascii="Calibri" w:eastAsia="Times New Roman" w:hAnsi="Calibri" w:cs="Times New Roman"/>
                <w:color w:val="000000"/>
                <w:sz w:val="20"/>
                <w:szCs w:val="20"/>
              </w:rPr>
              <w:t xml:space="preserve"> </w:t>
            </w:r>
            <w:r w:rsidRPr="00216CA2">
              <w:rPr>
                <w:rFonts w:ascii="Calibri" w:eastAsia="Times New Roman" w:hAnsi="Calibri" w:cs="Times New Roman"/>
                <w:color w:val="000000"/>
                <w:sz w:val="20"/>
                <w:szCs w:val="20"/>
              </w:rPr>
              <w:t>March 2013.</w:t>
            </w:r>
          </w:p>
        </w:tc>
      </w:tr>
      <w:tr w:rsidR="005A6579" w:rsidRPr="005A6579" w:rsidTr="00216CA2">
        <w:tc>
          <w:tcPr>
            <w:tcW w:w="1055" w:type="pct"/>
            <w:shd w:val="clear" w:color="auto" w:fill="auto"/>
            <w:vAlign w:val="center"/>
            <w:hideMark/>
          </w:tcPr>
          <w:p w:rsidR="005A6579" w:rsidRPr="00216CA2" w:rsidRDefault="005A6579" w:rsidP="00216CA2">
            <w:pPr>
              <w:spacing w:after="0"/>
              <w:rPr>
                <w:rFonts w:ascii="Calibri" w:eastAsia="Times New Roman" w:hAnsi="Calibri" w:cs="Times New Roman"/>
                <w:color w:val="000000"/>
                <w:sz w:val="20"/>
                <w:szCs w:val="20"/>
              </w:rPr>
            </w:pPr>
            <w:r w:rsidRPr="00216CA2">
              <w:rPr>
                <w:rFonts w:ascii="Calibri" w:eastAsia="Times New Roman" w:hAnsi="Calibri" w:cs="Times New Roman"/>
                <w:color w:val="000000"/>
                <w:sz w:val="20"/>
                <w:szCs w:val="20"/>
              </w:rPr>
              <w:t>MA HES Evaluation Report, 2011</w:t>
            </w:r>
          </w:p>
        </w:tc>
        <w:tc>
          <w:tcPr>
            <w:tcW w:w="3945" w:type="pct"/>
            <w:shd w:val="clear" w:color="auto" w:fill="auto"/>
            <w:vAlign w:val="center"/>
            <w:hideMark/>
          </w:tcPr>
          <w:p w:rsidR="005A6579" w:rsidRPr="00216CA2" w:rsidRDefault="005A6579" w:rsidP="00216CA2">
            <w:pPr>
              <w:spacing w:after="0"/>
              <w:rPr>
                <w:rFonts w:ascii="Calibri" w:eastAsia="Times New Roman" w:hAnsi="Calibri" w:cs="Times New Roman"/>
                <w:color w:val="000000"/>
                <w:sz w:val="20"/>
                <w:szCs w:val="20"/>
              </w:rPr>
            </w:pPr>
            <w:r w:rsidRPr="00216CA2">
              <w:rPr>
                <w:rFonts w:ascii="Calibri" w:eastAsia="Times New Roman" w:hAnsi="Calibri" w:cs="Times New Roman"/>
                <w:color w:val="000000"/>
                <w:sz w:val="20"/>
                <w:szCs w:val="20"/>
              </w:rPr>
              <w:t>Massachusetts Home Energy Services Impact Evaluation.</w:t>
            </w:r>
            <w:r w:rsidR="00A41FEC">
              <w:rPr>
                <w:rFonts w:ascii="Calibri" w:eastAsia="Times New Roman" w:hAnsi="Calibri" w:cs="Times New Roman"/>
                <w:color w:val="000000"/>
                <w:sz w:val="20"/>
                <w:szCs w:val="20"/>
              </w:rPr>
              <w:t xml:space="preserve"> </w:t>
            </w:r>
            <w:r w:rsidRPr="00216CA2">
              <w:rPr>
                <w:rFonts w:ascii="Calibri" w:eastAsia="Times New Roman" w:hAnsi="Calibri" w:cs="Times New Roman"/>
                <w:color w:val="000000"/>
                <w:sz w:val="20"/>
                <w:szCs w:val="20"/>
              </w:rPr>
              <w:t>Prepared by Cadmus. August 2012.</w:t>
            </w:r>
          </w:p>
        </w:tc>
      </w:tr>
      <w:tr w:rsidR="005A6579" w:rsidRPr="005A6579" w:rsidTr="00216CA2">
        <w:tc>
          <w:tcPr>
            <w:tcW w:w="1055" w:type="pct"/>
            <w:shd w:val="clear" w:color="auto" w:fill="auto"/>
            <w:vAlign w:val="center"/>
            <w:hideMark/>
          </w:tcPr>
          <w:p w:rsidR="005A6579" w:rsidRPr="00216CA2" w:rsidRDefault="005A6579" w:rsidP="00216CA2">
            <w:pPr>
              <w:spacing w:after="0"/>
              <w:rPr>
                <w:rFonts w:ascii="Calibri" w:eastAsia="Times New Roman" w:hAnsi="Calibri" w:cs="Times New Roman"/>
                <w:color w:val="000000"/>
                <w:sz w:val="20"/>
                <w:szCs w:val="20"/>
              </w:rPr>
            </w:pPr>
            <w:r w:rsidRPr="00216CA2">
              <w:rPr>
                <w:rFonts w:ascii="Calibri" w:eastAsia="Times New Roman" w:hAnsi="Calibri" w:cs="Times New Roman"/>
                <w:color w:val="000000"/>
                <w:sz w:val="20"/>
                <w:szCs w:val="20"/>
              </w:rPr>
              <w:t>MA Low-Income Evaluation Report, 2011</w:t>
            </w:r>
          </w:p>
        </w:tc>
        <w:tc>
          <w:tcPr>
            <w:tcW w:w="3945" w:type="pct"/>
            <w:shd w:val="clear" w:color="auto" w:fill="auto"/>
            <w:vAlign w:val="center"/>
            <w:hideMark/>
          </w:tcPr>
          <w:p w:rsidR="005A6579" w:rsidRPr="00216CA2" w:rsidRDefault="005A6579" w:rsidP="00216CA2">
            <w:pPr>
              <w:spacing w:after="0"/>
              <w:rPr>
                <w:rFonts w:ascii="Calibri" w:eastAsia="Times New Roman" w:hAnsi="Calibri" w:cs="Times New Roman"/>
                <w:color w:val="000000"/>
                <w:sz w:val="20"/>
                <w:szCs w:val="20"/>
              </w:rPr>
            </w:pPr>
            <w:r w:rsidRPr="00216CA2">
              <w:rPr>
                <w:rFonts w:ascii="Calibri" w:eastAsia="Times New Roman" w:hAnsi="Calibri" w:cs="Times New Roman"/>
                <w:color w:val="000000"/>
                <w:sz w:val="20"/>
                <w:szCs w:val="20"/>
              </w:rPr>
              <w:t>Massachusetts Low Income Single Family Program Impact Evaluation.</w:t>
            </w:r>
            <w:r w:rsidR="00A41FEC">
              <w:rPr>
                <w:rFonts w:ascii="Calibri" w:eastAsia="Times New Roman" w:hAnsi="Calibri" w:cs="Times New Roman"/>
                <w:color w:val="000000"/>
                <w:sz w:val="20"/>
                <w:szCs w:val="20"/>
              </w:rPr>
              <w:t xml:space="preserve"> </w:t>
            </w:r>
            <w:r w:rsidRPr="00216CA2">
              <w:rPr>
                <w:rFonts w:ascii="Calibri" w:eastAsia="Times New Roman" w:hAnsi="Calibri" w:cs="Times New Roman"/>
                <w:color w:val="000000"/>
                <w:sz w:val="20"/>
                <w:szCs w:val="20"/>
              </w:rPr>
              <w:t>Prepared by Cadmus. June 2012.</w:t>
            </w:r>
          </w:p>
        </w:tc>
      </w:tr>
      <w:tr w:rsidR="005A6579" w:rsidRPr="005A6579" w:rsidTr="00216CA2">
        <w:tc>
          <w:tcPr>
            <w:tcW w:w="1055" w:type="pct"/>
            <w:shd w:val="clear" w:color="auto" w:fill="auto"/>
            <w:vAlign w:val="center"/>
            <w:hideMark/>
          </w:tcPr>
          <w:p w:rsidR="005A6579" w:rsidRPr="00216CA2" w:rsidRDefault="005A6579" w:rsidP="00216CA2">
            <w:pPr>
              <w:spacing w:after="0"/>
              <w:rPr>
                <w:rFonts w:ascii="Calibri" w:eastAsia="Times New Roman" w:hAnsi="Calibri" w:cs="Times New Roman"/>
                <w:color w:val="000000"/>
                <w:sz w:val="20"/>
                <w:szCs w:val="20"/>
              </w:rPr>
            </w:pPr>
            <w:r w:rsidRPr="00216CA2">
              <w:rPr>
                <w:rFonts w:ascii="Calibri" w:eastAsia="Times New Roman" w:hAnsi="Calibri" w:cs="Times New Roman"/>
                <w:color w:val="000000"/>
                <w:sz w:val="20"/>
                <w:szCs w:val="20"/>
              </w:rPr>
              <w:t>NEEA DHP Study / Report</w:t>
            </w:r>
          </w:p>
        </w:tc>
        <w:tc>
          <w:tcPr>
            <w:tcW w:w="3945" w:type="pct"/>
            <w:shd w:val="clear" w:color="auto" w:fill="auto"/>
            <w:vAlign w:val="center"/>
            <w:hideMark/>
          </w:tcPr>
          <w:p w:rsidR="005A6579" w:rsidRPr="00216CA2" w:rsidRDefault="005A6579" w:rsidP="00216CA2">
            <w:pPr>
              <w:spacing w:after="0"/>
              <w:rPr>
                <w:rFonts w:ascii="Calibri" w:eastAsia="Times New Roman" w:hAnsi="Calibri" w:cs="Times New Roman"/>
                <w:color w:val="000000"/>
                <w:sz w:val="20"/>
                <w:szCs w:val="20"/>
              </w:rPr>
            </w:pPr>
            <w:r w:rsidRPr="00216CA2">
              <w:rPr>
                <w:rFonts w:ascii="Calibri" w:eastAsia="Times New Roman" w:hAnsi="Calibri" w:cs="Times New Roman"/>
                <w:color w:val="000000"/>
                <w:sz w:val="20"/>
                <w:szCs w:val="20"/>
              </w:rPr>
              <w:t>Ductless Heat Pump Impact &amp; Process Evaluation:</w:t>
            </w:r>
            <w:r w:rsidR="00A41FEC">
              <w:rPr>
                <w:rFonts w:ascii="Calibri" w:eastAsia="Times New Roman" w:hAnsi="Calibri" w:cs="Times New Roman"/>
                <w:color w:val="000000"/>
                <w:sz w:val="20"/>
                <w:szCs w:val="20"/>
              </w:rPr>
              <w:t xml:space="preserve"> </w:t>
            </w:r>
            <w:r w:rsidRPr="00216CA2">
              <w:rPr>
                <w:rFonts w:ascii="Calibri" w:eastAsia="Times New Roman" w:hAnsi="Calibri" w:cs="Times New Roman"/>
                <w:color w:val="000000"/>
                <w:sz w:val="20"/>
                <w:szCs w:val="20"/>
              </w:rPr>
              <w:t>Billing Analysis Report.</w:t>
            </w:r>
            <w:r w:rsidR="00A41FEC">
              <w:rPr>
                <w:rFonts w:ascii="Calibri" w:eastAsia="Times New Roman" w:hAnsi="Calibri" w:cs="Times New Roman"/>
                <w:color w:val="000000"/>
                <w:sz w:val="20"/>
                <w:szCs w:val="20"/>
              </w:rPr>
              <w:t xml:space="preserve"> </w:t>
            </w:r>
            <w:r w:rsidRPr="00216CA2">
              <w:rPr>
                <w:rFonts w:ascii="Calibri" w:eastAsia="Times New Roman" w:hAnsi="Calibri" w:cs="Times New Roman"/>
                <w:color w:val="000000"/>
                <w:sz w:val="20"/>
                <w:szCs w:val="20"/>
              </w:rPr>
              <w:t>Prepared by Ecotope, Inc.</w:t>
            </w:r>
            <w:r w:rsidR="00A41FEC">
              <w:rPr>
                <w:rFonts w:ascii="Calibri" w:eastAsia="Times New Roman" w:hAnsi="Calibri" w:cs="Times New Roman"/>
                <w:color w:val="000000"/>
                <w:sz w:val="20"/>
                <w:szCs w:val="20"/>
              </w:rPr>
              <w:t xml:space="preserve"> </w:t>
            </w:r>
            <w:r w:rsidRPr="00216CA2">
              <w:rPr>
                <w:rFonts w:ascii="Calibri" w:eastAsia="Times New Roman" w:hAnsi="Calibri" w:cs="Times New Roman"/>
                <w:color w:val="000000"/>
                <w:sz w:val="20"/>
                <w:szCs w:val="20"/>
              </w:rPr>
              <w:t>August 2013.</w:t>
            </w:r>
            <w:r w:rsidR="00A41FEC">
              <w:rPr>
                <w:rFonts w:ascii="Calibri" w:eastAsia="Times New Roman" w:hAnsi="Calibri" w:cs="Times New Roman"/>
                <w:color w:val="000000"/>
                <w:sz w:val="20"/>
                <w:szCs w:val="20"/>
              </w:rPr>
              <w:t xml:space="preserve"> </w:t>
            </w:r>
            <w:r w:rsidRPr="00216CA2">
              <w:rPr>
                <w:rFonts w:ascii="Calibri" w:eastAsia="Times New Roman" w:hAnsi="Calibri" w:cs="Times New Roman"/>
                <w:color w:val="000000"/>
                <w:sz w:val="20"/>
                <w:szCs w:val="20"/>
              </w:rPr>
              <w:t>Report #13-262.</w:t>
            </w:r>
          </w:p>
        </w:tc>
      </w:tr>
      <w:tr w:rsidR="005A6579" w:rsidRPr="005A6579" w:rsidTr="00216CA2">
        <w:tc>
          <w:tcPr>
            <w:tcW w:w="1055" w:type="pct"/>
            <w:shd w:val="clear" w:color="auto" w:fill="auto"/>
            <w:vAlign w:val="center"/>
            <w:hideMark/>
          </w:tcPr>
          <w:p w:rsidR="005A6579" w:rsidRPr="00216CA2" w:rsidRDefault="005A6579" w:rsidP="00216CA2">
            <w:pPr>
              <w:spacing w:after="0"/>
              <w:rPr>
                <w:rFonts w:ascii="Calibri" w:eastAsia="Times New Roman" w:hAnsi="Calibri" w:cs="Times New Roman"/>
                <w:color w:val="000000"/>
                <w:sz w:val="20"/>
                <w:szCs w:val="20"/>
              </w:rPr>
            </w:pPr>
            <w:r w:rsidRPr="00216CA2">
              <w:rPr>
                <w:rFonts w:ascii="Calibri" w:eastAsia="Times New Roman" w:hAnsi="Calibri" w:cs="Times New Roman"/>
                <w:color w:val="000000"/>
                <w:sz w:val="20"/>
                <w:szCs w:val="20"/>
              </w:rPr>
              <w:t>Regional Technical Forum</w:t>
            </w:r>
          </w:p>
        </w:tc>
        <w:tc>
          <w:tcPr>
            <w:tcW w:w="3945" w:type="pct"/>
            <w:shd w:val="clear" w:color="auto" w:fill="auto"/>
            <w:vAlign w:val="center"/>
            <w:hideMark/>
          </w:tcPr>
          <w:p w:rsidR="005A6579" w:rsidRPr="00216CA2" w:rsidRDefault="005A6579" w:rsidP="00216CA2">
            <w:pPr>
              <w:spacing w:after="0"/>
              <w:rPr>
                <w:rFonts w:ascii="Calibri" w:eastAsia="Times New Roman" w:hAnsi="Calibri" w:cs="Times New Roman"/>
                <w:color w:val="000000"/>
                <w:sz w:val="20"/>
                <w:szCs w:val="20"/>
              </w:rPr>
            </w:pPr>
            <w:r w:rsidRPr="00216CA2">
              <w:rPr>
                <w:rFonts w:ascii="Calibri" w:eastAsia="Times New Roman" w:hAnsi="Calibri" w:cs="Times New Roman"/>
                <w:color w:val="000000"/>
                <w:sz w:val="20"/>
                <w:szCs w:val="20"/>
              </w:rPr>
              <w:t>Single Family Residential Ductless Heat Pump Program Savings Workbook.</w:t>
            </w:r>
            <w:r w:rsidR="00A41FEC">
              <w:rPr>
                <w:rFonts w:ascii="Calibri" w:eastAsia="Times New Roman" w:hAnsi="Calibri" w:cs="Times New Roman"/>
                <w:color w:val="000000"/>
                <w:sz w:val="20"/>
                <w:szCs w:val="20"/>
              </w:rPr>
              <w:t xml:space="preserve"> </w:t>
            </w:r>
            <w:r w:rsidRPr="00216CA2">
              <w:rPr>
                <w:rFonts w:ascii="Calibri" w:eastAsia="Times New Roman" w:hAnsi="Calibri" w:cs="Times New Roman"/>
                <w:color w:val="000000"/>
                <w:sz w:val="20"/>
                <w:szCs w:val="20"/>
              </w:rPr>
              <w:t>April 2013.</w:t>
            </w:r>
          </w:p>
        </w:tc>
      </w:tr>
      <w:tr w:rsidR="005A6579" w:rsidRPr="005A6579" w:rsidTr="00216CA2">
        <w:tc>
          <w:tcPr>
            <w:tcW w:w="1055" w:type="pct"/>
            <w:shd w:val="clear" w:color="auto" w:fill="auto"/>
            <w:vAlign w:val="center"/>
            <w:hideMark/>
          </w:tcPr>
          <w:p w:rsidR="005A6579" w:rsidRPr="00216CA2" w:rsidRDefault="005A6579" w:rsidP="00216CA2">
            <w:pPr>
              <w:spacing w:after="0"/>
              <w:rPr>
                <w:rFonts w:ascii="Calibri" w:eastAsia="Times New Roman" w:hAnsi="Calibri" w:cs="Times New Roman"/>
                <w:color w:val="000000"/>
                <w:sz w:val="20"/>
                <w:szCs w:val="20"/>
              </w:rPr>
            </w:pPr>
            <w:r w:rsidRPr="00216CA2">
              <w:rPr>
                <w:rFonts w:ascii="Calibri" w:eastAsia="Times New Roman" w:hAnsi="Calibri" w:cs="Times New Roman"/>
                <w:color w:val="000000"/>
                <w:sz w:val="20"/>
                <w:szCs w:val="20"/>
              </w:rPr>
              <w:t>EmPOWER Maryland Report, 2011</w:t>
            </w:r>
          </w:p>
        </w:tc>
        <w:tc>
          <w:tcPr>
            <w:tcW w:w="3945" w:type="pct"/>
            <w:shd w:val="clear" w:color="auto" w:fill="auto"/>
            <w:vAlign w:val="center"/>
            <w:hideMark/>
          </w:tcPr>
          <w:p w:rsidR="005A6579" w:rsidRPr="00216CA2" w:rsidRDefault="005A6579" w:rsidP="00216CA2">
            <w:pPr>
              <w:spacing w:after="0"/>
              <w:rPr>
                <w:rFonts w:ascii="Calibri" w:eastAsia="Times New Roman" w:hAnsi="Calibri" w:cs="Times New Roman"/>
                <w:color w:val="000000"/>
                <w:sz w:val="20"/>
                <w:szCs w:val="20"/>
              </w:rPr>
            </w:pPr>
            <w:r w:rsidRPr="00216CA2">
              <w:rPr>
                <w:rFonts w:ascii="Calibri" w:eastAsia="Times New Roman" w:hAnsi="Calibri" w:cs="Times New Roman"/>
                <w:color w:val="000000"/>
                <w:sz w:val="20"/>
                <w:szCs w:val="20"/>
              </w:rPr>
              <w:t xml:space="preserve"> Residential Retrofits Report, Cadmus.</w:t>
            </w:r>
            <w:r w:rsidR="00A41FEC">
              <w:rPr>
                <w:rFonts w:ascii="Calibri" w:eastAsia="Times New Roman" w:hAnsi="Calibri" w:cs="Times New Roman"/>
                <w:color w:val="000000"/>
                <w:sz w:val="20"/>
                <w:szCs w:val="20"/>
              </w:rPr>
              <w:t xml:space="preserve"> </w:t>
            </w:r>
            <w:r w:rsidRPr="00216CA2">
              <w:rPr>
                <w:rFonts w:ascii="Calibri" w:eastAsia="Times New Roman" w:hAnsi="Calibri" w:cs="Times New Roman"/>
                <w:color w:val="000000"/>
                <w:sz w:val="20"/>
                <w:szCs w:val="20"/>
              </w:rPr>
              <w:t>October 2011.</w:t>
            </w:r>
          </w:p>
        </w:tc>
      </w:tr>
      <w:tr w:rsidR="00F35C37" w:rsidRPr="005A6579" w:rsidTr="007439A4">
        <w:tc>
          <w:tcPr>
            <w:tcW w:w="1055" w:type="pct"/>
            <w:shd w:val="clear" w:color="auto" w:fill="auto"/>
            <w:vAlign w:val="center"/>
            <w:hideMark/>
          </w:tcPr>
          <w:p w:rsidR="00F35C37" w:rsidRPr="00216CA2" w:rsidRDefault="00F35C37" w:rsidP="007439A4">
            <w:pPr>
              <w:spacing w:after="0"/>
              <w:rPr>
                <w:rFonts w:ascii="Calibri" w:eastAsia="Times New Roman" w:hAnsi="Calibri" w:cs="Times New Roman"/>
                <w:color w:val="000000"/>
                <w:sz w:val="20"/>
                <w:szCs w:val="20"/>
              </w:rPr>
            </w:pPr>
            <w:r w:rsidRPr="00216CA2">
              <w:rPr>
                <w:rFonts w:ascii="Calibri" w:eastAsia="Times New Roman" w:hAnsi="Calibri" w:cs="Times New Roman"/>
                <w:color w:val="000000"/>
                <w:sz w:val="20"/>
                <w:szCs w:val="20"/>
              </w:rPr>
              <w:t>BPA DHP Study / Report</w:t>
            </w:r>
          </w:p>
        </w:tc>
        <w:tc>
          <w:tcPr>
            <w:tcW w:w="3945" w:type="pct"/>
            <w:shd w:val="clear" w:color="auto" w:fill="auto"/>
            <w:vAlign w:val="center"/>
            <w:hideMark/>
          </w:tcPr>
          <w:p w:rsidR="00F35C37" w:rsidRPr="00216CA2" w:rsidRDefault="00F35C37" w:rsidP="007439A4">
            <w:pPr>
              <w:spacing w:after="0"/>
              <w:rPr>
                <w:rFonts w:ascii="Calibri" w:eastAsia="Times New Roman" w:hAnsi="Calibri" w:cs="Times New Roman"/>
                <w:color w:val="000000"/>
                <w:sz w:val="20"/>
                <w:szCs w:val="20"/>
              </w:rPr>
            </w:pPr>
            <w:r w:rsidRPr="00216CA2">
              <w:rPr>
                <w:rFonts w:ascii="Calibri" w:eastAsia="Times New Roman" w:hAnsi="Calibri" w:cs="Times New Roman"/>
                <w:color w:val="000000"/>
                <w:sz w:val="20"/>
                <w:szCs w:val="20"/>
              </w:rPr>
              <w:t>Bonneville Power Administration, Ductless Heat Pump Retrofits in Multifamily and Small Commercial Buildings. Prepared by Ecotope, Inc.</w:t>
            </w:r>
            <w:r>
              <w:rPr>
                <w:rFonts w:ascii="Calibri" w:eastAsia="Times New Roman" w:hAnsi="Calibri" w:cs="Times New Roman"/>
                <w:color w:val="000000"/>
                <w:sz w:val="20"/>
                <w:szCs w:val="20"/>
              </w:rPr>
              <w:t xml:space="preserve"> </w:t>
            </w:r>
            <w:r w:rsidRPr="00216CA2">
              <w:rPr>
                <w:rFonts w:ascii="Calibri" w:eastAsia="Times New Roman" w:hAnsi="Calibri" w:cs="Times New Roman"/>
                <w:color w:val="000000"/>
                <w:sz w:val="20"/>
                <w:szCs w:val="20"/>
              </w:rPr>
              <w:t>December 2012.</w:t>
            </w:r>
          </w:p>
        </w:tc>
      </w:tr>
      <w:tr w:rsidR="00D31B95" w:rsidRPr="005A6579" w:rsidTr="00D31B95">
        <w:tc>
          <w:tcPr>
            <w:tcW w:w="105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D31B95" w:rsidRPr="00216CA2" w:rsidRDefault="00D31B95" w:rsidP="00D31B95">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KEMA</w:t>
            </w:r>
            <w:r w:rsidRPr="00216CA2">
              <w:rPr>
                <w:rFonts w:ascii="Calibri" w:eastAsia="Times New Roman" w:hAnsi="Calibri" w:cs="Times New Roman"/>
                <w:color w:val="000000"/>
                <w:sz w:val="20"/>
                <w:szCs w:val="20"/>
              </w:rPr>
              <w:t xml:space="preserve"> D</w:t>
            </w:r>
            <w:r>
              <w:rPr>
                <w:rFonts w:ascii="Calibri" w:eastAsia="Times New Roman" w:hAnsi="Calibri" w:cs="Times New Roman"/>
                <w:color w:val="000000"/>
                <w:sz w:val="20"/>
                <w:szCs w:val="20"/>
              </w:rPr>
              <w:t xml:space="preserve">uctless Mini Pilot </w:t>
            </w:r>
            <w:r w:rsidRPr="00216CA2">
              <w:rPr>
                <w:rFonts w:ascii="Calibri" w:eastAsia="Times New Roman" w:hAnsi="Calibri" w:cs="Times New Roman"/>
                <w:color w:val="000000"/>
                <w:sz w:val="20"/>
                <w:szCs w:val="20"/>
              </w:rPr>
              <w:t>Study</w:t>
            </w:r>
          </w:p>
        </w:tc>
        <w:tc>
          <w:tcPr>
            <w:tcW w:w="394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rsidR="00D31B95" w:rsidRPr="00216CA2" w:rsidRDefault="00D31B95" w:rsidP="00D31B95">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Ductless Mini Pilot Study, Final Report. Prepared by KEMA, Inc. June 2009. Prepared for</w:t>
            </w:r>
            <w:r w:rsidR="00527450">
              <w:rPr>
                <w:rFonts w:ascii="Calibri" w:eastAsia="Times New Roman" w:hAnsi="Calibri" w:cs="Times New Roman"/>
                <w:color w:val="000000"/>
                <w:sz w:val="20"/>
                <w:szCs w:val="20"/>
              </w:rPr>
              <w:t xml:space="preserve"> </w:t>
            </w:r>
            <w:r w:rsidRPr="00D31B95">
              <w:rPr>
                <w:rFonts w:ascii="Calibri" w:eastAsia="Times New Roman" w:hAnsi="Calibri" w:cs="Times New Roman"/>
                <w:color w:val="000000"/>
                <w:sz w:val="20"/>
                <w:szCs w:val="20"/>
              </w:rPr>
              <w:t>NSTAR Electric and Gas Corporation, National Grid, Connecticut Light and Power, United Illuminating, Western Massachusetts Electric Company, Connecticut Energy Conservation Management Board.</w:t>
            </w:r>
          </w:p>
        </w:tc>
      </w:tr>
    </w:tbl>
    <w:p w:rsidR="005A6579" w:rsidRPr="005A6579" w:rsidRDefault="005A6579" w:rsidP="00216CA2">
      <w:pPr>
        <w:pStyle w:val="NormalAfterTablesandFigures"/>
      </w:pPr>
    </w:p>
    <w:p w:rsidR="00523B88" w:rsidRPr="004D1F89" w:rsidRDefault="00523B88" w:rsidP="004D1F89">
      <w:pPr>
        <w:spacing w:before="200" w:after="0"/>
        <w:rPr>
          <w:b/>
          <w:i/>
          <w:color w:val="898A17"/>
          <w:sz w:val="29"/>
          <w:szCs w:val="29"/>
        </w:rPr>
      </w:pPr>
      <w:r w:rsidRPr="004D1F89">
        <w:rPr>
          <w:b/>
          <w:i/>
          <w:color w:val="898A17"/>
          <w:sz w:val="29"/>
          <w:szCs w:val="29"/>
        </w:rPr>
        <w:t>Pipe Insulation</w:t>
      </w:r>
    </w:p>
    <w:p w:rsidR="00523B88" w:rsidRDefault="00C75380" w:rsidP="004D1F89">
      <w:r>
        <w:t xml:space="preserve">The literature review </w:t>
      </w:r>
      <w:r w:rsidR="00F830AE">
        <w:t>for</w:t>
      </w:r>
      <w:r>
        <w:t xml:space="preserve"> this measure identified </w:t>
      </w:r>
      <w:r w:rsidR="00523B88">
        <w:t>seven sources</w:t>
      </w:r>
      <w:r>
        <w:t>,</w:t>
      </w:r>
      <w:r w:rsidR="00523B88">
        <w:t xml:space="preserve"> based on regional and program similarities.</w:t>
      </w:r>
      <w:r w:rsidR="002953AD">
        <w:t xml:space="preserve"> </w:t>
      </w:r>
      <w:r w:rsidR="002506E1">
        <w:fldChar w:fldCharType="begin"/>
      </w:r>
      <w:r w:rsidR="002506E1">
        <w:instrText xml:space="preserve"> REF _Ref386020275 \h  \* MERGEFORMAT </w:instrText>
      </w:r>
      <w:r w:rsidR="002506E1">
        <w:fldChar w:fldCharType="separate"/>
      </w:r>
      <w:r w:rsidR="00CD20CF">
        <w:t xml:space="preserve">Table </w:t>
      </w:r>
      <w:r w:rsidR="00CD20CF">
        <w:rPr>
          <w:noProof/>
        </w:rPr>
        <w:t>85</w:t>
      </w:r>
      <w:r w:rsidR="002506E1">
        <w:fldChar w:fldCharType="end"/>
      </w:r>
      <w:r>
        <w:t xml:space="preserve"> shows </w:t>
      </w:r>
      <w:r w:rsidR="00523B88">
        <w:t>per-measure</w:t>
      </w:r>
      <w:r>
        <w:t>,</w:t>
      </w:r>
      <w:r w:rsidR="00523B88">
        <w:t xml:space="preserve"> energy savings estimates.</w:t>
      </w:r>
      <w:r w:rsidR="002953AD">
        <w:t xml:space="preserve"> </w:t>
      </w:r>
      <w:r w:rsidR="00523B88">
        <w:t>Due to the variability in per-unit savings, evaluation methodolog</w:t>
      </w:r>
      <w:r>
        <w:t>ies</w:t>
      </w:r>
      <w:r w:rsidR="00523B88">
        <w:t xml:space="preserve">, and </w:t>
      </w:r>
      <w:r w:rsidR="00F830AE">
        <w:t xml:space="preserve">the </w:t>
      </w:r>
      <w:r w:rsidR="007D1F2B">
        <w:t>availability of current evaluation research</w:t>
      </w:r>
      <w:r w:rsidR="00523B88">
        <w:t xml:space="preserve">, </w:t>
      </w:r>
      <w:r>
        <w:t xml:space="preserve">the Evaluation Team performed </w:t>
      </w:r>
      <w:r w:rsidR="00523B88">
        <w:t xml:space="preserve">a more in-depth analysis </w:t>
      </w:r>
      <w:r w:rsidR="00F830AE">
        <w:t xml:space="preserve">for this </w:t>
      </w:r>
      <w:r w:rsidR="00523B88">
        <w:t>measure.</w:t>
      </w:r>
    </w:p>
    <w:p w:rsidR="00523B88" w:rsidRDefault="00523B88" w:rsidP="00216CA2">
      <w:pPr>
        <w:pStyle w:val="Caption"/>
        <w:pageBreakBefore/>
      </w:pPr>
      <w:bookmarkStart w:id="148" w:name="_Ref386020275"/>
      <w:r>
        <w:lastRenderedPageBreak/>
        <w:t xml:space="preserve">Table </w:t>
      </w:r>
      <w:r w:rsidR="002506E1">
        <w:fldChar w:fldCharType="begin"/>
      </w:r>
      <w:r w:rsidR="002506E1">
        <w:instrText xml:space="preserve"> SEQ Table \* ARABIC </w:instrText>
      </w:r>
      <w:r w:rsidR="002506E1">
        <w:fldChar w:fldCharType="separate"/>
      </w:r>
      <w:r w:rsidR="00CD20CF">
        <w:rPr>
          <w:noProof/>
        </w:rPr>
        <w:t>85</w:t>
      </w:r>
      <w:r w:rsidR="002506E1">
        <w:rPr>
          <w:noProof/>
        </w:rPr>
        <w:fldChar w:fldCharType="end"/>
      </w:r>
      <w:bookmarkEnd w:id="148"/>
      <w:r w:rsidR="004D1F89">
        <w:t xml:space="preserve">. </w:t>
      </w:r>
      <w:r>
        <w:t>Results of the Pipe Insulation Literature Review</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508"/>
        <w:gridCol w:w="1710"/>
        <w:gridCol w:w="2358"/>
      </w:tblGrid>
      <w:tr w:rsidR="00523B88" w:rsidRPr="007748B1" w:rsidTr="00C75380">
        <w:tc>
          <w:tcPr>
            <w:tcW w:w="2876" w:type="pct"/>
            <w:shd w:val="clear" w:color="000000" w:fill="005DAA"/>
            <w:vAlign w:val="center"/>
            <w:hideMark/>
          </w:tcPr>
          <w:p w:rsidR="00523B88" w:rsidRPr="00C40552" w:rsidRDefault="00523B88" w:rsidP="00C40552">
            <w:pPr>
              <w:spacing w:after="0"/>
              <w:jc w:val="center"/>
              <w:rPr>
                <w:rFonts w:ascii="Calibri" w:hAnsi="Calibri"/>
                <w:b/>
                <w:bCs/>
                <w:color w:val="FFFFFF"/>
              </w:rPr>
            </w:pPr>
            <w:r w:rsidRPr="00C40552">
              <w:rPr>
                <w:rFonts w:ascii="Calibri" w:hAnsi="Calibri"/>
                <w:b/>
                <w:bCs/>
                <w:color w:val="FFFFFF"/>
              </w:rPr>
              <w:t>Source</w:t>
            </w:r>
          </w:p>
        </w:tc>
        <w:tc>
          <w:tcPr>
            <w:tcW w:w="893" w:type="pct"/>
            <w:shd w:val="clear" w:color="000000" w:fill="005DAA"/>
            <w:vAlign w:val="center"/>
            <w:hideMark/>
          </w:tcPr>
          <w:p w:rsidR="00523B88" w:rsidRPr="00C40552" w:rsidRDefault="00523B88" w:rsidP="00C40552">
            <w:pPr>
              <w:spacing w:after="0"/>
              <w:jc w:val="center"/>
              <w:rPr>
                <w:rFonts w:ascii="Calibri" w:hAnsi="Calibri"/>
                <w:b/>
                <w:bCs/>
                <w:color w:val="FFFFFF"/>
              </w:rPr>
            </w:pPr>
            <w:r w:rsidRPr="00C40552">
              <w:rPr>
                <w:rFonts w:ascii="Calibri" w:hAnsi="Calibri"/>
                <w:b/>
                <w:bCs/>
                <w:color w:val="FFFFFF"/>
              </w:rPr>
              <w:t>Additional Information</w:t>
            </w:r>
          </w:p>
        </w:tc>
        <w:tc>
          <w:tcPr>
            <w:tcW w:w="1231" w:type="pct"/>
            <w:shd w:val="clear" w:color="000000" w:fill="005DAA"/>
            <w:vAlign w:val="center"/>
            <w:hideMark/>
          </w:tcPr>
          <w:p w:rsidR="00523B88" w:rsidRPr="00C40552" w:rsidRDefault="00523B88" w:rsidP="00C40552">
            <w:pPr>
              <w:spacing w:after="0"/>
              <w:jc w:val="center"/>
              <w:rPr>
                <w:rFonts w:ascii="Calibri" w:hAnsi="Calibri"/>
                <w:b/>
                <w:bCs/>
                <w:color w:val="FFFFFF"/>
              </w:rPr>
            </w:pPr>
            <w:r w:rsidRPr="00C40552">
              <w:rPr>
                <w:rFonts w:ascii="Calibri" w:hAnsi="Calibri"/>
                <w:b/>
                <w:bCs/>
                <w:color w:val="FFFFFF"/>
              </w:rPr>
              <w:t xml:space="preserve">Energy Savings per </w:t>
            </w:r>
            <w:r w:rsidR="00C40552" w:rsidRPr="00C40552">
              <w:rPr>
                <w:rFonts w:ascii="Calibri" w:hAnsi="Calibri"/>
                <w:b/>
                <w:bCs/>
                <w:color w:val="FFFFFF"/>
              </w:rPr>
              <w:t xml:space="preserve">Six Feet </w:t>
            </w:r>
            <w:r w:rsidR="00C40552">
              <w:rPr>
                <w:rFonts w:ascii="Calibri" w:hAnsi="Calibri"/>
                <w:b/>
                <w:bCs/>
                <w:color w:val="FFFFFF"/>
              </w:rPr>
              <w:t>o</w:t>
            </w:r>
            <w:r w:rsidR="00C40552" w:rsidRPr="00C40552">
              <w:rPr>
                <w:rFonts w:ascii="Calibri" w:hAnsi="Calibri"/>
                <w:b/>
                <w:bCs/>
                <w:color w:val="FFFFFF"/>
              </w:rPr>
              <w:t xml:space="preserve">f Installed Insulation </w:t>
            </w:r>
            <w:r w:rsidRPr="00C40552">
              <w:rPr>
                <w:rFonts w:ascii="Calibri" w:hAnsi="Calibri"/>
                <w:b/>
                <w:bCs/>
                <w:color w:val="FFFFFF"/>
              </w:rPr>
              <w:t>(kWh)</w:t>
            </w:r>
          </w:p>
        </w:tc>
      </w:tr>
      <w:tr w:rsidR="00523B88" w:rsidRPr="007748B1" w:rsidTr="00C75380">
        <w:tc>
          <w:tcPr>
            <w:tcW w:w="2876" w:type="pct"/>
            <w:shd w:val="clear" w:color="auto" w:fill="auto"/>
            <w:vAlign w:val="center"/>
            <w:hideMark/>
          </w:tcPr>
          <w:p w:rsidR="00523B88" w:rsidRPr="00C40552" w:rsidRDefault="00523B88" w:rsidP="00C40552">
            <w:pPr>
              <w:spacing w:after="0"/>
              <w:rPr>
                <w:rFonts w:ascii="Calibri" w:hAnsi="Calibri"/>
                <w:color w:val="000000"/>
                <w:sz w:val="20"/>
                <w:szCs w:val="20"/>
              </w:rPr>
            </w:pPr>
            <w:r w:rsidRPr="00C40552">
              <w:rPr>
                <w:rFonts w:ascii="Calibri" w:hAnsi="Calibri"/>
                <w:color w:val="000000"/>
                <w:sz w:val="20"/>
                <w:szCs w:val="20"/>
              </w:rPr>
              <w:t>Connecticut Program Savings Document, Eight</w:t>
            </w:r>
            <w:r w:rsidR="00F830AE">
              <w:rPr>
                <w:rFonts w:ascii="Calibri" w:hAnsi="Calibri"/>
                <w:color w:val="000000"/>
                <w:sz w:val="20"/>
                <w:szCs w:val="20"/>
              </w:rPr>
              <w:t>h</w:t>
            </w:r>
            <w:r w:rsidRPr="00C40552">
              <w:rPr>
                <w:rFonts w:ascii="Calibri" w:hAnsi="Calibri"/>
                <w:color w:val="000000"/>
                <w:sz w:val="20"/>
                <w:szCs w:val="20"/>
              </w:rPr>
              <w:t xml:space="preserve"> Edition, 2013</w:t>
            </w:r>
          </w:p>
        </w:tc>
        <w:tc>
          <w:tcPr>
            <w:tcW w:w="893" w:type="pct"/>
            <w:shd w:val="clear" w:color="auto" w:fill="auto"/>
            <w:vAlign w:val="center"/>
            <w:hideMark/>
          </w:tcPr>
          <w:p w:rsidR="00523B88" w:rsidRPr="00C40552" w:rsidRDefault="00523B88" w:rsidP="00C40552">
            <w:pPr>
              <w:spacing w:after="0"/>
              <w:jc w:val="right"/>
              <w:rPr>
                <w:rFonts w:ascii="Calibri" w:hAnsi="Calibri"/>
                <w:color w:val="000000"/>
                <w:sz w:val="20"/>
                <w:szCs w:val="20"/>
              </w:rPr>
            </w:pPr>
            <w:r w:rsidRPr="00C40552">
              <w:rPr>
                <w:rFonts w:ascii="Calibri" w:hAnsi="Calibri"/>
                <w:color w:val="000000"/>
                <w:sz w:val="20"/>
                <w:szCs w:val="20"/>
              </w:rPr>
              <w:t>2013 PSD</w:t>
            </w:r>
          </w:p>
        </w:tc>
        <w:tc>
          <w:tcPr>
            <w:tcW w:w="1231" w:type="pct"/>
            <w:shd w:val="clear" w:color="auto" w:fill="auto"/>
            <w:vAlign w:val="center"/>
            <w:hideMark/>
          </w:tcPr>
          <w:p w:rsidR="00523B88" w:rsidRPr="00C40552" w:rsidRDefault="00523B88" w:rsidP="00C40552">
            <w:pPr>
              <w:spacing w:after="0"/>
              <w:jc w:val="right"/>
              <w:rPr>
                <w:rFonts w:ascii="Calibri" w:hAnsi="Calibri"/>
                <w:color w:val="000000"/>
                <w:sz w:val="20"/>
                <w:szCs w:val="20"/>
              </w:rPr>
            </w:pPr>
            <w:r w:rsidRPr="00C40552">
              <w:rPr>
                <w:rFonts w:ascii="Calibri" w:hAnsi="Calibri"/>
                <w:color w:val="000000"/>
                <w:sz w:val="20"/>
                <w:szCs w:val="20"/>
              </w:rPr>
              <w:t>62.40</w:t>
            </w:r>
          </w:p>
        </w:tc>
      </w:tr>
      <w:tr w:rsidR="00523B88" w:rsidRPr="007748B1" w:rsidTr="00C75380">
        <w:tc>
          <w:tcPr>
            <w:tcW w:w="2876" w:type="pct"/>
            <w:shd w:val="clear" w:color="auto" w:fill="auto"/>
            <w:vAlign w:val="center"/>
            <w:hideMark/>
          </w:tcPr>
          <w:p w:rsidR="00523B88" w:rsidRPr="00C40552" w:rsidRDefault="00523B88" w:rsidP="00C40552">
            <w:pPr>
              <w:spacing w:after="0"/>
              <w:rPr>
                <w:rFonts w:ascii="Calibri" w:hAnsi="Calibri"/>
                <w:color w:val="000000"/>
                <w:sz w:val="20"/>
                <w:szCs w:val="20"/>
              </w:rPr>
            </w:pPr>
            <w:r w:rsidRPr="00C40552">
              <w:rPr>
                <w:rFonts w:ascii="Calibri" w:hAnsi="Calibri"/>
                <w:color w:val="000000"/>
                <w:sz w:val="20"/>
                <w:szCs w:val="20"/>
              </w:rPr>
              <w:t>Connecticut Program Savings Document, 2011</w:t>
            </w:r>
          </w:p>
        </w:tc>
        <w:tc>
          <w:tcPr>
            <w:tcW w:w="893" w:type="pct"/>
            <w:shd w:val="clear" w:color="auto" w:fill="auto"/>
            <w:vAlign w:val="center"/>
            <w:hideMark/>
          </w:tcPr>
          <w:p w:rsidR="00523B88" w:rsidRPr="00C40552" w:rsidRDefault="00523B88" w:rsidP="00C40552">
            <w:pPr>
              <w:spacing w:after="0"/>
              <w:jc w:val="right"/>
              <w:rPr>
                <w:rFonts w:ascii="Calibri" w:hAnsi="Calibri"/>
                <w:color w:val="000000"/>
                <w:sz w:val="20"/>
                <w:szCs w:val="20"/>
              </w:rPr>
            </w:pPr>
            <w:r w:rsidRPr="00C40552">
              <w:rPr>
                <w:rFonts w:ascii="Calibri" w:hAnsi="Calibri"/>
                <w:color w:val="000000"/>
                <w:sz w:val="20"/>
                <w:szCs w:val="20"/>
              </w:rPr>
              <w:t>2011 PSD</w:t>
            </w:r>
          </w:p>
        </w:tc>
        <w:tc>
          <w:tcPr>
            <w:tcW w:w="1231" w:type="pct"/>
            <w:shd w:val="clear" w:color="auto" w:fill="auto"/>
            <w:vAlign w:val="center"/>
            <w:hideMark/>
          </w:tcPr>
          <w:p w:rsidR="00523B88" w:rsidRPr="00C40552" w:rsidRDefault="00523B88" w:rsidP="00C40552">
            <w:pPr>
              <w:spacing w:after="0"/>
              <w:jc w:val="right"/>
              <w:rPr>
                <w:rFonts w:ascii="Calibri" w:hAnsi="Calibri"/>
                <w:color w:val="000000"/>
                <w:sz w:val="20"/>
                <w:szCs w:val="20"/>
              </w:rPr>
            </w:pPr>
            <w:r w:rsidRPr="00C40552">
              <w:rPr>
                <w:rFonts w:ascii="Calibri" w:hAnsi="Calibri"/>
                <w:color w:val="000000"/>
                <w:sz w:val="20"/>
                <w:szCs w:val="20"/>
              </w:rPr>
              <w:t>62.40</w:t>
            </w:r>
          </w:p>
        </w:tc>
      </w:tr>
      <w:tr w:rsidR="00523B88" w:rsidRPr="007748B1" w:rsidTr="00C75380">
        <w:tc>
          <w:tcPr>
            <w:tcW w:w="2876" w:type="pct"/>
            <w:shd w:val="clear" w:color="auto" w:fill="auto"/>
            <w:vAlign w:val="center"/>
            <w:hideMark/>
          </w:tcPr>
          <w:p w:rsidR="00523B88" w:rsidRPr="00C40552" w:rsidRDefault="00523B88" w:rsidP="00C40552">
            <w:pPr>
              <w:spacing w:after="0"/>
              <w:rPr>
                <w:rFonts w:ascii="Calibri" w:hAnsi="Calibri"/>
                <w:color w:val="000000"/>
                <w:sz w:val="20"/>
                <w:szCs w:val="20"/>
              </w:rPr>
            </w:pPr>
            <w:r w:rsidRPr="00C40552">
              <w:rPr>
                <w:rFonts w:ascii="Calibri" w:hAnsi="Calibri"/>
                <w:color w:val="000000"/>
                <w:sz w:val="20"/>
                <w:szCs w:val="20"/>
              </w:rPr>
              <w:t>Illinois Statewide Technical Reference Manual, Version 2.0, 2013</w:t>
            </w:r>
          </w:p>
        </w:tc>
        <w:tc>
          <w:tcPr>
            <w:tcW w:w="893" w:type="pct"/>
            <w:shd w:val="clear" w:color="auto" w:fill="auto"/>
            <w:vAlign w:val="center"/>
            <w:hideMark/>
          </w:tcPr>
          <w:p w:rsidR="00523B88" w:rsidRPr="00C40552" w:rsidRDefault="00523B88" w:rsidP="00C40552">
            <w:pPr>
              <w:spacing w:after="0"/>
              <w:jc w:val="right"/>
              <w:rPr>
                <w:rFonts w:ascii="Calibri" w:hAnsi="Calibri"/>
                <w:color w:val="000000"/>
                <w:sz w:val="20"/>
                <w:szCs w:val="20"/>
              </w:rPr>
            </w:pPr>
            <w:r w:rsidRPr="00C40552">
              <w:rPr>
                <w:rFonts w:ascii="Calibri" w:hAnsi="Calibri"/>
                <w:color w:val="000000"/>
                <w:sz w:val="20"/>
                <w:szCs w:val="20"/>
              </w:rPr>
              <w:t>Illinois</w:t>
            </w:r>
          </w:p>
        </w:tc>
        <w:tc>
          <w:tcPr>
            <w:tcW w:w="1231" w:type="pct"/>
            <w:shd w:val="clear" w:color="auto" w:fill="auto"/>
            <w:vAlign w:val="center"/>
            <w:hideMark/>
          </w:tcPr>
          <w:p w:rsidR="00523B88" w:rsidRPr="00C40552" w:rsidRDefault="00523B88" w:rsidP="00C40552">
            <w:pPr>
              <w:spacing w:after="0"/>
              <w:jc w:val="right"/>
              <w:rPr>
                <w:rFonts w:ascii="Calibri" w:hAnsi="Calibri"/>
                <w:color w:val="000000"/>
                <w:sz w:val="20"/>
                <w:szCs w:val="20"/>
              </w:rPr>
            </w:pPr>
            <w:r w:rsidRPr="00C40552">
              <w:rPr>
                <w:rFonts w:ascii="Calibri" w:hAnsi="Calibri"/>
                <w:color w:val="000000"/>
                <w:sz w:val="20"/>
                <w:szCs w:val="20"/>
              </w:rPr>
              <w:t>148.00</w:t>
            </w:r>
          </w:p>
        </w:tc>
      </w:tr>
      <w:tr w:rsidR="00523B88" w:rsidRPr="007748B1" w:rsidTr="00C75380">
        <w:tc>
          <w:tcPr>
            <w:tcW w:w="2876" w:type="pct"/>
            <w:shd w:val="clear" w:color="auto" w:fill="auto"/>
            <w:vAlign w:val="center"/>
            <w:hideMark/>
          </w:tcPr>
          <w:p w:rsidR="00523B88" w:rsidRPr="00C40552" w:rsidRDefault="00523B88" w:rsidP="00C40552">
            <w:pPr>
              <w:spacing w:after="0"/>
              <w:rPr>
                <w:rFonts w:ascii="Calibri" w:hAnsi="Calibri"/>
                <w:color w:val="000000"/>
                <w:sz w:val="20"/>
                <w:szCs w:val="20"/>
              </w:rPr>
            </w:pPr>
            <w:r w:rsidRPr="00C40552">
              <w:rPr>
                <w:rFonts w:ascii="Calibri" w:hAnsi="Calibri"/>
                <w:color w:val="000000"/>
                <w:sz w:val="20"/>
                <w:szCs w:val="20"/>
              </w:rPr>
              <w:t>Massachusetts Home Energy Services Impact Evaluation</w:t>
            </w:r>
          </w:p>
        </w:tc>
        <w:tc>
          <w:tcPr>
            <w:tcW w:w="893" w:type="pct"/>
            <w:shd w:val="clear" w:color="auto" w:fill="auto"/>
            <w:vAlign w:val="center"/>
            <w:hideMark/>
          </w:tcPr>
          <w:p w:rsidR="00523B88" w:rsidRPr="00C40552" w:rsidRDefault="00523B88" w:rsidP="00C40552">
            <w:pPr>
              <w:spacing w:after="0"/>
              <w:jc w:val="right"/>
              <w:rPr>
                <w:rFonts w:ascii="Calibri" w:hAnsi="Calibri"/>
                <w:color w:val="000000"/>
                <w:sz w:val="20"/>
                <w:szCs w:val="20"/>
              </w:rPr>
            </w:pPr>
            <w:r w:rsidRPr="00C40552">
              <w:rPr>
                <w:rFonts w:ascii="Calibri" w:hAnsi="Calibri"/>
                <w:color w:val="000000"/>
                <w:sz w:val="20"/>
                <w:szCs w:val="20"/>
              </w:rPr>
              <w:t>MA Report</w:t>
            </w:r>
          </w:p>
        </w:tc>
        <w:tc>
          <w:tcPr>
            <w:tcW w:w="1231" w:type="pct"/>
            <w:shd w:val="clear" w:color="auto" w:fill="auto"/>
            <w:vAlign w:val="center"/>
            <w:hideMark/>
          </w:tcPr>
          <w:p w:rsidR="00523B88" w:rsidRPr="00C40552" w:rsidRDefault="00523B88" w:rsidP="00C40552">
            <w:pPr>
              <w:spacing w:after="0"/>
              <w:jc w:val="right"/>
              <w:rPr>
                <w:rFonts w:ascii="Calibri" w:hAnsi="Calibri"/>
                <w:color w:val="000000"/>
                <w:sz w:val="20"/>
                <w:szCs w:val="20"/>
              </w:rPr>
            </w:pPr>
            <w:r w:rsidRPr="00C40552">
              <w:rPr>
                <w:rFonts w:ascii="Calibri" w:hAnsi="Calibri"/>
                <w:color w:val="000000"/>
                <w:sz w:val="20"/>
                <w:szCs w:val="20"/>
              </w:rPr>
              <w:t>383.50</w:t>
            </w:r>
          </w:p>
        </w:tc>
      </w:tr>
      <w:tr w:rsidR="00523B88" w:rsidRPr="007748B1" w:rsidTr="00C75380">
        <w:tc>
          <w:tcPr>
            <w:tcW w:w="2876" w:type="pct"/>
            <w:shd w:val="clear" w:color="auto" w:fill="auto"/>
            <w:vAlign w:val="center"/>
            <w:hideMark/>
          </w:tcPr>
          <w:p w:rsidR="00523B88" w:rsidRPr="00C40552" w:rsidRDefault="00523B88" w:rsidP="00C75380">
            <w:pPr>
              <w:spacing w:after="0"/>
              <w:rPr>
                <w:rFonts w:ascii="Calibri" w:hAnsi="Calibri"/>
                <w:color w:val="000000"/>
                <w:sz w:val="20"/>
                <w:szCs w:val="20"/>
              </w:rPr>
            </w:pPr>
            <w:r w:rsidRPr="00C40552">
              <w:rPr>
                <w:rFonts w:ascii="Calibri" w:hAnsi="Calibri"/>
                <w:color w:val="000000"/>
                <w:sz w:val="20"/>
                <w:szCs w:val="20"/>
              </w:rPr>
              <w:t>Massachusetts Technical Reference Manual</w:t>
            </w:r>
            <w:r w:rsidR="00C75380">
              <w:rPr>
                <w:rFonts w:ascii="Calibri" w:hAnsi="Calibri"/>
                <w:color w:val="000000"/>
                <w:sz w:val="20"/>
                <w:szCs w:val="20"/>
              </w:rPr>
              <w:t>—</w:t>
            </w:r>
            <w:r w:rsidRPr="00C40552">
              <w:rPr>
                <w:rFonts w:ascii="Calibri" w:hAnsi="Calibri"/>
                <w:color w:val="000000"/>
                <w:sz w:val="20"/>
                <w:szCs w:val="20"/>
              </w:rPr>
              <w:t>2012 Program Year</w:t>
            </w:r>
          </w:p>
        </w:tc>
        <w:tc>
          <w:tcPr>
            <w:tcW w:w="893" w:type="pct"/>
            <w:shd w:val="clear" w:color="auto" w:fill="auto"/>
            <w:vAlign w:val="center"/>
            <w:hideMark/>
          </w:tcPr>
          <w:p w:rsidR="00523B88" w:rsidRPr="00C40552" w:rsidRDefault="00523B88" w:rsidP="00C40552">
            <w:pPr>
              <w:spacing w:after="0"/>
              <w:jc w:val="right"/>
              <w:rPr>
                <w:rFonts w:ascii="Calibri" w:hAnsi="Calibri"/>
                <w:color w:val="000000"/>
                <w:sz w:val="20"/>
                <w:szCs w:val="20"/>
              </w:rPr>
            </w:pPr>
            <w:r w:rsidRPr="00C40552">
              <w:rPr>
                <w:rFonts w:ascii="Calibri" w:hAnsi="Calibri"/>
                <w:color w:val="000000"/>
                <w:sz w:val="20"/>
                <w:szCs w:val="20"/>
              </w:rPr>
              <w:t>MA TRM</w:t>
            </w:r>
          </w:p>
        </w:tc>
        <w:tc>
          <w:tcPr>
            <w:tcW w:w="1231" w:type="pct"/>
            <w:shd w:val="clear" w:color="auto" w:fill="auto"/>
            <w:vAlign w:val="center"/>
            <w:hideMark/>
          </w:tcPr>
          <w:p w:rsidR="00523B88" w:rsidRPr="00C40552" w:rsidRDefault="00523B88" w:rsidP="00C40552">
            <w:pPr>
              <w:spacing w:after="0"/>
              <w:jc w:val="right"/>
              <w:rPr>
                <w:rFonts w:ascii="Calibri" w:hAnsi="Calibri"/>
                <w:color w:val="000000"/>
                <w:sz w:val="20"/>
                <w:szCs w:val="20"/>
              </w:rPr>
            </w:pPr>
            <w:r w:rsidRPr="00C40552">
              <w:rPr>
                <w:rFonts w:ascii="Calibri" w:hAnsi="Calibri"/>
                <w:color w:val="000000"/>
                <w:sz w:val="20"/>
                <w:szCs w:val="20"/>
              </w:rPr>
              <w:t>330.00</w:t>
            </w:r>
          </w:p>
        </w:tc>
      </w:tr>
      <w:tr w:rsidR="00523B88" w:rsidRPr="007748B1" w:rsidTr="00C75380">
        <w:tc>
          <w:tcPr>
            <w:tcW w:w="2876" w:type="pct"/>
            <w:shd w:val="clear" w:color="auto" w:fill="auto"/>
            <w:vAlign w:val="center"/>
            <w:hideMark/>
          </w:tcPr>
          <w:p w:rsidR="00523B88" w:rsidRPr="00C40552" w:rsidRDefault="00523B88" w:rsidP="00C40552">
            <w:pPr>
              <w:spacing w:after="0"/>
              <w:rPr>
                <w:rFonts w:ascii="Calibri" w:hAnsi="Calibri"/>
                <w:color w:val="000000"/>
                <w:sz w:val="20"/>
                <w:szCs w:val="20"/>
              </w:rPr>
            </w:pPr>
            <w:r w:rsidRPr="00C40552">
              <w:rPr>
                <w:rFonts w:ascii="Calibri" w:hAnsi="Calibri"/>
                <w:color w:val="000000"/>
                <w:sz w:val="20"/>
                <w:szCs w:val="20"/>
              </w:rPr>
              <w:t>Efficiency Maine Residential Technical Reference Manual, Version 2014.1, 2013</w:t>
            </w:r>
          </w:p>
        </w:tc>
        <w:tc>
          <w:tcPr>
            <w:tcW w:w="893" w:type="pct"/>
            <w:shd w:val="clear" w:color="auto" w:fill="auto"/>
            <w:vAlign w:val="center"/>
            <w:hideMark/>
          </w:tcPr>
          <w:p w:rsidR="00523B88" w:rsidRPr="00C40552" w:rsidRDefault="00523B88" w:rsidP="00C40552">
            <w:pPr>
              <w:spacing w:after="0"/>
              <w:jc w:val="right"/>
              <w:rPr>
                <w:rFonts w:ascii="Calibri" w:hAnsi="Calibri"/>
                <w:color w:val="000000"/>
                <w:sz w:val="20"/>
                <w:szCs w:val="20"/>
              </w:rPr>
            </w:pPr>
            <w:r w:rsidRPr="00C40552">
              <w:rPr>
                <w:rFonts w:ascii="Calibri" w:hAnsi="Calibri"/>
                <w:color w:val="000000"/>
                <w:sz w:val="20"/>
                <w:szCs w:val="20"/>
              </w:rPr>
              <w:t>Maine</w:t>
            </w:r>
          </w:p>
        </w:tc>
        <w:tc>
          <w:tcPr>
            <w:tcW w:w="1231" w:type="pct"/>
            <w:shd w:val="clear" w:color="auto" w:fill="auto"/>
            <w:vAlign w:val="center"/>
            <w:hideMark/>
          </w:tcPr>
          <w:p w:rsidR="00523B88" w:rsidRPr="00C40552" w:rsidRDefault="00523B88" w:rsidP="00C40552">
            <w:pPr>
              <w:spacing w:after="0"/>
              <w:jc w:val="right"/>
              <w:rPr>
                <w:rFonts w:ascii="Calibri" w:hAnsi="Calibri"/>
                <w:color w:val="000000"/>
                <w:sz w:val="20"/>
                <w:szCs w:val="20"/>
              </w:rPr>
            </w:pPr>
            <w:r w:rsidRPr="00C40552">
              <w:rPr>
                <w:rFonts w:ascii="Calibri" w:hAnsi="Calibri"/>
                <w:color w:val="000000"/>
                <w:sz w:val="20"/>
                <w:szCs w:val="20"/>
              </w:rPr>
              <w:t>61.80</w:t>
            </w:r>
          </w:p>
        </w:tc>
      </w:tr>
      <w:tr w:rsidR="00523B88" w:rsidRPr="007748B1" w:rsidTr="00C75380">
        <w:tc>
          <w:tcPr>
            <w:tcW w:w="2876" w:type="pct"/>
            <w:shd w:val="clear" w:color="auto" w:fill="auto"/>
            <w:vAlign w:val="center"/>
            <w:hideMark/>
          </w:tcPr>
          <w:p w:rsidR="00523B88" w:rsidRPr="00C40552" w:rsidRDefault="00523B88" w:rsidP="00C40552">
            <w:pPr>
              <w:spacing w:after="0"/>
              <w:rPr>
                <w:rFonts w:ascii="Calibri" w:hAnsi="Calibri"/>
                <w:color w:val="000000"/>
                <w:sz w:val="20"/>
                <w:szCs w:val="20"/>
              </w:rPr>
            </w:pPr>
            <w:r w:rsidRPr="00C40552">
              <w:rPr>
                <w:rFonts w:ascii="Calibri" w:hAnsi="Calibri"/>
                <w:color w:val="000000"/>
                <w:sz w:val="20"/>
                <w:szCs w:val="20"/>
              </w:rPr>
              <w:t>Pennsylvania PUC Technical Reference Manual, 2014</w:t>
            </w:r>
          </w:p>
        </w:tc>
        <w:tc>
          <w:tcPr>
            <w:tcW w:w="893" w:type="pct"/>
            <w:shd w:val="clear" w:color="auto" w:fill="auto"/>
            <w:vAlign w:val="center"/>
            <w:hideMark/>
          </w:tcPr>
          <w:p w:rsidR="00523B88" w:rsidRPr="00C40552" w:rsidRDefault="00523B88" w:rsidP="00C40552">
            <w:pPr>
              <w:spacing w:after="0"/>
              <w:jc w:val="right"/>
              <w:rPr>
                <w:rFonts w:ascii="Calibri" w:hAnsi="Calibri"/>
                <w:color w:val="000000"/>
                <w:sz w:val="20"/>
                <w:szCs w:val="20"/>
              </w:rPr>
            </w:pPr>
            <w:r w:rsidRPr="00C40552">
              <w:rPr>
                <w:rFonts w:ascii="Calibri" w:hAnsi="Calibri"/>
                <w:color w:val="000000"/>
                <w:sz w:val="20"/>
                <w:szCs w:val="20"/>
              </w:rPr>
              <w:t>PA 2014</w:t>
            </w:r>
          </w:p>
        </w:tc>
        <w:tc>
          <w:tcPr>
            <w:tcW w:w="1231" w:type="pct"/>
            <w:shd w:val="clear" w:color="auto" w:fill="auto"/>
            <w:vAlign w:val="center"/>
            <w:hideMark/>
          </w:tcPr>
          <w:p w:rsidR="00523B88" w:rsidRPr="00C40552" w:rsidRDefault="00523B88" w:rsidP="00C40552">
            <w:pPr>
              <w:spacing w:after="0"/>
              <w:jc w:val="right"/>
              <w:rPr>
                <w:rFonts w:ascii="Calibri" w:hAnsi="Calibri"/>
                <w:color w:val="000000"/>
                <w:sz w:val="20"/>
                <w:szCs w:val="20"/>
              </w:rPr>
            </w:pPr>
            <w:r w:rsidRPr="00C40552">
              <w:rPr>
                <w:rFonts w:ascii="Calibri" w:hAnsi="Calibri"/>
                <w:color w:val="000000"/>
                <w:sz w:val="20"/>
                <w:szCs w:val="20"/>
              </w:rPr>
              <w:t>60.10</w:t>
            </w:r>
          </w:p>
        </w:tc>
      </w:tr>
      <w:tr w:rsidR="00523B88" w:rsidRPr="007748B1" w:rsidTr="00C75380">
        <w:tc>
          <w:tcPr>
            <w:tcW w:w="2876" w:type="pct"/>
            <w:shd w:val="clear" w:color="auto" w:fill="auto"/>
            <w:vAlign w:val="center"/>
            <w:hideMark/>
          </w:tcPr>
          <w:p w:rsidR="00523B88" w:rsidRPr="00C40552" w:rsidRDefault="00523B88" w:rsidP="00C40552">
            <w:pPr>
              <w:spacing w:after="0"/>
              <w:rPr>
                <w:rFonts w:ascii="Calibri" w:hAnsi="Calibri"/>
                <w:color w:val="000000"/>
                <w:sz w:val="20"/>
                <w:szCs w:val="20"/>
              </w:rPr>
            </w:pPr>
            <w:r w:rsidRPr="00C40552">
              <w:rPr>
                <w:rFonts w:ascii="Calibri" w:hAnsi="Calibri"/>
                <w:color w:val="000000"/>
                <w:sz w:val="20"/>
                <w:szCs w:val="20"/>
              </w:rPr>
              <w:t>Indiana Technical Resource Manual, Version 1.0, 2013</w:t>
            </w:r>
          </w:p>
        </w:tc>
        <w:tc>
          <w:tcPr>
            <w:tcW w:w="893" w:type="pct"/>
            <w:shd w:val="clear" w:color="auto" w:fill="auto"/>
            <w:vAlign w:val="center"/>
            <w:hideMark/>
          </w:tcPr>
          <w:p w:rsidR="00523B88" w:rsidRPr="00C40552" w:rsidRDefault="00523B88" w:rsidP="00C40552">
            <w:pPr>
              <w:spacing w:after="0"/>
              <w:jc w:val="right"/>
              <w:rPr>
                <w:rFonts w:ascii="Calibri" w:hAnsi="Calibri"/>
                <w:color w:val="000000"/>
                <w:sz w:val="20"/>
                <w:szCs w:val="20"/>
              </w:rPr>
            </w:pPr>
            <w:r w:rsidRPr="00C40552">
              <w:rPr>
                <w:rFonts w:ascii="Calibri" w:hAnsi="Calibri"/>
                <w:color w:val="000000"/>
                <w:sz w:val="20"/>
                <w:szCs w:val="20"/>
              </w:rPr>
              <w:t>Indiana</w:t>
            </w:r>
          </w:p>
        </w:tc>
        <w:tc>
          <w:tcPr>
            <w:tcW w:w="1231" w:type="pct"/>
            <w:shd w:val="clear" w:color="auto" w:fill="auto"/>
            <w:vAlign w:val="center"/>
            <w:hideMark/>
          </w:tcPr>
          <w:p w:rsidR="00523B88" w:rsidRPr="00C40552" w:rsidRDefault="00523B88" w:rsidP="00C40552">
            <w:pPr>
              <w:spacing w:after="0"/>
              <w:jc w:val="right"/>
              <w:rPr>
                <w:rFonts w:ascii="Calibri" w:hAnsi="Calibri"/>
                <w:color w:val="000000"/>
                <w:sz w:val="20"/>
                <w:szCs w:val="20"/>
              </w:rPr>
            </w:pPr>
            <w:r w:rsidRPr="00C40552">
              <w:rPr>
                <w:rFonts w:ascii="Calibri" w:hAnsi="Calibri"/>
                <w:color w:val="000000"/>
                <w:sz w:val="20"/>
                <w:szCs w:val="20"/>
              </w:rPr>
              <w:t>160.20</w:t>
            </w:r>
          </w:p>
        </w:tc>
      </w:tr>
      <w:tr w:rsidR="00523B88" w:rsidRPr="007748B1" w:rsidTr="00C75380">
        <w:tc>
          <w:tcPr>
            <w:tcW w:w="2876" w:type="pct"/>
            <w:shd w:val="clear" w:color="auto" w:fill="auto"/>
            <w:vAlign w:val="center"/>
            <w:hideMark/>
          </w:tcPr>
          <w:p w:rsidR="00523B88" w:rsidRPr="00C40552" w:rsidRDefault="00523B88" w:rsidP="00C40552">
            <w:pPr>
              <w:spacing w:after="0"/>
              <w:rPr>
                <w:rFonts w:ascii="Calibri" w:hAnsi="Calibri"/>
                <w:color w:val="000000"/>
                <w:sz w:val="20"/>
                <w:szCs w:val="20"/>
              </w:rPr>
            </w:pPr>
            <w:r w:rsidRPr="00C40552">
              <w:rPr>
                <w:rFonts w:ascii="Calibri" w:hAnsi="Calibri"/>
                <w:color w:val="000000"/>
                <w:sz w:val="20"/>
                <w:szCs w:val="20"/>
              </w:rPr>
              <w:t>Mid-Atlantic Technical Reference Manual, Version 3.0, 2013</w:t>
            </w:r>
          </w:p>
        </w:tc>
        <w:tc>
          <w:tcPr>
            <w:tcW w:w="893" w:type="pct"/>
            <w:shd w:val="clear" w:color="auto" w:fill="auto"/>
            <w:vAlign w:val="center"/>
            <w:hideMark/>
          </w:tcPr>
          <w:p w:rsidR="00523B88" w:rsidRPr="00C40552" w:rsidRDefault="00523B88" w:rsidP="00C40552">
            <w:pPr>
              <w:spacing w:after="0"/>
              <w:jc w:val="right"/>
              <w:rPr>
                <w:rFonts w:ascii="Calibri" w:hAnsi="Calibri"/>
                <w:color w:val="000000"/>
                <w:sz w:val="20"/>
                <w:szCs w:val="20"/>
              </w:rPr>
            </w:pPr>
            <w:r w:rsidRPr="00C40552">
              <w:rPr>
                <w:rFonts w:ascii="Calibri" w:hAnsi="Calibri"/>
                <w:color w:val="000000"/>
                <w:sz w:val="20"/>
                <w:szCs w:val="20"/>
              </w:rPr>
              <w:t>Mid-Atlantic 2013</w:t>
            </w:r>
          </w:p>
        </w:tc>
        <w:tc>
          <w:tcPr>
            <w:tcW w:w="1231" w:type="pct"/>
            <w:shd w:val="clear" w:color="auto" w:fill="auto"/>
            <w:vAlign w:val="center"/>
            <w:hideMark/>
          </w:tcPr>
          <w:p w:rsidR="00523B88" w:rsidRPr="00C40552" w:rsidRDefault="00523B88" w:rsidP="00C40552">
            <w:pPr>
              <w:spacing w:after="0"/>
              <w:jc w:val="right"/>
              <w:rPr>
                <w:rFonts w:ascii="Calibri" w:hAnsi="Calibri"/>
                <w:color w:val="000000"/>
                <w:sz w:val="20"/>
                <w:szCs w:val="20"/>
              </w:rPr>
            </w:pPr>
            <w:r w:rsidRPr="00C40552">
              <w:rPr>
                <w:rFonts w:ascii="Calibri" w:hAnsi="Calibri"/>
                <w:color w:val="000000"/>
                <w:sz w:val="20"/>
                <w:szCs w:val="20"/>
              </w:rPr>
              <w:t>155.70</w:t>
            </w:r>
          </w:p>
        </w:tc>
      </w:tr>
    </w:tbl>
    <w:p w:rsidR="00523B88" w:rsidRDefault="00523B88" w:rsidP="00C40552">
      <w:pPr>
        <w:pStyle w:val="NormalAfterTablesandFigures"/>
      </w:pPr>
    </w:p>
    <w:p w:rsidR="00523B88" w:rsidRDefault="00C75380" w:rsidP="00C75380">
      <w:pPr>
        <w:pStyle w:val="NormalBeforeList"/>
      </w:pPr>
      <w:r>
        <w:t xml:space="preserve">Pipe insulations’ </w:t>
      </w:r>
      <w:r w:rsidR="00523B88">
        <w:t xml:space="preserve">full impact on water heater savings </w:t>
      </w:r>
      <w:r>
        <w:t xml:space="preserve">can be </w:t>
      </w:r>
      <w:r w:rsidR="00523B88">
        <w:t xml:space="preserve">difficult to define </w:t>
      </w:r>
      <w:r>
        <w:t xml:space="preserve">due to </w:t>
      </w:r>
      <w:r w:rsidR="00523B88">
        <w:t xml:space="preserve">the different thermodynamic and heat transfer processes at work in </w:t>
      </w:r>
      <w:r>
        <w:t>a</w:t>
      </w:r>
      <w:r w:rsidR="00523B88">
        <w:t xml:space="preserve"> system.</w:t>
      </w:r>
      <w:r w:rsidR="002953AD">
        <w:t xml:space="preserve"> </w:t>
      </w:r>
      <w:r w:rsidR="00523B88">
        <w:t xml:space="preserve">The DHW energy loss scenarios within the system </w:t>
      </w:r>
      <w:r>
        <w:t>include the following</w:t>
      </w:r>
      <w:r w:rsidR="00523B88">
        <w:t>:</w:t>
      </w:r>
    </w:p>
    <w:p w:rsidR="00523B88" w:rsidRDefault="00523B88" w:rsidP="00C40552">
      <w:pPr>
        <w:pStyle w:val="Numberedlevel1"/>
      </w:pPr>
      <w:r>
        <w:t>Conductive and convective heat transfer from water flowing through the piping system</w:t>
      </w:r>
      <w:r w:rsidR="00C75380">
        <w:t>.</w:t>
      </w:r>
    </w:p>
    <w:p w:rsidR="00523B88" w:rsidRDefault="00523B88" w:rsidP="00C40552">
      <w:pPr>
        <w:spacing w:after="60"/>
        <w:ind w:left="720"/>
      </w:pPr>
      <w:r>
        <w:t>Water flowing through a piping system lose</w:t>
      </w:r>
      <w:r w:rsidR="00C75380">
        <w:t>s</w:t>
      </w:r>
      <w:r>
        <w:t xml:space="preserve"> energy </w:t>
      </w:r>
      <w:r w:rsidR="00F830AE">
        <w:t xml:space="preserve">due to </w:t>
      </w:r>
      <w:r>
        <w:t>heat transfer</w:t>
      </w:r>
      <w:r w:rsidR="00C75380">
        <w:t>s</w:t>
      </w:r>
      <w:r>
        <w:t xml:space="preserve"> </w:t>
      </w:r>
      <w:r w:rsidR="00F830AE">
        <w:t xml:space="preserve">from </w:t>
      </w:r>
      <w:r>
        <w:t>piping to the air surrounding the piping system.</w:t>
      </w:r>
    </w:p>
    <w:p w:rsidR="00523B88" w:rsidRDefault="00523B88" w:rsidP="00C40552">
      <w:pPr>
        <w:pStyle w:val="Numberedlevel1"/>
      </w:pPr>
      <w:r>
        <w:t>Conductive heat transfer from the water heater tank to the piping</w:t>
      </w:r>
      <w:r w:rsidR="00C75380">
        <w:t>.</w:t>
      </w:r>
    </w:p>
    <w:p w:rsidR="00523B88" w:rsidRDefault="007D1F2B" w:rsidP="00C40552">
      <w:pPr>
        <w:spacing w:after="60"/>
        <w:ind w:left="720"/>
      </w:pPr>
      <w:r>
        <w:t>D</w:t>
      </w:r>
      <w:r w:rsidR="00C75380">
        <w:t xml:space="preserve">ue to its </w:t>
      </w:r>
      <w:r w:rsidR="00523B88">
        <w:t xml:space="preserve">lower temperature and direct contact (through couplings) with the hot water stored within the water heater tank, </w:t>
      </w:r>
      <w:r w:rsidR="00C75380">
        <w:t>the piping t</w:t>
      </w:r>
      <w:r w:rsidR="00523B88">
        <w:t>ransfer</w:t>
      </w:r>
      <w:r w:rsidR="00F830AE">
        <w:t>s</w:t>
      </w:r>
      <w:r w:rsidR="00523B88">
        <w:t xml:space="preserve"> energy from the tank through the length of piping. This energy transfer occur</w:t>
      </w:r>
      <w:r w:rsidR="00F830AE">
        <w:t>s</w:t>
      </w:r>
      <w:r w:rsidR="00523B88">
        <w:t xml:space="preserve"> from the start of the piping system to </w:t>
      </w:r>
      <w:r w:rsidR="00F830AE">
        <w:t>a</w:t>
      </w:r>
      <w:r w:rsidR="00523B88">
        <w:t xml:space="preserve"> point on the piping system equal to the ambient air.</w:t>
      </w:r>
    </w:p>
    <w:p w:rsidR="00523B88" w:rsidRDefault="00523B88" w:rsidP="00C40552">
      <w:pPr>
        <w:pStyle w:val="Numberedlevel1"/>
      </w:pPr>
      <w:r>
        <w:t>Natural convection (thermosyphoning)</w:t>
      </w:r>
      <w:r w:rsidR="00C75380">
        <w:t>.</w:t>
      </w:r>
    </w:p>
    <w:p w:rsidR="00523B88" w:rsidRDefault="00C75380" w:rsidP="00C40552">
      <w:pPr>
        <w:ind w:left="720"/>
      </w:pPr>
      <w:r>
        <w:t xml:space="preserve">Due to </w:t>
      </w:r>
      <w:r w:rsidR="00F830AE">
        <w:t xml:space="preserve">cold water’s </w:t>
      </w:r>
      <w:r>
        <w:t xml:space="preserve">higher density </w:t>
      </w:r>
      <w:r w:rsidR="00523B88">
        <w:t>than warm water, piping systems contain</w:t>
      </w:r>
      <w:r>
        <w:t>ing</w:t>
      </w:r>
      <w:r w:rsidR="00523B88">
        <w:t xml:space="preserve"> water at temperatures lower than water within the water heater tank </w:t>
      </w:r>
      <w:r>
        <w:t xml:space="preserve">could </w:t>
      </w:r>
      <w:r w:rsidR="00C561AD">
        <w:t>potentially</w:t>
      </w:r>
      <w:r w:rsidR="00523B88">
        <w:t xml:space="preserve"> displace water within the tank with water from the piping system</w:t>
      </w:r>
      <w:r>
        <w:t xml:space="preserve">—a phenomenon </w:t>
      </w:r>
      <w:r w:rsidR="00523B88">
        <w:t xml:space="preserve">often </w:t>
      </w:r>
      <w:r>
        <w:t xml:space="preserve">called </w:t>
      </w:r>
      <w:r w:rsidR="00523B88">
        <w:t xml:space="preserve">natural convection or thermosyphoning. </w:t>
      </w:r>
      <w:r>
        <w:t>N</w:t>
      </w:r>
      <w:r w:rsidR="00523B88">
        <w:t xml:space="preserve">atural convection </w:t>
      </w:r>
      <w:r>
        <w:t xml:space="preserve">presents a problem </w:t>
      </w:r>
      <w:r w:rsidR="00F830AE">
        <w:t xml:space="preserve">when </w:t>
      </w:r>
      <w:r w:rsidR="00523B88">
        <w:t xml:space="preserve">water stored within a tank </w:t>
      </w:r>
      <w:r w:rsidR="00F830AE">
        <w:t>is</w:t>
      </w:r>
      <w:r w:rsidR="00523B88">
        <w:t xml:space="preserve"> forced into the piping system</w:t>
      </w:r>
      <w:r w:rsidR="002A0203">
        <w:t>,</w:t>
      </w:r>
      <w:r w:rsidR="00523B88">
        <w:t xml:space="preserve"> while water from the piping system enter</w:t>
      </w:r>
      <w:r w:rsidR="00F830AE">
        <w:t>s</w:t>
      </w:r>
      <w:r w:rsidR="00523B88">
        <w:t xml:space="preserve"> the tank</w:t>
      </w:r>
      <w:r w:rsidR="00F830AE">
        <w:t>,</w:t>
      </w:r>
      <w:r w:rsidR="00523B88">
        <w:t xml:space="preserve"> caus</w:t>
      </w:r>
      <w:r w:rsidR="00F830AE">
        <w:t>ing</w:t>
      </w:r>
      <w:r w:rsidR="00523B88">
        <w:t xml:space="preserve"> the water heater to use additional energy to </w:t>
      </w:r>
      <w:r w:rsidR="00F830AE">
        <w:t>raise water temperatures</w:t>
      </w:r>
      <w:r w:rsidR="00523B88">
        <w:t>.</w:t>
      </w:r>
    </w:p>
    <w:p w:rsidR="00523B88" w:rsidRDefault="007D1F2B" w:rsidP="00C40552">
      <w:r>
        <w:t>Recent</w:t>
      </w:r>
      <w:r w:rsidR="00523B88">
        <w:t xml:space="preserve"> evaluation</w:t>
      </w:r>
      <w:r>
        <w:t xml:space="preserve"> research</w:t>
      </w:r>
      <w:r w:rsidR="00523B88">
        <w:t xml:space="preserve"> </w:t>
      </w:r>
      <w:r>
        <w:t>indicates</w:t>
      </w:r>
      <w:r w:rsidR="00523B88">
        <w:t xml:space="preserve"> </w:t>
      </w:r>
      <w:r w:rsidR="002A0203">
        <w:t xml:space="preserve">scenarios 1 and 3 present </w:t>
      </w:r>
      <w:r w:rsidR="00523B88">
        <w:t xml:space="preserve">the two </w:t>
      </w:r>
      <w:r w:rsidR="00F830AE">
        <w:t xml:space="preserve">primary </w:t>
      </w:r>
      <w:r w:rsidR="00523B88">
        <w:t>energy</w:t>
      </w:r>
      <w:r w:rsidR="002A0203">
        <w:t>-</w:t>
      </w:r>
      <w:r w:rsidR="00523B88">
        <w:t>loss scenarios.</w:t>
      </w:r>
      <w:r w:rsidR="002953AD">
        <w:t xml:space="preserve"> </w:t>
      </w:r>
      <w:r w:rsidR="00523B88">
        <w:t>Energy loss scenario 1 only appli</w:t>
      </w:r>
      <w:r w:rsidR="002A0203">
        <w:t>es</w:t>
      </w:r>
      <w:r w:rsidR="00523B88">
        <w:t xml:space="preserve"> </w:t>
      </w:r>
      <w:r w:rsidR="002A0203">
        <w:t xml:space="preserve">when </w:t>
      </w:r>
      <w:r w:rsidR="00523B88">
        <w:t>hot water actually flow</w:t>
      </w:r>
      <w:r w:rsidR="002A0203">
        <w:t>s</w:t>
      </w:r>
      <w:r w:rsidR="00523B88">
        <w:t xml:space="preserve"> from the water heater to the point of use.</w:t>
      </w:r>
      <w:r w:rsidR="002953AD">
        <w:t xml:space="preserve"> </w:t>
      </w:r>
      <w:r w:rsidR="00523B88">
        <w:t xml:space="preserve">Based on </w:t>
      </w:r>
      <w:r w:rsidR="00F830AE">
        <w:t xml:space="preserve">an </w:t>
      </w:r>
      <w:r w:rsidR="00523B88">
        <w:t xml:space="preserve">average household water consumption of 69.3 gallons, the </w:t>
      </w:r>
      <w:r>
        <w:t>E</w:t>
      </w:r>
      <w:r w:rsidR="00523B88">
        <w:t xml:space="preserve">valuation </w:t>
      </w:r>
      <w:r>
        <w:t>T</w:t>
      </w:r>
      <w:r w:rsidR="00523B88">
        <w:t>eam found hot water pipe wrap reduced the heat transfer from water flowing through the piping system by 4.94 kWh over the course of a year.</w:t>
      </w:r>
    </w:p>
    <w:p w:rsidR="00523B88" w:rsidRDefault="00523B88" w:rsidP="00C40552">
      <w:r>
        <w:lastRenderedPageBreak/>
        <w:t>For energy loss scenario 3</w:t>
      </w:r>
      <w:r w:rsidR="002A0203">
        <w:t>—</w:t>
      </w:r>
      <w:r>
        <w:t>natural convection</w:t>
      </w:r>
      <w:r w:rsidR="002A0203">
        <w:t>—</w:t>
      </w:r>
      <w:r>
        <w:t xml:space="preserve">the maximum possible energy savings would be realized </w:t>
      </w:r>
      <w:r w:rsidR="00F830AE">
        <w:t xml:space="preserve">through </w:t>
      </w:r>
      <w:r>
        <w:t>a heat trap</w:t>
      </w:r>
      <w:r w:rsidR="00F830AE">
        <w:t>:</w:t>
      </w:r>
      <w:r w:rsidR="002953AD">
        <w:t xml:space="preserve"> </w:t>
      </w:r>
      <w:r>
        <w:t xml:space="preserve">mechanical devices that prevent water in </w:t>
      </w:r>
      <w:r w:rsidR="002A0203">
        <w:t>a</w:t>
      </w:r>
      <w:r>
        <w:t xml:space="preserve"> piping system from flowing back into the water heater, </w:t>
      </w:r>
      <w:r w:rsidR="002A0203">
        <w:t xml:space="preserve">thus </w:t>
      </w:r>
      <w:r>
        <w:t>eliminating losses associated with natural convection.</w:t>
      </w:r>
      <w:r w:rsidR="002953AD">
        <w:t xml:space="preserve"> </w:t>
      </w:r>
      <w:r>
        <w:t>The Em</w:t>
      </w:r>
      <w:r w:rsidR="00C561AD">
        <w:t xml:space="preserve">POWER </w:t>
      </w:r>
      <w:r>
        <w:t>study found that energy savings from heat traps amounted to 58 kWh annually.</w:t>
      </w:r>
      <w:r w:rsidR="002953AD">
        <w:t xml:space="preserve"> </w:t>
      </w:r>
      <w:r>
        <w:t xml:space="preserve">A U.S. Department of Energy water heater standard mandated </w:t>
      </w:r>
      <w:r w:rsidR="002A0203">
        <w:t xml:space="preserve">inclusion of </w:t>
      </w:r>
      <w:r>
        <w:t xml:space="preserve">heat traps in all water heaters manufactured </w:t>
      </w:r>
      <w:r w:rsidR="00F830AE">
        <w:br/>
      </w:r>
      <w:r>
        <w:t>after 2004.</w:t>
      </w:r>
      <w:r>
        <w:rPr>
          <w:rStyle w:val="FootnoteReference"/>
        </w:rPr>
        <w:footnoteReference w:id="33"/>
      </w:r>
      <w:r w:rsidR="002953AD">
        <w:t xml:space="preserve"> </w:t>
      </w:r>
    </w:p>
    <w:p w:rsidR="00523B88" w:rsidRDefault="00F830AE" w:rsidP="00C40552">
      <w:r>
        <w:t>S</w:t>
      </w:r>
      <w:r w:rsidR="00523B88">
        <w:t xml:space="preserve">ources evaluated for this comparison used a mix of approaches </w:t>
      </w:r>
      <w:r w:rsidR="002A0203">
        <w:t>to</w:t>
      </w:r>
      <w:r w:rsidR="00523B88">
        <w:t xml:space="preserve"> target energy savings from scenarios 1 and 3, but</w:t>
      </w:r>
      <w:r w:rsidR="002A0203">
        <w:t xml:space="preserve">, </w:t>
      </w:r>
      <w:r w:rsidR="00523B88">
        <w:t xml:space="preserve">based on the </w:t>
      </w:r>
      <w:r w:rsidR="007D1F2B">
        <w:t>E</w:t>
      </w:r>
      <w:r w:rsidR="00523B88">
        <w:t xml:space="preserve">valuation </w:t>
      </w:r>
      <w:r w:rsidR="007D1F2B">
        <w:t>T</w:t>
      </w:r>
      <w:r w:rsidR="00523B88">
        <w:t xml:space="preserve">eam’s review, none of the </w:t>
      </w:r>
      <w:r w:rsidR="00AD203A">
        <w:t xml:space="preserve">following </w:t>
      </w:r>
      <w:r w:rsidR="00523B88">
        <w:t xml:space="preserve">sources captured the true energy savings from water heater pipe insulation. </w:t>
      </w:r>
      <w:r w:rsidR="00AD203A">
        <w:t>I</w:t>
      </w:r>
      <w:r w:rsidR="00523B88">
        <w:t>n many cases</w:t>
      </w:r>
      <w:r w:rsidR="00AD203A">
        <w:t>,</w:t>
      </w:r>
      <w:r w:rsidR="00523B88">
        <w:t xml:space="preserve"> savings claimed by reviewed sources greatly overestimate</w:t>
      </w:r>
      <w:r w:rsidR="00AD203A">
        <w:t>d</w:t>
      </w:r>
      <w:r w:rsidR="00523B88">
        <w:t xml:space="preserve"> savings associated with this measure.</w:t>
      </w:r>
      <w:r w:rsidR="002953AD">
        <w:t xml:space="preserve"> </w:t>
      </w:r>
      <w:r w:rsidR="005C2163">
        <w:fldChar w:fldCharType="begin"/>
      </w:r>
      <w:r w:rsidR="00AD203A">
        <w:instrText xml:space="preserve"> REF _Ref304778657 \h </w:instrText>
      </w:r>
      <w:r w:rsidR="005C2163">
        <w:fldChar w:fldCharType="separate"/>
      </w:r>
      <w:r w:rsidR="00CD20CF">
        <w:t xml:space="preserve">Table </w:t>
      </w:r>
      <w:r w:rsidR="00CD20CF">
        <w:rPr>
          <w:noProof/>
        </w:rPr>
        <w:t>86</w:t>
      </w:r>
      <w:r w:rsidR="005C2163">
        <w:fldChar w:fldCharType="end"/>
      </w:r>
      <w:r w:rsidR="00523B88">
        <w:t xml:space="preserve"> presents the various inputs for each savings value </w:t>
      </w:r>
      <w:r w:rsidR="00AD203A">
        <w:t xml:space="preserve">with published </w:t>
      </w:r>
      <w:r w:rsidR="00523B88">
        <w:t>inputs and algorithms.</w:t>
      </w:r>
      <w:r w:rsidR="002953AD">
        <w:t xml:space="preserve"> </w:t>
      </w:r>
    </w:p>
    <w:p w:rsidR="00C40552" w:rsidRPr="00814B1E" w:rsidRDefault="00C40552" w:rsidP="00C40552">
      <w:pPr>
        <w:rPr>
          <w:b/>
          <w:bCs/>
          <w:color w:val="993300"/>
          <w:szCs w:val="20"/>
        </w:rPr>
      </w:pPr>
    </w:p>
    <w:p w:rsidR="00523B88" w:rsidRDefault="00523B88" w:rsidP="00523B88">
      <w:pPr>
        <w:sectPr w:rsidR="00523B88" w:rsidSect="00523B88">
          <w:footerReference w:type="even" r:id="rId34"/>
          <w:footerReference w:type="default" r:id="rId35"/>
          <w:pgSz w:w="12240" w:h="15840" w:code="1"/>
          <w:pgMar w:top="1440" w:right="1440" w:bottom="1440" w:left="1440" w:header="720" w:footer="720" w:gutter="0"/>
          <w:cols w:space="720"/>
          <w:docGrid w:linePitch="360"/>
        </w:sectPr>
      </w:pPr>
    </w:p>
    <w:p w:rsidR="00523B88" w:rsidRDefault="00523B88" w:rsidP="00523B88">
      <w:pPr>
        <w:pStyle w:val="Caption"/>
      </w:pPr>
      <w:bookmarkStart w:id="149" w:name="_Ref304778657"/>
      <w:bookmarkStart w:id="150" w:name="_Ref388530670"/>
      <w:r>
        <w:lastRenderedPageBreak/>
        <w:t xml:space="preserve">Table </w:t>
      </w:r>
      <w:r w:rsidR="002506E1">
        <w:fldChar w:fldCharType="begin"/>
      </w:r>
      <w:r w:rsidR="002506E1">
        <w:instrText xml:space="preserve"> SEQ Table \* ARABIC </w:instrText>
      </w:r>
      <w:r w:rsidR="002506E1">
        <w:fldChar w:fldCharType="separate"/>
      </w:r>
      <w:r w:rsidR="00CD20CF">
        <w:rPr>
          <w:noProof/>
        </w:rPr>
        <w:t>86</w:t>
      </w:r>
      <w:r w:rsidR="002506E1">
        <w:rPr>
          <w:noProof/>
        </w:rPr>
        <w:fldChar w:fldCharType="end"/>
      </w:r>
      <w:bookmarkEnd w:id="149"/>
      <w:r>
        <w:t>.</w:t>
      </w:r>
      <w:r w:rsidRPr="008B3FA1">
        <w:t xml:space="preserve"> </w:t>
      </w:r>
      <w:r>
        <w:t>Summary of Pipe Insulation Assumptions and Values</w:t>
      </w:r>
      <w:bookmarkEnd w:id="15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708"/>
        <w:gridCol w:w="1080"/>
        <w:gridCol w:w="1260"/>
        <w:gridCol w:w="991"/>
        <w:gridCol w:w="1078"/>
        <w:gridCol w:w="901"/>
        <w:gridCol w:w="991"/>
        <w:gridCol w:w="1078"/>
        <w:gridCol w:w="972"/>
        <w:gridCol w:w="1117"/>
      </w:tblGrid>
      <w:tr w:rsidR="0030047B" w:rsidRPr="007748B1" w:rsidTr="0030047B">
        <w:tc>
          <w:tcPr>
            <w:tcW w:w="1407" w:type="pct"/>
            <w:shd w:val="clear" w:color="000000" w:fill="005DAA"/>
            <w:vAlign w:val="center"/>
            <w:hideMark/>
          </w:tcPr>
          <w:p w:rsidR="00523B88" w:rsidRPr="005A748F" w:rsidRDefault="00523B88" w:rsidP="005A748F">
            <w:pPr>
              <w:spacing w:after="0"/>
              <w:jc w:val="center"/>
              <w:rPr>
                <w:rFonts w:ascii="Calibri" w:hAnsi="Calibri"/>
                <w:b/>
                <w:bCs/>
                <w:color w:val="FFFFFF"/>
              </w:rPr>
            </w:pPr>
            <w:r w:rsidRPr="005A748F">
              <w:rPr>
                <w:rFonts w:ascii="Calibri" w:hAnsi="Calibri"/>
                <w:b/>
                <w:bCs/>
                <w:color w:val="FFFFFF"/>
              </w:rPr>
              <w:t xml:space="preserve">Inputs </w:t>
            </w:r>
            <w:r w:rsidR="00E87223" w:rsidRPr="005A748F">
              <w:rPr>
                <w:rFonts w:ascii="Calibri" w:hAnsi="Calibri"/>
                <w:b/>
                <w:bCs/>
                <w:color w:val="FFFFFF"/>
              </w:rPr>
              <w:t>Description</w:t>
            </w:r>
          </w:p>
        </w:tc>
        <w:tc>
          <w:tcPr>
            <w:tcW w:w="410" w:type="pct"/>
            <w:shd w:val="clear" w:color="000000" w:fill="005DAA"/>
            <w:vAlign w:val="center"/>
            <w:hideMark/>
          </w:tcPr>
          <w:p w:rsidR="00523B88" w:rsidRPr="005A748F" w:rsidRDefault="00523B88" w:rsidP="005A748F">
            <w:pPr>
              <w:spacing w:after="0"/>
              <w:jc w:val="center"/>
              <w:rPr>
                <w:rFonts w:ascii="Calibri" w:hAnsi="Calibri"/>
                <w:b/>
                <w:bCs/>
                <w:color w:val="FFFFFF"/>
              </w:rPr>
            </w:pPr>
            <w:r w:rsidRPr="005A748F">
              <w:rPr>
                <w:rFonts w:ascii="Calibri" w:hAnsi="Calibri"/>
                <w:b/>
                <w:bCs/>
                <w:color w:val="FFFFFF"/>
              </w:rPr>
              <w:t>2013 PSD</w:t>
            </w:r>
          </w:p>
        </w:tc>
        <w:tc>
          <w:tcPr>
            <w:tcW w:w="478" w:type="pct"/>
            <w:shd w:val="clear" w:color="000000" w:fill="005DAA"/>
            <w:vAlign w:val="center"/>
            <w:hideMark/>
          </w:tcPr>
          <w:p w:rsidR="00523B88" w:rsidRPr="005A748F" w:rsidRDefault="00523B88" w:rsidP="005A748F">
            <w:pPr>
              <w:spacing w:after="0"/>
              <w:jc w:val="center"/>
              <w:rPr>
                <w:rFonts w:ascii="Calibri" w:hAnsi="Calibri"/>
                <w:b/>
                <w:bCs/>
                <w:color w:val="FFFFFF"/>
              </w:rPr>
            </w:pPr>
            <w:r w:rsidRPr="005A748F">
              <w:rPr>
                <w:rFonts w:ascii="Calibri" w:hAnsi="Calibri"/>
                <w:b/>
                <w:bCs/>
                <w:color w:val="FFFFFF"/>
              </w:rPr>
              <w:t>2011 PSD</w:t>
            </w:r>
          </w:p>
        </w:tc>
        <w:tc>
          <w:tcPr>
            <w:tcW w:w="376" w:type="pct"/>
            <w:shd w:val="clear" w:color="000000" w:fill="005DAA"/>
            <w:vAlign w:val="center"/>
            <w:hideMark/>
          </w:tcPr>
          <w:p w:rsidR="00523B88" w:rsidRPr="005A748F" w:rsidRDefault="00523B88" w:rsidP="005A748F">
            <w:pPr>
              <w:spacing w:after="0"/>
              <w:jc w:val="center"/>
              <w:rPr>
                <w:rFonts w:ascii="Calibri" w:hAnsi="Calibri"/>
                <w:b/>
                <w:bCs/>
                <w:color w:val="FFFFFF"/>
              </w:rPr>
            </w:pPr>
            <w:r w:rsidRPr="005A748F">
              <w:rPr>
                <w:rFonts w:ascii="Calibri" w:hAnsi="Calibri"/>
                <w:b/>
                <w:bCs/>
                <w:color w:val="FFFFFF"/>
              </w:rPr>
              <w:t>Illinois</w:t>
            </w:r>
          </w:p>
        </w:tc>
        <w:tc>
          <w:tcPr>
            <w:tcW w:w="409" w:type="pct"/>
            <w:shd w:val="clear" w:color="000000" w:fill="005DAA"/>
            <w:vAlign w:val="center"/>
            <w:hideMark/>
          </w:tcPr>
          <w:p w:rsidR="00523B88" w:rsidRPr="005A748F" w:rsidRDefault="00523B88" w:rsidP="005A748F">
            <w:pPr>
              <w:spacing w:after="0"/>
              <w:jc w:val="center"/>
              <w:rPr>
                <w:rFonts w:ascii="Calibri" w:hAnsi="Calibri"/>
                <w:b/>
                <w:bCs/>
                <w:color w:val="FFFFFF"/>
              </w:rPr>
            </w:pPr>
            <w:r w:rsidRPr="005A748F">
              <w:rPr>
                <w:rFonts w:ascii="Calibri" w:hAnsi="Calibri"/>
                <w:b/>
                <w:bCs/>
                <w:color w:val="FFFFFF"/>
              </w:rPr>
              <w:t>MA Report</w:t>
            </w:r>
          </w:p>
        </w:tc>
        <w:tc>
          <w:tcPr>
            <w:tcW w:w="342" w:type="pct"/>
            <w:shd w:val="clear" w:color="000000" w:fill="005DAA"/>
            <w:vAlign w:val="center"/>
            <w:hideMark/>
          </w:tcPr>
          <w:p w:rsidR="00523B88" w:rsidRPr="005A748F" w:rsidRDefault="00523B88" w:rsidP="005A748F">
            <w:pPr>
              <w:spacing w:after="0"/>
              <w:jc w:val="center"/>
              <w:rPr>
                <w:rFonts w:ascii="Calibri" w:hAnsi="Calibri"/>
                <w:b/>
                <w:bCs/>
                <w:color w:val="FFFFFF"/>
              </w:rPr>
            </w:pPr>
            <w:r w:rsidRPr="005A748F">
              <w:rPr>
                <w:rFonts w:ascii="Calibri" w:hAnsi="Calibri"/>
                <w:b/>
                <w:bCs/>
                <w:color w:val="FFFFFF"/>
              </w:rPr>
              <w:t>MA TRM</w:t>
            </w:r>
          </w:p>
        </w:tc>
        <w:tc>
          <w:tcPr>
            <w:tcW w:w="376" w:type="pct"/>
            <w:shd w:val="clear" w:color="000000" w:fill="005DAA"/>
            <w:vAlign w:val="center"/>
            <w:hideMark/>
          </w:tcPr>
          <w:p w:rsidR="00523B88" w:rsidRPr="005A748F" w:rsidRDefault="00523B88" w:rsidP="005A748F">
            <w:pPr>
              <w:spacing w:after="0"/>
              <w:jc w:val="center"/>
              <w:rPr>
                <w:rFonts w:ascii="Calibri" w:hAnsi="Calibri"/>
                <w:b/>
                <w:bCs/>
                <w:color w:val="FFFFFF"/>
              </w:rPr>
            </w:pPr>
            <w:r w:rsidRPr="005A748F">
              <w:rPr>
                <w:rFonts w:ascii="Calibri" w:hAnsi="Calibri"/>
                <w:b/>
                <w:bCs/>
                <w:color w:val="FFFFFF"/>
              </w:rPr>
              <w:t>Maine</w:t>
            </w:r>
          </w:p>
        </w:tc>
        <w:tc>
          <w:tcPr>
            <w:tcW w:w="409" w:type="pct"/>
            <w:shd w:val="clear" w:color="000000" w:fill="005DAA"/>
            <w:vAlign w:val="center"/>
            <w:hideMark/>
          </w:tcPr>
          <w:p w:rsidR="00523B88" w:rsidRPr="005A748F" w:rsidRDefault="00523B88" w:rsidP="005A748F">
            <w:pPr>
              <w:spacing w:after="0"/>
              <w:jc w:val="center"/>
              <w:rPr>
                <w:rFonts w:ascii="Calibri" w:hAnsi="Calibri"/>
                <w:b/>
                <w:bCs/>
                <w:color w:val="FFFFFF"/>
              </w:rPr>
            </w:pPr>
            <w:r w:rsidRPr="005A748F">
              <w:rPr>
                <w:rFonts w:ascii="Calibri" w:hAnsi="Calibri"/>
                <w:b/>
                <w:bCs/>
                <w:color w:val="FFFFFF"/>
              </w:rPr>
              <w:t>PA 2014</w:t>
            </w:r>
          </w:p>
        </w:tc>
        <w:tc>
          <w:tcPr>
            <w:tcW w:w="369" w:type="pct"/>
            <w:shd w:val="clear" w:color="000000" w:fill="005DAA"/>
            <w:vAlign w:val="center"/>
            <w:hideMark/>
          </w:tcPr>
          <w:p w:rsidR="00523B88" w:rsidRPr="005A748F" w:rsidRDefault="00523B88" w:rsidP="005A748F">
            <w:pPr>
              <w:spacing w:after="0"/>
              <w:jc w:val="center"/>
              <w:rPr>
                <w:rFonts w:ascii="Calibri" w:hAnsi="Calibri"/>
                <w:b/>
                <w:bCs/>
                <w:color w:val="FFFFFF"/>
              </w:rPr>
            </w:pPr>
            <w:r w:rsidRPr="005A748F">
              <w:rPr>
                <w:rFonts w:ascii="Calibri" w:hAnsi="Calibri"/>
                <w:b/>
                <w:bCs/>
                <w:color w:val="FFFFFF"/>
              </w:rPr>
              <w:t>Indiana</w:t>
            </w:r>
          </w:p>
        </w:tc>
        <w:tc>
          <w:tcPr>
            <w:tcW w:w="424" w:type="pct"/>
            <w:shd w:val="clear" w:color="000000" w:fill="005DAA"/>
            <w:vAlign w:val="center"/>
            <w:hideMark/>
          </w:tcPr>
          <w:p w:rsidR="00523B88" w:rsidRPr="005A748F" w:rsidRDefault="00523B88" w:rsidP="005A748F">
            <w:pPr>
              <w:spacing w:after="0"/>
              <w:jc w:val="center"/>
              <w:rPr>
                <w:rFonts w:ascii="Calibri" w:hAnsi="Calibri"/>
                <w:b/>
                <w:bCs/>
                <w:color w:val="FFFFFF"/>
              </w:rPr>
            </w:pPr>
            <w:r w:rsidRPr="005A748F">
              <w:rPr>
                <w:rFonts w:ascii="Calibri" w:hAnsi="Calibri"/>
                <w:b/>
                <w:bCs/>
                <w:color w:val="FFFFFF"/>
              </w:rPr>
              <w:t>Mid-Atlantic 2013</w:t>
            </w:r>
          </w:p>
        </w:tc>
      </w:tr>
      <w:tr w:rsidR="0030047B" w:rsidRPr="007748B1" w:rsidTr="0030047B">
        <w:tc>
          <w:tcPr>
            <w:tcW w:w="1407" w:type="pct"/>
            <w:shd w:val="clear" w:color="auto" w:fill="auto"/>
            <w:vAlign w:val="center"/>
            <w:hideMark/>
          </w:tcPr>
          <w:p w:rsidR="00523B88" w:rsidRPr="005A748F" w:rsidRDefault="00523B88" w:rsidP="005A748F">
            <w:pPr>
              <w:spacing w:after="0"/>
              <w:rPr>
                <w:rFonts w:ascii="Calibri" w:hAnsi="Calibri"/>
                <w:color w:val="000000"/>
                <w:sz w:val="20"/>
                <w:szCs w:val="20"/>
              </w:rPr>
            </w:pPr>
            <w:r w:rsidRPr="005A748F">
              <w:rPr>
                <w:rFonts w:ascii="Calibri" w:hAnsi="Calibri"/>
                <w:color w:val="000000"/>
                <w:sz w:val="20"/>
                <w:szCs w:val="20"/>
              </w:rPr>
              <w:t>R Exist (Btu/hr-°F-ft)</w:t>
            </w:r>
          </w:p>
        </w:tc>
        <w:tc>
          <w:tcPr>
            <w:tcW w:w="410"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478"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76"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1.00</w:t>
            </w:r>
          </w:p>
        </w:tc>
        <w:tc>
          <w:tcPr>
            <w:tcW w:w="40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1.00</w:t>
            </w:r>
          </w:p>
        </w:tc>
        <w:tc>
          <w:tcPr>
            <w:tcW w:w="342"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76"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40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6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1.00</w:t>
            </w:r>
          </w:p>
        </w:tc>
        <w:tc>
          <w:tcPr>
            <w:tcW w:w="424"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1.00</w:t>
            </w:r>
          </w:p>
        </w:tc>
      </w:tr>
      <w:tr w:rsidR="0030047B" w:rsidRPr="007748B1" w:rsidTr="0030047B">
        <w:tc>
          <w:tcPr>
            <w:tcW w:w="1407" w:type="pct"/>
            <w:shd w:val="clear" w:color="auto" w:fill="auto"/>
            <w:vAlign w:val="center"/>
            <w:hideMark/>
          </w:tcPr>
          <w:p w:rsidR="00523B88" w:rsidRPr="005A748F" w:rsidRDefault="00523B88" w:rsidP="005A748F">
            <w:pPr>
              <w:spacing w:after="0"/>
              <w:rPr>
                <w:rFonts w:ascii="Calibri" w:hAnsi="Calibri"/>
                <w:color w:val="000000"/>
                <w:sz w:val="20"/>
                <w:szCs w:val="20"/>
              </w:rPr>
            </w:pPr>
            <w:r w:rsidRPr="005A748F">
              <w:rPr>
                <w:rFonts w:ascii="Calibri" w:hAnsi="Calibri"/>
                <w:color w:val="000000"/>
                <w:sz w:val="20"/>
                <w:szCs w:val="20"/>
              </w:rPr>
              <w:t>R New (Btu/hr-°F-ft)</w:t>
            </w:r>
          </w:p>
        </w:tc>
        <w:tc>
          <w:tcPr>
            <w:tcW w:w="410"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478"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76"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5.00</w:t>
            </w:r>
          </w:p>
        </w:tc>
        <w:tc>
          <w:tcPr>
            <w:tcW w:w="40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5.00</w:t>
            </w:r>
          </w:p>
        </w:tc>
        <w:tc>
          <w:tcPr>
            <w:tcW w:w="342"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76"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40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6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5.00</w:t>
            </w:r>
          </w:p>
        </w:tc>
        <w:tc>
          <w:tcPr>
            <w:tcW w:w="424"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4.50</w:t>
            </w:r>
          </w:p>
        </w:tc>
      </w:tr>
      <w:tr w:rsidR="0030047B" w:rsidRPr="007748B1" w:rsidTr="0030047B">
        <w:tc>
          <w:tcPr>
            <w:tcW w:w="1407" w:type="pct"/>
            <w:shd w:val="clear" w:color="auto" w:fill="auto"/>
            <w:vAlign w:val="center"/>
            <w:hideMark/>
          </w:tcPr>
          <w:p w:rsidR="00523B88" w:rsidRPr="005A748F" w:rsidRDefault="00523B88" w:rsidP="005A748F">
            <w:pPr>
              <w:spacing w:after="0"/>
              <w:rPr>
                <w:rFonts w:ascii="Calibri" w:hAnsi="Calibri"/>
                <w:color w:val="000000"/>
                <w:sz w:val="20"/>
                <w:szCs w:val="20"/>
              </w:rPr>
            </w:pPr>
            <w:r w:rsidRPr="005A748F">
              <w:rPr>
                <w:rFonts w:ascii="Calibri" w:hAnsi="Calibri"/>
                <w:color w:val="000000"/>
                <w:sz w:val="20"/>
                <w:szCs w:val="20"/>
              </w:rPr>
              <w:t>Length of Insulation (ft)</w:t>
            </w:r>
          </w:p>
        </w:tc>
        <w:tc>
          <w:tcPr>
            <w:tcW w:w="410"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1.00</w:t>
            </w:r>
          </w:p>
        </w:tc>
        <w:tc>
          <w:tcPr>
            <w:tcW w:w="478"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10.00</w:t>
            </w:r>
          </w:p>
        </w:tc>
        <w:tc>
          <w:tcPr>
            <w:tcW w:w="376"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1.00</w:t>
            </w:r>
          </w:p>
        </w:tc>
        <w:tc>
          <w:tcPr>
            <w:tcW w:w="40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6.00</w:t>
            </w:r>
          </w:p>
        </w:tc>
        <w:tc>
          <w:tcPr>
            <w:tcW w:w="342"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1.00</w:t>
            </w:r>
          </w:p>
        </w:tc>
        <w:tc>
          <w:tcPr>
            <w:tcW w:w="376"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10.00</w:t>
            </w:r>
          </w:p>
        </w:tc>
        <w:tc>
          <w:tcPr>
            <w:tcW w:w="40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10.00</w:t>
            </w:r>
          </w:p>
        </w:tc>
        <w:tc>
          <w:tcPr>
            <w:tcW w:w="36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1.00</w:t>
            </w:r>
          </w:p>
        </w:tc>
        <w:tc>
          <w:tcPr>
            <w:tcW w:w="424"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1.00</w:t>
            </w:r>
          </w:p>
        </w:tc>
      </w:tr>
      <w:tr w:rsidR="0030047B" w:rsidRPr="007748B1" w:rsidTr="0030047B">
        <w:tc>
          <w:tcPr>
            <w:tcW w:w="1407" w:type="pct"/>
            <w:shd w:val="clear" w:color="auto" w:fill="auto"/>
            <w:vAlign w:val="center"/>
            <w:hideMark/>
          </w:tcPr>
          <w:p w:rsidR="00523B88" w:rsidRPr="005A748F" w:rsidRDefault="00523B88" w:rsidP="005A748F">
            <w:pPr>
              <w:spacing w:after="0"/>
              <w:rPr>
                <w:rFonts w:ascii="Calibri" w:hAnsi="Calibri"/>
                <w:color w:val="000000"/>
                <w:sz w:val="20"/>
                <w:szCs w:val="20"/>
              </w:rPr>
            </w:pPr>
            <w:r w:rsidRPr="005A748F">
              <w:rPr>
                <w:rFonts w:ascii="Calibri" w:hAnsi="Calibri"/>
                <w:color w:val="000000"/>
                <w:sz w:val="20"/>
                <w:szCs w:val="20"/>
              </w:rPr>
              <w:t>Circumference of Pipe (ft)</w:t>
            </w:r>
          </w:p>
        </w:tc>
        <w:tc>
          <w:tcPr>
            <w:tcW w:w="410" w:type="pct"/>
            <w:shd w:val="clear" w:color="000000" w:fill="FFE8D2"/>
            <w:vAlign w:val="center"/>
            <w:hideMark/>
          </w:tcPr>
          <w:p w:rsidR="00523B88" w:rsidRPr="005A748F" w:rsidRDefault="00523B88" w:rsidP="005A748F">
            <w:pPr>
              <w:spacing w:after="0"/>
              <w:jc w:val="right"/>
              <w:rPr>
                <w:color w:val="000000"/>
                <w:sz w:val="20"/>
                <w:szCs w:val="20"/>
              </w:rPr>
            </w:pPr>
            <w:r w:rsidRPr="005A748F">
              <w:rPr>
                <w:color w:val="000000"/>
                <w:sz w:val="20"/>
                <w:szCs w:val="20"/>
              </w:rPr>
              <w:t>0.13</w:t>
            </w:r>
          </w:p>
        </w:tc>
        <w:tc>
          <w:tcPr>
            <w:tcW w:w="478" w:type="pct"/>
            <w:shd w:val="clear" w:color="000000" w:fill="FFE8D2"/>
            <w:vAlign w:val="center"/>
            <w:hideMark/>
          </w:tcPr>
          <w:p w:rsidR="00523B88" w:rsidRPr="005A748F" w:rsidRDefault="00523B88" w:rsidP="005A748F">
            <w:pPr>
              <w:spacing w:after="0"/>
              <w:jc w:val="right"/>
              <w:rPr>
                <w:color w:val="000000"/>
                <w:sz w:val="20"/>
                <w:szCs w:val="20"/>
              </w:rPr>
            </w:pPr>
            <w:r w:rsidRPr="005A748F">
              <w:rPr>
                <w:color w:val="000000"/>
                <w:sz w:val="20"/>
                <w:szCs w:val="20"/>
              </w:rPr>
              <w:t>0.13</w:t>
            </w:r>
          </w:p>
        </w:tc>
        <w:tc>
          <w:tcPr>
            <w:tcW w:w="376"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0.20</w:t>
            </w:r>
          </w:p>
        </w:tc>
        <w:tc>
          <w:tcPr>
            <w:tcW w:w="409" w:type="pct"/>
            <w:shd w:val="clear" w:color="000000" w:fill="FFE8D2"/>
            <w:vAlign w:val="center"/>
            <w:hideMark/>
          </w:tcPr>
          <w:p w:rsidR="00523B88" w:rsidRPr="005A748F" w:rsidRDefault="00523B88" w:rsidP="005A748F">
            <w:pPr>
              <w:spacing w:after="0"/>
              <w:jc w:val="right"/>
              <w:rPr>
                <w:color w:val="000000"/>
                <w:sz w:val="20"/>
                <w:szCs w:val="20"/>
              </w:rPr>
            </w:pPr>
            <w:r w:rsidRPr="005A748F">
              <w:rPr>
                <w:color w:val="000000"/>
                <w:sz w:val="20"/>
                <w:szCs w:val="20"/>
              </w:rPr>
              <w:t>0.13</w:t>
            </w:r>
          </w:p>
        </w:tc>
        <w:tc>
          <w:tcPr>
            <w:tcW w:w="342"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76"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409" w:type="pct"/>
            <w:shd w:val="clear" w:color="000000" w:fill="FFE8D2"/>
            <w:vAlign w:val="center"/>
            <w:hideMark/>
          </w:tcPr>
          <w:p w:rsidR="00523B88" w:rsidRPr="005A748F" w:rsidRDefault="00523B88" w:rsidP="005A748F">
            <w:pPr>
              <w:spacing w:after="0"/>
              <w:jc w:val="right"/>
              <w:rPr>
                <w:color w:val="000000"/>
                <w:sz w:val="20"/>
                <w:szCs w:val="20"/>
              </w:rPr>
            </w:pPr>
            <w:r w:rsidRPr="005A748F">
              <w:rPr>
                <w:color w:val="000000"/>
                <w:sz w:val="20"/>
                <w:szCs w:val="20"/>
              </w:rPr>
              <w:t>0.20</w:t>
            </w:r>
          </w:p>
        </w:tc>
        <w:tc>
          <w:tcPr>
            <w:tcW w:w="36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0.20</w:t>
            </w:r>
          </w:p>
        </w:tc>
        <w:tc>
          <w:tcPr>
            <w:tcW w:w="424"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0.20</w:t>
            </w:r>
          </w:p>
        </w:tc>
      </w:tr>
      <w:tr w:rsidR="0030047B" w:rsidRPr="007748B1" w:rsidTr="0030047B">
        <w:tc>
          <w:tcPr>
            <w:tcW w:w="1407" w:type="pct"/>
            <w:shd w:val="clear" w:color="auto" w:fill="auto"/>
            <w:vAlign w:val="center"/>
            <w:hideMark/>
          </w:tcPr>
          <w:p w:rsidR="00523B88" w:rsidRPr="005A748F" w:rsidRDefault="00523B88" w:rsidP="005A748F">
            <w:pPr>
              <w:spacing w:after="0"/>
              <w:rPr>
                <w:rFonts w:ascii="Calibri" w:hAnsi="Calibri"/>
                <w:color w:val="000000"/>
                <w:sz w:val="20"/>
                <w:szCs w:val="20"/>
              </w:rPr>
            </w:pPr>
            <w:r w:rsidRPr="005A748F">
              <w:rPr>
                <w:rFonts w:ascii="Calibri" w:hAnsi="Calibri"/>
                <w:color w:val="000000"/>
                <w:sz w:val="20"/>
                <w:szCs w:val="20"/>
              </w:rPr>
              <w:t>Hot Water Temp (°F)</w:t>
            </w:r>
          </w:p>
        </w:tc>
        <w:tc>
          <w:tcPr>
            <w:tcW w:w="410"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90.00</w:t>
            </w:r>
          </w:p>
        </w:tc>
        <w:tc>
          <w:tcPr>
            <w:tcW w:w="478"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90.00</w:t>
            </w:r>
          </w:p>
        </w:tc>
        <w:tc>
          <w:tcPr>
            <w:tcW w:w="376"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40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120.00</w:t>
            </w:r>
          </w:p>
        </w:tc>
        <w:tc>
          <w:tcPr>
            <w:tcW w:w="342"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76"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125.00</w:t>
            </w:r>
          </w:p>
        </w:tc>
        <w:tc>
          <w:tcPr>
            <w:tcW w:w="40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6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424"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r>
      <w:tr w:rsidR="0030047B" w:rsidRPr="007748B1" w:rsidTr="0030047B">
        <w:tc>
          <w:tcPr>
            <w:tcW w:w="1407" w:type="pct"/>
            <w:shd w:val="clear" w:color="auto" w:fill="auto"/>
            <w:vAlign w:val="center"/>
            <w:hideMark/>
          </w:tcPr>
          <w:p w:rsidR="00523B88" w:rsidRPr="005A748F" w:rsidRDefault="00523B88" w:rsidP="005A748F">
            <w:pPr>
              <w:spacing w:after="0"/>
              <w:rPr>
                <w:rFonts w:ascii="Calibri" w:hAnsi="Calibri"/>
                <w:color w:val="000000"/>
                <w:sz w:val="20"/>
                <w:szCs w:val="20"/>
              </w:rPr>
            </w:pPr>
            <w:r w:rsidRPr="005A748F">
              <w:rPr>
                <w:rFonts w:ascii="Calibri" w:hAnsi="Calibri"/>
                <w:color w:val="000000"/>
                <w:sz w:val="20"/>
                <w:szCs w:val="20"/>
              </w:rPr>
              <w:t>Ambient Air Temp (°F)</w:t>
            </w:r>
          </w:p>
        </w:tc>
        <w:tc>
          <w:tcPr>
            <w:tcW w:w="410"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60.00</w:t>
            </w:r>
          </w:p>
        </w:tc>
        <w:tc>
          <w:tcPr>
            <w:tcW w:w="478"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60.00</w:t>
            </w:r>
          </w:p>
        </w:tc>
        <w:tc>
          <w:tcPr>
            <w:tcW w:w="376"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40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65.00</w:t>
            </w:r>
          </w:p>
        </w:tc>
        <w:tc>
          <w:tcPr>
            <w:tcW w:w="342"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76"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50.80</w:t>
            </w:r>
          </w:p>
        </w:tc>
        <w:tc>
          <w:tcPr>
            <w:tcW w:w="40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6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424"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r>
      <w:tr w:rsidR="0030047B" w:rsidRPr="007748B1" w:rsidTr="0030047B">
        <w:tc>
          <w:tcPr>
            <w:tcW w:w="1407" w:type="pct"/>
            <w:shd w:val="clear" w:color="auto" w:fill="auto"/>
            <w:vAlign w:val="center"/>
            <w:hideMark/>
          </w:tcPr>
          <w:p w:rsidR="00523B88" w:rsidRPr="005A748F" w:rsidRDefault="00523B88" w:rsidP="005A748F">
            <w:pPr>
              <w:spacing w:after="0"/>
              <w:rPr>
                <w:rFonts w:ascii="Calibri" w:hAnsi="Calibri"/>
                <w:color w:val="000000"/>
                <w:sz w:val="20"/>
                <w:szCs w:val="20"/>
              </w:rPr>
            </w:pPr>
            <w:r w:rsidRPr="005A748F">
              <w:rPr>
                <w:rFonts w:ascii="Calibri" w:hAnsi="Calibri"/>
                <w:color w:val="000000"/>
                <w:sz w:val="20"/>
                <w:szCs w:val="20"/>
              </w:rPr>
              <w:t xml:space="preserve">Delta T (°F) </w:t>
            </w:r>
          </w:p>
        </w:tc>
        <w:tc>
          <w:tcPr>
            <w:tcW w:w="410"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30.00</w:t>
            </w:r>
          </w:p>
        </w:tc>
        <w:tc>
          <w:tcPr>
            <w:tcW w:w="478"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30.00</w:t>
            </w:r>
          </w:p>
        </w:tc>
        <w:tc>
          <w:tcPr>
            <w:tcW w:w="376"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60.00</w:t>
            </w:r>
          </w:p>
        </w:tc>
        <w:tc>
          <w:tcPr>
            <w:tcW w:w="40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55.00</w:t>
            </w:r>
          </w:p>
        </w:tc>
        <w:tc>
          <w:tcPr>
            <w:tcW w:w="342"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76"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74.20</w:t>
            </w:r>
          </w:p>
        </w:tc>
        <w:tc>
          <w:tcPr>
            <w:tcW w:w="40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6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65.00</w:t>
            </w:r>
          </w:p>
        </w:tc>
        <w:tc>
          <w:tcPr>
            <w:tcW w:w="424"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65.00</w:t>
            </w:r>
          </w:p>
        </w:tc>
      </w:tr>
      <w:tr w:rsidR="0030047B" w:rsidRPr="007748B1" w:rsidTr="0030047B">
        <w:tc>
          <w:tcPr>
            <w:tcW w:w="1407" w:type="pct"/>
            <w:shd w:val="clear" w:color="auto" w:fill="auto"/>
            <w:vAlign w:val="center"/>
            <w:hideMark/>
          </w:tcPr>
          <w:p w:rsidR="00523B88" w:rsidRPr="005A748F" w:rsidRDefault="00523B88" w:rsidP="005A748F">
            <w:pPr>
              <w:spacing w:after="0"/>
              <w:rPr>
                <w:rFonts w:ascii="Calibri" w:hAnsi="Calibri"/>
                <w:color w:val="000000"/>
                <w:sz w:val="20"/>
                <w:szCs w:val="20"/>
              </w:rPr>
            </w:pPr>
            <w:r w:rsidRPr="005A748F">
              <w:rPr>
                <w:rFonts w:ascii="Calibri" w:hAnsi="Calibri"/>
                <w:color w:val="000000"/>
                <w:sz w:val="20"/>
                <w:szCs w:val="20"/>
              </w:rPr>
              <w:t>HOU (hours)</w:t>
            </w:r>
          </w:p>
        </w:tc>
        <w:tc>
          <w:tcPr>
            <w:tcW w:w="410"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478"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76"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8,766.00</w:t>
            </w:r>
          </w:p>
        </w:tc>
        <w:tc>
          <w:tcPr>
            <w:tcW w:w="40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8,760.00</w:t>
            </w:r>
          </w:p>
        </w:tc>
        <w:tc>
          <w:tcPr>
            <w:tcW w:w="342"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76"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8,760.00</w:t>
            </w:r>
          </w:p>
        </w:tc>
        <w:tc>
          <w:tcPr>
            <w:tcW w:w="40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6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8,760.00</w:t>
            </w:r>
          </w:p>
        </w:tc>
        <w:tc>
          <w:tcPr>
            <w:tcW w:w="424"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8,760.00</w:t>
            </w:r>
          </w:p>
        </w:tc>
      </w:tr>
      <w:tr w:rsidR="0030047B" w:rsidRPr="007748B1" w:rsidTr="0030047B">
        <w:tc>
          <w:tcPr>
            <w:tcW w:w="1407" w:type="pct"/>
            <w:shd w:val="clear" w:color="auto" w:fill="auto"/>
            <w:vAlign w:val="center"/>
            <w:hideMark/>
          </w:tcPr>
          <w:p w:rsidR="00523B88" w:rsidRPr="005A748F" w:rsidRDefault="00523B88" w:rsidP="005A748F">
            <w:pPr>
              <w:spacing w:after="0"/>
              <w:rPr>
                <w:rFonts w:ascii="Calibri" w:hAnsi="Calibri"/>
                <w:color w:val="000000"/>
                <w:sz w:val="20"/>
                <w:szCs w:val="20"/>
              </w:rPr>
            </w:pPr>
            <w:r w:rsidRPr="005A748F">
              <w:rPr>
                <w:rFonts w:ascii="Calibri" w:hAnsi="Calibri"/>
                <w:color w:val="000000"/>
                <w:sz w:val="20"/>
                <w:szCs w:val="20"/>
              </w:rPr>
              <w:t>RE of Water Heater (%)</w:t>
            </w:r>
          </w:p>
        </w:tc>
        <w:tc>
          <w:tcPr>
            <w:tcW w:w="410"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478"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76"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0.98</w:t>
            </w:r>
          </w:p>
        </w:tc>
        <w:tc>
          <w:tcPr>
            <w:tcW w:w="40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0.97</w:t>
            </w:r>
          </w:p>
        </w:tc>
        <w:tc>
          <w:tcPr>
            <w:tcW w:w="342"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76"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0.98</w:t>
            </w:r>
          </w:p>
        </w:tc>
        <w:tc>
          <w:tcPr>
            <w:tcW w:w="40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6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0.98</w:t>
            </w:r>
          </w:p>
        </w:tc>
        <w:tc>
          <w:tcPr>
            <w:tcW w:w="424"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0.98</w:t>
            </w:r>
          </w:p>
        </w:tc>
      </w:tr>
      <w:tr w:rsidR="0030047B" w:rsidRPr="007748B1" w:rsidTr="0030047B">
        <w:tc>
          <w:tcPr>
            <w:tcW w:w="1407" w:type="pct"/>
            <w:shd w:val="clear" w:color="auto" w:fill="auto"/>
            <w:vAlign w:val="center"/>
            <w:hideMark/>
          </w:tcPr>
          <w:p w:rsidR="00523B88" w:rsidRPr="005A748F" w:rsidRDefault="00523B88" w:rsidP="005A748F">
            <w:pPr>
              <w:spacing w:after="0"/>
              <w:rPr>
                <w:rFonts w:ascii="Calibri" w:hAnsi="Calibri"/>
                <w:color w:val="000000"/>
                <w:sz w:val="20"/>
                <w:szCs w:val="20"/>
              </w:rPr>
            </w:pPr>
            <w:r w:rsidRPr="005A748F">
              <w:rPr>
                <w:rFonts w:ascii="Calibri" w:hAnsi="Calibri"/>
                <w:color w:val="000000"/>
                <w:sz w:val="20"/>
                <w:szCs w:val="20"/>
              </w:rPr>
              <w:t>Gallons per Day (Gal / Day)</w:t>
            </w:r>
          </w:p>
        </w:tc>
        <w:tc>
          <w:tcPr>
            <w:tcW w:w="410"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478"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76"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40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0.02</w:t>
            </w:r>
          </w:p>
        </w:tc>
        <w:tc>
          <w:tcPr>
            <w:tcW w:w="342"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76"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51.10</w:t>
            </w:r>
          </w:p>
        </w:tc>
        <w:tc>
          <w:tcPr>
            <w:tcW w:w="40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6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424"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r>
      <w:tr w:rsidR="0030047B" w:rsidRPr="007748B1" w:rsidTr="0030047B">
        <w:tc>
          <w:tcPr>
            <w:tcW w:w="1407" w:type="pct"/>
            <w:shd w:val="clear" w:color="auto" w:fill="auto"/>
            <w:vAlign w:val="center"/>
            <w:hideMark/>
          </w:tcPr>
          <w:p w:rsidR="00523B88" w:rsidRPr="005A748F" w:rsidRDefault="00523B88" w:rsidP="005A748F">
            <w:pPr>
              <w:spacing w:after="0"/>
              <w:rPr>
                <w:rFonts w:ascii="Calibri" w:hAnsi="Calibri"/>
                <w:color w:val="000000"/>
                <w:sz w:val="20"/>
                <w:szCs w:val="20"/>
              </w:rPr>
            </w:pPr>
            <w:r w:rsidRPr="005A748F">
              <w:rPr>
                <w:rFonts w:ascii="Calibri" w:hAnsi="Calibri"/>
                <w:color w:val="000000"/>
                <w:sz w:val="20"/>
                <w:szCs w:val="20"/>
              </w:rPr>
              <w:t>Savings Factor (%)</w:t>
            </w:r>
          </w:p>
        </w:tc>
        <w:tc>
          <w:tcPr>
            <w:tcW w:w="410"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478"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76"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40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42"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76"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0.03</w:t>
            </w:r>
          </w:p>
        </w:tc>
        <w:tc>
          <w:tcPr>
            <w:tcW w:w="40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0.03</w:t>
            </w:r>
          </w:p>
        </w:tc>
        <w:tc>
          <w:tcPr>
            <w:tcW w:w="36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424"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r>
      <w:tr w:rsidR="0030047B" w:rsidRPr="007748B1" w:rsidTr="0030047B">
        <w:tc>
          <w:tcPr>
            <w:tcW w:w="1407" w:type="pct"/>
            <w:shd w:val="clear" w:color="auto" w:fill="auto"/>
            <w:vAlign w:val="center"/>
            <w:hideMark/>
          </w:tcPr>
          <w:p w:rsidR="00523B88" w:rsidRPr="005A748F" w:rsidRDefault="00523B88" w:rsidP="005A748F">
            <w:pPr>
              <w:spacing w:after="0"/>
              <w:rPr>
                <w:rFonts w:ascii="Calibri" w:hAnsi="Calibri"/>
                <w:color w:val="000000"/>
                <w:sz w:val="20"/>
                <w:szCs w:val="20"/>
              </w:rPr>
            </w:pPr>
            <w:r w:rsidRPr="005A748F">
              <w:rPr>
                <w:rFonts w:ascii="Calibri" w:hAnsi="Calibri"/>
                <w:color w:val="000000"/>
                <w:sz w:val="20"/>
                <w:szCs w:val="20"/>
              </w:rPr>
              <w:t>Density of Water</w:t>
            </w:r>
          </w:p>
        </w:tc>
        <w:tc>
          <w:tcPr>
            <w:tcW w:w="410"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478"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76"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40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42"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76"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8.30</w:t>
            </w:r>
          </w:p>
        </w:tc>
        <w:tc>
          <w:tcPr>
            <w:tcW w:w="40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6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424"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r>
      <w:tr w:rsidR="0030047B" w:rsidRPr="007748B1" w:rsidTr="0030047B">
        <w:tc>
          <w:tcPr>
            <w:tcW w:w="1407" w:type="pct"/>
            <w:shd w:val="clear" w:color="auto" w:fill="auto"/>
            <w:vAlign w:val="center"/>
            <w:hideMark/>
          </w:tcPr>
          <w:p w:rsidR="00523B88" w:rsidRPr="005A748F" w:rsidRDefault="00523B88" w:rsidP="005A748F">
            <w:pPr>
              <w:spacing w:after="0"/>
              <w:rPr>
                <w:rFonts w:ascii="Calibri" w:hAnsi="Calibri"/>
                <w:color w:val="000000"/>
                <w:sz w:val="20"/>
                <w:szCs w:val="20"/>
              </w:rPr>
            </w:pPr>
            <w:r w:rsidRPr="005A748F">
              <w:rPr>
                <w:rFonts w:ascii="Calibri" w:hAnsi="Calibri"/>
                <w:color w:val="000000"/>
                <w:sz w:val="20"/>
                <w:szCs w:val="20"/>
              </w:rPr>
              <w:t>Water Heater Energy Consumption (kWh)</w:t>
            </w:r>
          </w:p>
        </w:tc>
        <w:tc>
          <w:tcPr>
            <w:tcW w:w="410"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478"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76"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40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4,261.00</w:t>
            </w:r>
          </w:p>
        </w:tc>
        <w:tc>
          <w:tcPr>
            <w:tcW w:w="342"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76"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40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3,338.00</w:t>
            </w:r>
          </w:p>
        </w:tc>
        <w:tc>
          <w:tcPr>
            <w:tcW w:w="36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424"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r>
      <w:tr w:rsidR="0030047B" w:rsidRPr="007748B1" w:rsidTr="0030047B">
        <w:tc>
          <w:tcPr>
            <w:tcW w:w="1407" w:type="pct"/>
            <w:shd w:val="clear" w:color="auto" w:fill="auto"/>
            <w:vAlign w:val="center"/>
            <w:hideMark/>
          </w:tcPr>
          <w:p w:rsidR="00523B88" w:rsidRPr="005A748F" w:rsidRDefault="00523B88" w:rsidP="005A748F">
            <w:pPr>
              <w:spacing w:after="0"/>
              <w:rPr>
                <w:rFonts w:ascii="Calibri" w:hAnsi="Calibri"/>
                <w:color w:val="000000"/>
                <w:sz w:val="20"/>
                <w:szCs w:val="20"/>
              </w:rPr>
            </w:pPr>
            <w:r w:rsidRPr="005A748F">
              <w:rPr>
                <w:rFonts w:ascii="Calibri" w:hAnsi="Calibri"/>
                <w:color w:val="000000"/>
                <w:sz w:val="20"/>
                <w:szCs w:val="20"/>
              </w:rPr>
              <w:t>Water Heater Energy Factor (%)</w:t>
            </w:r>
          </w:p>
        </w:tc>
        <w:tc>
          <w:tcPr>
            <w:tcW w:w="410"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478"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76"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40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42"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376"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40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0.94</w:t>
            </w:r>
          </w:p>
        </w:tc>
        <w:tc>
          <w:tcPr>
            <w:tcW w:w="369"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c>
          <w:tcPr>
            <w:tcW w:w="424" w:type="pct"/>
            <w:shd w:val="clear" w:color="auto" w:fill="auto"/>
            <w:vAlign w:val="center"/>
            <w:hideMark/>
          </w:tcPr>
          <w:p w:rsidR="00523B88" w:rsidRPr="005A748F" w:rsidRDefault="00523B88" w:rsidP="005A748F">
            <w:pPr>
              <w:spacing w:after="0"/>
              <w:jc w:val="right"/>
              <w:rPr>
                <w:color w:val="000000"/>
                <w:sz w:val="20"/>
                <w:szCs w:val="20"/>
              </w:rPr>
            </w:pPr>
            <w:r w:rsidRPr="005A748F">
              <w:rPr>
                <w:color w:val="000000"/>
                <w:sz w:val="20"/>
                <w:szCs w:val="20"/>
              </w:rPr>
              <w:t> </w:t>
            </w:r>
          </w:p>
        </w:tc>
      </w:tr>
      <w:tr w:rsidR="0030047B" w:rsidRPr="007748B1" w:rsidTr="0030047B">
        <w:tc>
          <w:tcPr>
            <w:tcW w:w="1407" w:type="pct"/>
            <w:shd w:val="clear" w:color="auto" w:fill="auto"/>
            <w:vAlign w:val="center"/>
            <w:hideMark/>
          </w:tcPr>
          <w:p w:rsidR="00523B88" w:rsidRPr="005A748F" w:rsidRDefault="00523B88" w:rsidP="005A748F">
            <w:pPr>
              <w:spacing w:after="0"/>
              <w:rPr>
                <w:rFonts w:ascii="Calibri" w:hAnsi="Calibri"/>
                <w:color w:val="000000"/>
                <w:sz w:val="20"/>
                <w:szCs w:val="20"/>
              </w:rPr>
            </w:pPr>
            <w:r w:rsidRPr="005A748F">
              <w:rPr>
                <w:rFonts w:ascii="Calibri" w:hAnsi="Calibri"/>
                <w:color w:val="000000"/>
                <w:sz w:val="20"/>
                <w:szCs w:val="20"/>
              </w:rPr>
              <w:t>Pipe Diameter (in.)</w:t>
            </w:r>
          </w:p>
        </w:tc>
        <w:tc>
          <w:tcPr>
            <w:tcW w:w="410" w:type="pct"/>
            <w:shd w:val="clear" w:color="auto" w:fill="auto"/>
            <w:vAlign w:val="center"/>
            <w:hideMark/>
          </w:tcPr>
          <w:p w:rsidR="00523B88" w:rsidRPr="005A748F" w:rsidRDefault="00523B88" w:rsidP="005A748F">
            <w:pPr>
              <w:spacing w:after="0"/>
              <w:jc w:val="right"/>
              <w:rPr>
                <w:rFonts w:ascii="Calibri" w:hAnsi="Calibri"/>
                <w:color w:val="000000"/>
                <w:sz w:val="20"/>
                <w:szCs w:val="20"/>
              </w:rPr>
            </w:pPr>
            <w:r w:rsidRPr="005A748F">
              <w:rPr>
                <w:rFonts w:ascii="Calibri" w:hAnsi="Calibri"/>
                <w:color w:val="000000"/>
                <w:sz w:val="20"/>
                <w:szCs w:val="20"/>
              </w:rPr>
              <w:t>0.50</w:t>
            </w:r>
          </w:p>
        </w:tc>
        <w:tc>
          <w:tcPr>
            <w:tcW w:w="478" w:type="pct"/>
            <w:shd w:val="clear" w:color="auto" w:fill="auto"/>
            <w:vAlign w:val="center"/>
            <w:hideMark/>
          </w:tcPr>
          <w:p w:rsidR="00523B88" w:rsidRPr="005A748F" w:rsidRDefault="00523B88" w:rsidP="005A748F">
            <w:pPr>
              <w:spacing w:after="0"/>
              <w:jc w:val="right"/>
              <w:rPr>
                <w:rFonts w:ascii="Calibri" w:hAnsi="Calibri"/>
                <w:color w:val="000000"/>
                <w:sz w:val="20"/>
                <w:szCs w:val="20"/>
              </w:rPr>
            </w:pPr>
            <w:r w:rsidRPr="005A748F">
              <w:rPr>
                <w:rFonts w:ascii="Calibri" w:hAnsi="Calibri"/>
                <w:color w:val="000000"/>
                <w:sz w:val="20"/>
                <w:szCs w:val="20"/>
              </w:rPr>
              <w:t>0.50</w:t>
            </w:r>
          </w:p>
        </w:tc>
        <w:tc>
          <w:tcPr>
            <w:tcW w:w="376" w:type="pct"/>
            <w:shd w:val="clear" w:color="auto" w:fill="auto"/>
            <w:vAlign w:val="center"/>
            <w:hideMark/>
          </w:tcPr>
          <w:p w:rsidR="00523B88" w:rsidRPr="005A748F" w:rsidRDefault="00523B88" w:rsidP="005A748F">
            <w:pPr>
              <w:spacing w:after="0"/>
              <w:jc w:val="right"/>
              <w:rPr>
                <w:rFonts w:ascii="Calibri" w:hAnsi="Calibri"/>
                <w:color w:val="000000"/>
                <w:sz w:val="20"/>
                <w:szCs w:val="20"/>
              </w:rPr>
            </w:pPr>
            <w:r w:rsidRPr="005A748F">
              <w:rPr>
                <w:rFonts w:ascii="Calibri" w:hAnsi="Calibri"/>
                <w:color w:val="000000"/>
                <w:sz w:val="20"/>
                <w:szCs w:val="20"/>
              </w:rPr>
              <w:t>0.75</w:t>
            </w:r>
          </w:p>
        </w:tc>
        <w:tc>
          <w:tcPr>
            <w:tcW w:w="409" w:type="pct"/>
            <w:shd w:val="clear" w:color="auto" w:fill="auto"/>
            <w:vAlign w:val="center"/>
            <w:hideMark/>
          </w:tcPr>
          <w:p w:rsidR="00523B88" w:rsidRPr="005A748F" w:rsidRDefault="00523B88" w:rsidP="005A748F">
            <w:pPr>
              <w:spacing w:after="0"/>
              <w:jc w:val="right"/>
              <w:rPr>
                <w:rFonts w:ascii="Calibri" w:hAnsi="Calibri"/>
                <w:color w:val="000000"/>
                <w:sz w:val="20"/>
                <w:szCs w:val="20"/>
              </w:rPr>
            </w:pPr>
            <w:r w:rsidRPr="005A748F">
              <w:rPr>
                <w:rFonts w:ascii="Calibri" w:hAnsi="Calibri"/>
                <w:color w:val="000000"/>
                <w:sz w:val="20"/>
                <w:szCs w:val="20"/>
              </w:rPr>
              <w:t>0.50</w:t>
            </w:r>
          </w:p>
        </w:tc>
        <w:tc>
          <w:tcPr>
            <w:tcW w:w="342" w:type="pct"/>
            <w:shd w:val="clear" w:color="auto" w:fill="auto"/>
            <w:vAlign w:val="center"/>
            <w:hideMark/>
          </w:tcPr>
          <w:p w:rsidR="00523B88" w:rsidRPr="005A748F" w:rsidRDefault="00523B88" w:rsidP="005A748F">
            <w:pPr>
              <w:spacing w:after="0"/>
              <w:jc w:val="right"/>
              <w:rPr>
                <w:rFonts w:ascii="Calibri" w:hAnsi="Calibri"/>
                <w:color w:val="000000"/>
                <w:sz w:val="20"/>
                <w:szCs w:val="20"/>
              </w:rPr>
            </w:pPr>
            <w:r w:rsidRPr="005A748F">
              <w:rPr>
                <w:rFonts w:ascii="Calibri" w:hAnsi="Calibri"/>
                <w:color w:val="000000"/>
                <w:sz w:val="20"/>
                <w:szCs w:val="20"/>
              </w:rPr>
              <w:t> </w:t>
            </w:r>
          </w:p>
        </w:tc>
        <w:tc>
          <w:tcPr>
            <w:tcW w:w="376" w:type="pct"/>
            <w:shd w:val="clear" w:color="auto" w:fill="auto"/>
            <w:vAlign w:val="center"/>
            <w:hideMark/>
          </w:tcPr>
          <w:p w:rsidR="00523B88" w:rsidRPr="005A748F" w:rsidRDefault="00523B88" w:rsidP="005A748F">
            <w:pPr>
              <w:spacing w:after="0"/>
              <w:jc w:val="right"/>
              <w:rPr>
                <w:rFonts w:ascii="Calibri" w:hAnsi="Calibri"/>
                <w:color w:val="000000"/>
                <w:sz w:val="20"/>
                <w:szCs w:val="20"/>
              </w:rPr>
            </w:pPr>
            <w:r w:rsidRPr="005A748F">
              <w:rPr>
                <w:rFonts w:ascii="Calibri" w:hAnsi="Calibri"/>
                <w:color w:val="000000"/>
                <w:sz w:val="20"/>
                <w:szCs w:val="20"/>
              </w:rPr>
              <w:t> </w:t>
            </w:r>
          </w:p>
        </w:tc>
        <w:tc>
          <w:tcPr>
            <w:tcW w:w="409" w:type="pct"/>
            <w:shd w:val="clear" w:color="auto" w:fill="auto"/>
            <w:vAlign w:val="center"/>
            <w:hideMark/>
          </w:tcPr>
          <w:p w:rsidR="00523B88" w:rsidRPr="005A748F" w:rsidRDefault="00523B88" w:rsidP="005A748F">
            <w:pPr>
              <w:spacing w:after="0"/>
              <w:jc w:val="right"/>
              <w:rPr>
                <w:rFonts w:ascii="Calibri" w:hAnsi="Calibri"/>
                <w:color w:val="000000"/>
                <w:sz w:val="20"/>
                <w:szCs w:val="20"/>
              </w:rPr>
            </w:pPr>
            <w:r w:rsidRPr="005A748F">
              <w:rPr>
                <w:rFonts w:ascii="Calibri" w:hAnsi="Calibri"/>
                <w:color w:val="000000"/>
                <w:sz w:val="20"/>
                <w:szCs w:val="20"/>
              </w:rPr>
              <w:t>0.75</w:t>
            </w:r>
          </w:p>
        </w:tc>
        <w:tc>
          <w:tcPr>
            <w:tcW w:w="369" w:type="pct"/>
            <w:shd w:val="clear" w:color="auto" w:fill="auto"/>
            <w:vAlign w:val="center"/>
            <w:hideMark/>
          </w:tcPr>
          <w:p w:rsidR="00523B88" w:rsidRPr="005A748F" w:rsidRDefault="00523B88" w:rsidP="005A748F">
            <w:pPr>
              <w:spacing w:after="0"/>
              <w:jc w:val="right"/>
              <w:rPr>
                <w:rFonts w:ascii="Calibri" w:hAnsi="Calibri"/>
                <w:color w:val="000000"/>
                <w:sz w:val="20"/>
                <w:szCs w:val="20"/>
              </w:rPr>
            </w:pPr>
            <w:r w:rsidRPr="005A748F">
              <w:rPr>
                <w:rFonts w:ascii="Calibri" w:hAnsi="Calibri"/>
                <w:color w:val="000000"/>
                <w:sz w:val="20"/>
                <w:szCs w:val="20"/>
              </w:rPr>
              <w:t>0.75</w:t>
            </w:r>
          </w:p>
        </w:tc>
        <w:tc>
          <w:tcPr>
            <w:tcW w:w="424" w:type="pct"/>
            <w:shd w:val="clear" w:color="auto" w:fill="auto"/>
            <w:vAlign w:val="center"/>
            <w:hideMark/>
          </w:tcPr>
          <w:p w:rsidR="00523B88" w:rsidRPr="005A748F" w:rsidRDefault="00523B88" w:rsidP="005A748F">
            <w:pPr>
              <w:spacing w:after="0"/>
              <w:jc w:val="right"/>
              <w:rPr>
                <w:rFonts w:ascii="Calibri" w:hAnsi="Calibri"/>
                <w:color w:val="000000"/>
                <w:sz w:val="20"/>
                <w:szCs w:val="20"/>
              </w:rPr>
            </w:pPr>
            <w:r w:rsidRPr="005A748F">
              <w:rPr>
                <w:rFonts w:ascii="Calibri" w:hAnsi="Calibri"/>
                <w:color w:val="000000"/>
                <w:sz w:val="20"/>
                <w:szCs w:val="20"/>
              </w:rPr>
              <w:t>0.75</w:t>
            </w:r>
          </w:p>
        </w:tc>
      </w:tr>
      <w:tr w:rsidR="0030047B" w:rsidRPr="007748B1" w:rsidTr="0030047B">
        <w:tc>
          <w:tcPr>
            <w:tcW w:w="1407" w:type="pct"/>
            <w:shd w:val="clear" w:color="auto" w:fill="auto"/>
            <w:vAlign w:val="center"/>
            <w:hideMark/>
          </w:tcPr>
          <w:p w:rsidR="00523B88" w:rsidRPr="005A748F" w:rsidRDefault="00523B88" w:rsidP="005A748F">
            <w:pPr>
              <w:spacing w:after="0"/>
              <w:rPr>
                <w:rFonts w:ascii="Calibri" w:hAnsi="Calibri"/>
                <w:color w:val="000000"/>
                <w:sz w:val="20"/>
                <w:szCs w:val="20"/>
              </w:rPr>
            </w:pPr>
            <w:r w:rsidRPr="005A748F">
              <w:rPr>
                <w:rFonts w:ascii="Calibri" w:hAnsi="Calibri"/>
                <w:color w:val="000000"/>
                <w:sz w:val="20"/>
                <w:szCs w:val="20"/>
              </w:rPr>
              <w:t>Thermal Regain Factor (%)</w:t>
            </w:r>
          </w:p>
        </w:tc>
        <w:tc>
          <w:tcPr>
            <w:tcW w:w="410" w:type="pct"/>
            <w:shd w:val="clear" w:color="auto" w:fill="auto"/>
            <w:vAlign w:val="center"/>
            <w:hideMark/>
          </w:tcPr>
          <w:p w:rsidR="00523B88" w:rsidRPr="005A748F" w:rsidRDefault="00523B88" w:rsidP="005A748F">
            <w:pPr>
              <w:spacing w:after="0"/>
              <w:jc w:val="right"/>
              <w:rPr>
                <w:rFonts w:ascii="Calibri" w:hAnsi="Calibri"/>
                <w:color w:val="000000"/>
                <w:sz w:val="20"/>
                <w:szCs w:val="20"/>
              </w:rPr>
            </w:pPr>
            <w:r w:rsidRPr="005A748F">
              <w:rPr>
                <w:rFonts w:ascii="Calibri" w:hAnsi="Calibri"/>
                <w:color w:val="000000"/>
                <w:sz w:val="20"/>
                <w:szCs w:val="20"/>
              </w:rPr>
              <w:t> </w:t>
            </w:r>
          </w:p>
        </w:tc>
        <w:tc>
          <w:tcPr>
            <w:tcW w:w="478" w:type="pct"/>
            <w:shd w:val="clear" w:color="auto" w:fill="auto"/>
            <w:vAlign w:val="center"/>
            <w:hideMark/>
          </w:tcPr>
          <w:p w:rsidR="00523B88" w:rsidRPr="005A748F" w:rsidRDefault="00523B88" w:rsidP="005A748F">
            <w:pPr>
              <w:spacing w:after="0"/>
              <w:jc w:val="right"/>
              <w:rPr>
                <w:rFonts w:ascii="Calibri" w:hAnsi="Calibri"/>
                <w:color w:val="000000"/>
                <w:sz w:val="20"/>
                <w:szCs w:val="20"/>
              </w:rPr>
            </w:pPr>
            <w:r w:rsidRPr="005A748F">
              <w:rPr>
                <w:rFonts w:ascii="Calibri" w:hAnsi="Calibri"/>
                <w:color w:val="000000"/>
                <w:sz w:val="20"/>
                <w:szCs w:val="20"/>
              </w:rPr>
              <w:t> </w:t>
            </w:r>
          </w:p>
        </w:tc>
        <w:tc>
          <w:tcPr>
            <w:tcW w:w="376" w:type="pct"/>
            <w:shd w:val="clear" w:color="auto" w:fill="auto"/>
            <w:vAlign w:val="center"/>
            <w:hideMark/>
          </w:tcPr>
          <w:p w:rsidR="00523B88" w:rsidRPr="005A748F" w:rsidRDefault="00523B88" w:rsidP="005A748F">
            <w:pPr>
              <w:spacing w:after="0"/>
              <w:jc w:val="right"/>
              <w:rPr>
                <w:rFonts w:ascii="Calibri" w:hAnsi="Calibri"/>
                <w:color w:val="000000"/>
                <w:sz w:val="20"/>
                <w:szCs w:val="20"/>
              </w:rPr>
            </w:pPr>
            <w:r w:rsidRPr="005A748F">
              <w:rPr>
                <w:rFonts w:ascii="Calibri" w:hAnsi="Calibri"/>
                <w:color w:val="000000"/>
                <w:sz w:val="20"/>
                <w:szCs w:val="20"/>
              </w:rPr>
              <w:t> </w:t>
            </w:r>
          </w:p>
        </w:tc>
        <w:tc>
          <w:tcPr>
            <w:tcW w:w="409" w:type="pct"/>
            <w:shd w:val="clear" w:color="auto" w:fill="auto"/>
            <w:vAlign w:val="center"/>
            <w:hideMark/>
          </w:tcPr>
          <w:p w:rsidR="00523B88" w:rsidRPr="005A748F" w:rsidRDefault="00523B88" w:rsidP="005A748F">
            <w:pPr>
              <w:spacing w:after="0"/>
              <w:jc w:val="right"/>
              <w:rPr>
                <w:rFonts w:ascii="Calibri" w:hAnsi="Calibri"/>
                <w:color w:val="000000"/>
                <w:sz w:val="20"/>
                <w:szCs w:val="20"/>
              </w:rPr>
            </w:pPr>
            <w:r w:rsidRPr="005A748F">
              <w:rPr>
                <w:rFonts w:ascii="Calibri" w:hAnsi="Calibri"/>
                <w:color w:val="000000"/>
                <w:sz w:val="20"/>
                <w:szCs w:val="20"/>
              </w:rPr>
              <w:t>0.33</w:t>
            </w:r>
          </w:p>
        </w:tc>
        <w:tc>
          <w:tcPr>
            <w:tcW w:w="342" w:type="pct"/>
            <w:shd w:val="clear" w:color="auto" w:fill="auto"/>
            <w:vAlign w:val="center"/>
            <w:hideMark/>
          </w:tcPr>
          <w:p w:rsidR="00523B88" w:rsidRPr="005A748F" w:rsidRDefault="00523B88" w:rsidP="005A748F">
            <w:pPr>
              <w:spacing w:after="0"/>
              <w:jc w:val="right"/>
              <w:rPr>
                <w:rFonts w:ascii="Calibri" w:hAnsi="Calibri"/>
                <w:color w:val="000000"/>
                <w:sz w:val="20"/>
                <w:szCs w:val="20"/>
              </w:rPr>
            </w:pPr>
            <w:r w:rsidRPr="005A748F">
              <w:rPr>
                <w:rFonts w:ascii="Calibri" w:hAnsi="Calibri"/>
                <w:color w:val="000000"/>
                <w:sz w:val="20"/>
                <w:szCs w:val="20"/>
              </w:rPr>
              <w:t> </w:t>
            </w:r>
          </w:p>
        </w:tc>
        <w:tc>
          <w:tcPr>
            <w:tcW w:w="376" w:type="pct"/>
            <w:shd w:val="clear" w:color="auto" w:fill="auto"/>
            <w:vAlign w:val="center"/>
            <w:hideMark/>
          </w:tcPr>
          <w:p w:rsidR="00523B88" w:rsidRPr="005A748F" w:rsidRDefault="00523B88" w:rsidP="005A748F">
            <w:pPr>
              <w:spacing w:after="0"/>
              <w:jc w:val="right"/>
              <w:rPr>
                <w:rFonts w:ascii="Calibri" w:hAnsi="Calibri"/>
                <w:color w:val="000000"/>
                <w:sz w:val="20"/>
                <w:szCs w:val="20"/>
              </w:rPr>
            </w:pPr>
            <w:r w:rsidRPr="005A748F">
              <w:rPr>
                <w:rFonts w:ascii="Calibri" w:hAnsi="Calibri"/>
                <w:color w:val="000000"/>
                <w:sz w:val="20"/>
                <w:szCs w:val="20"/>
              </w:rPr>
              <w:t> </w:t>
            </w:r>
          </w:p>
        </w:tc>
        <w:tc>
          <w:tcPr>
            <w:tcW w:w="409" w:type="pct"/>
            <w:shd w:val="clear" w:color="auto" w:fill="auto"/>
            <w:vAlign w:val="center"/>
            <w:hideMark/>
          </w:tcPr>
          <w:p w:rsidR="00523B88" w:rsidRPr="005A748F" w:rsidRDefault="00523B88" w:rsidP="005A748F">
            <w:pPr>
              <w:spacing w:after="0"/>
              <w:jc w:val="right"/>
              <w:rPr>
                <w:rFonts w:ascii="Calibri" w:hAnsi="Calibri"/>
                <w:color w:val="000000"/>
                <w:sz w:val="20"/>
                <w:szCs w:val="20"/>
              </w:rPr>
            </w:pPr>
            <w:r w:rsidRPr="005A748F">
              <w:rPr>
                <w:rFonts w:ascii="Calibri" w:hAnsi="Calibri"/>
                <w:color w:val="000000"/>
                <w:sz w:val="20"/>
                <w:szCs w:val="20"/>
              </w:rPr>
              <w:t> </w:t>
            </w:r>
          </w:p>
        </w:tc>
        <w:tc>
          <w:tcPr>
            <w:tcW w:w="369" w:type="pct"/>
            <w:shd w:val="clear" w:color="auto" w:fill="auto"/>
            <w:vAlign w:val="center"/>
            <w:hideMark/>
          </w:tcPr>
          <w:p w:rsidR="00523B88" w:rsidRPr="005A748F" w:rsidRDefault="00523B88" w:rsidP="005A748F">
            <w:pPr>
              <w:spacing w:after="0"/>
              <w:jc w:val="right"/>
              <w:rPr>
                <w:rFonts w:ascii="Calibri" w:hAnsi="Calibri"/>
                <w:color w:val="000000"/>
                <w:sz w:val="20"/>
                <w:szCs w:val="20"/>
              </w:rPr>
            </w:pPr>
            <w:r w:rsidRPr="005A748F">
              <w:rPr>
                <w:rFonts w:ascii="Calibri" w:hAnsi="Calibri"/>
                <w:color w:val="000000"/>
                <w:sz w:val="20"/>
                <w:szCs w:val="20"/>
              </w:rPr>
              <w:t> </w:t>
            </w:r>
          </w:p>
        </w:tc>
        <w:tc>
          <w:tcPr>
            <w:tcW w:w="424" w:type="pct"/>
            <w:shd w:val="clear" w:color="auto" w:fill="auto"/>
            <w:vAlign w:val="center"/>
            <w:hideMark/>
          </w:tcPr>
          <w:p w:rsidR="00523B88" w:rsidRPr="005A748F" w:rsidRDefault="00523B88" w:rsidP="005A748F">
            <w:pPr>
              <w:spacing w:after="0"/>
              <w:jc w:val="right"/>
              <w:rPr>
                <w:rFonts w:ascii="Calibri" w:hAnsi="Calibri"/>
                <w:color w:val="000000"/>
                <w:sz w:val="20"/>
                <w:szCs w:val="20"/>
              </w:rPr>
            </w:pPr>
            <w:r w:rsidRPr="005A748F">
              <w:rPr>
                <w:rFonts w:ascii="Calibri" w:hAnsi="Calibri"/>
                <w:color w:val="000000"/>
                <w:sz w:val="20"/>
                <w:szCs w:val="20"/>
              </w:rPr>
              <w:t> </w:t>
            </w:r>
          </w:p>
        </w:tc>
      </w:tr>
      <w:tr w:rsidR="0030047B" w:rsidRPr="007748B1" w:rsidTr="0030047B">
        <w:tc>
          <w:tcPr>
            <w:tcW w:w="1407" w:type="pct"/>
            <w:tcBorders>
              <w:bottom w:val="single" w:sz="4" w:space="0" w:color="BFBFBF"/>
            </w:tcBorders>
            <w:shd w:val="clear" w:color="auto" w:fill="auto"/>
            <w:vAlign w:val="center"/>
            <w:hideMark/>
          </w:tcPr>
          <w:p w:rsidR="00523B88" w:rsidRPr="005A748F" w:rsidRDefault="00523B88" w:rsidP="005A748F">
            <w:pPr>
              <w:spacing w:after="0"/>
              <w:rPr>
                <w:rFonts w:ascii="Calibri" w:hAnsi="Calibri"/>
                <w:color w:val="000000"/>
                <w:sz w:val="20"/>
                <w:szCs w:val="20"/>
              </w:rPr>
            </w:pPr>
            <w:r w:rsidRPr="005A748F">
              <w:rPr>
                <w:rFonts w:ascii="Calibri" w:hAnsi="Calibri"/>
                <w:color w:val="000000"/>
                <w:sz w:val="20"/>
                <w:szCs w:val="20"/>
              </w:rPr>
              <w:t>Energy Savings per six feet of Pipe Insulation Installation (kWh)</w:t>
            </w:r>
          </w:p>
        </w:tc>
        <w:tc>
          <w:tcPr>
            <w:tcW w:w="410" w:type="pct"/>
            <w:tcBorders>
              <w:bottom w:val="single" w:sz="4" w:space="0" w:color="BFBFBF"/>
            </w:tcBorders>
            <w:shd w:val="clear" w:color="000000" w:fill="FFE8D2"/>
            <w:vAlign w:val="center"/>
            <w:hideMark/>
          </w:tcPr>
          <w:p w:rsidR="00523B88" w:rsidRPr="005A748F" w:rsidRDefault="00523B88" w:rsidP="005A748F">
            <w:pPr>
              <w:spacing w:after="0"/>
              <w:jc w:val="right"/>
              <w:rPr>
                <w:rFonts w:ascii="Calibri" w:hAnsi="Calibri"/>
                <w:color w:val="000000"/>
                <w:sz w:val="20"/>
                <w:szCs w:val="20"/>
              </w:rPr>
            </w:pPr>
            <w:r w:rsidRPr="005A748F">
              <w:rPr>
                <w:rFonts w:ascii="Calibri" w:hAnsi="Calibri"/>
                <w:color w:val="000000"/>
                <w:sz w:val="20"/>
                <w:szCs w:val="20"/>
              </w:rPr>
              <w:t>62.40</w:t>
            </w:r>
          </w:p>
        </w:tc>
        <w:tc>
          <w:tcPr>
            <w:tcW w:w="478" w:type="pct"/>
            <w:tcBorders>
              <w:bottom w:val="single" w:sz="4" w:space="0" w:color="BFBFBF"/>
            </w:tcBorders>
            <w:shd w:val="clear" w:color="000000" w:fill="FFE8D2"/>
            <w:vAlign w:val="center"/>
            <w:hideMark/>
          </w:tcPr>
          <w:p w:rsidR="00523B88" w:rsidRPr="005A748F" w:rsidRDefault="00523B88" w:rsidP="005A748F">
            <w:pPr>
              <w:spacing w:after="0"/>
              <w:jc w:val="right"/>
              <w:rPr>
                <w:rFonts w:ascii="Calibri" w:hAnsi="Calibri"/>
                <w:color w:val="000000"/>
                <w:sz w:val="20"/>
                <w:szCs w:val="20"/>
              </w:rPr>
            </w:pPr>
            <w:r w:rsidRPr="005A748F">
              <w:rPr>
                <w:rFonts w:ascii="Calibri" w:hAnsi="Calibri"/>
                <w:color w:val="000000"/>
                <w:sz w:val="20"/>
                <w:szCs w:val="20"/>
              </w:rPr>
              <w:t>62.40</w:t>
            </w:r>
          </w:p>
        </w:tc>
        <w:tc>
          <w:tcPr>
            <w:tcW w:w="376" w:type="pct"/>
            <w:tcBorders>
              <w:bottom w:val="single" w:sz="4" w:space="0" w:color="BFBFBF"/>
            </w:tcBorders>
            <w:shd w:val="clear" w:color="000000" w:fill="FFE8D2"/>
            <w:vAlign w:val="center"/>
            <w:hideMark/>
          </w:tcPr>
          <w:p w:rsidR="00523B88" w:rsidRPr="005A748F" w:rsidRDefault="00523B88" w:rsidP="005A748F">
            <w:pPr>
              <w:spacing w:after="0"/>
              <w:jc w:val="right"/>
              <w:rPr>
                <w:rFonts w:ascii="Calibri" w:hAnsi="Calibri"/>
                <w:color w:val="000000"/>
                <w:sz w:val="20"/>
                <w:szCs w:val="20"/>
              </w:rPr>
            </w:pPr>
            <w:r w:rsidRPr="005A748F">
              <w:rPr>
                <w:rFonts w:ascii="Calibri" w:hAnsi="Calibri"/>
                <w:color w:val="000000"/>
                <w:sz w:val="20"/>
                <w:szCs w:val="20"/>
              </w:rPr>
              <w:t>148.00</w:t>
            </w:r>
          </w:p>
        </w:tc>
        <w:tc>
          <w:tcPr>
            <w:tcW w:w="409" w:type="pct"/>
            <w:tcBorders>
              <w:bottom w:val="single" w:sz="4" w:space="0" w:color="BFBFBF"/>
            </w:tcBorders>
            <w:shd w:val="clear" w:color="000000" w:fill="FFE8D2"/>
            <w:vAlign w:val="center"/>
            <w:hideMark/>
          </w:tcPr>
          <w:p w:rsidR="00523B88" w:rsidRPr="005A748F" w:rsidRDefault="00523B88" w:rsidP="005A748F">
            <w:pPr>
              <w:spacing w:after="0"/>
              <w:jc w:val="right"/>
              <w:rPr>
                <w:rFonts w:ascii="Calibri" w:hAnsi="Calibri"/>
                <w:color w:val="000000"/>
                <w:sz w:val="20"/>
                <w:szCs w:val="20"/>
              </w:rPr>
            </w:pPr>
            <w:r w:rsidRPr="005A748F">
              <w:rPr>
                <w:rFonts w:ascii="Calibri" w:hAnsi="Calibri"/>
                <w:color w:val="000000"/>
                <w:sz w:val="20"/>
                <w:szCs w:val="20"/>
              </w:rPr>
              <w:t>383.50</w:t>
            </w:r>
          </w:p>
        </w:tc>
        <w:tc>
          <w:tcPr>
            <w:tcW w:w="342" w:type="pct"/>
            <w:tcBorders>
              <w:bottom w:val="single" w:sz="4" w:space="0" w:color="BFBFBF"/>
            </w:tcBorders>
            <w:shd w:val="clear" w:color="000000" w:fill="FFE8D2"/>
            <w:vAlign w:val="center"/>
            <w:hideMark/>
          </w:tcPr>
          <w:p w:rsidR="00523B88" w:rsidRPr="005A748F" w:rsidRDefault="00523B88" w:rsidP="005A748F">
            <w:pPr>
              <w:spacing w:after="0"/>
              <w:jc w:val="right"/>
              <w:rPr>
                <w:rFonts w:ascii="Calibri" w:hAnsi="Calibri"/>
                <w:color w:val="000000"/>
                <w:sz w:val="20"/>
                <w:szCs w:val="20"/>
              </w:rPr>
            </w:pPr>
            <w:r w:rsidRPr="005A748F">
              <w:rPr>
                <w:rFonts w:ascii="Calibri" w:hAnsi="Calibri"/>
                <w:color w:val="000000"/>
                <w:sz w:val="20"/>
                <w:szCs w:val="20"/>
              </w:rPr>
              <w:t>330.00</w:t>
            </w:r>
          </w:p>
        </w:tc>
        <w:tc>
          <w:tcPr>
            <w:tcW w:w="376" w:type="pct"/>
            <w:tcBorders>
              <w:bottom w:val="single" w:sz="4" w:space="0" w:color="BFBFBF"/>
            </w:tcBorders>
            <w:shd w:val="clear" w:color="000000" w:fill="FFE8D2"/>
            <w:vAlign w:val="center"/>
            <w:hideMark/>
          </w:tcPr>
          <w:p w:rsidR="00523B88" w:rsidRPr="005A748F" w:rsidRDefault="00523B88" w:rsidP="005A748F">
            <w:pPr>
              <w:spacing w:after="0"/>
              <w:jc w:val="right"/>
              <w:rPr>
                <w:rFonts w:ascii="Calibri" w:hAnsi="Calibri"/>
                <w:color w:val="000000"/>
                <w:sz w:val="20"/>
                <w:szCs w:val="20"/>
              </w:rPr>
            </w:pPr>
            <w:r w:rsidRPr="005A748F">
              <w:rPr>
                <w:rFonts w:ascii="Calibri" w:hAnsi="Calibri"/>
                <w:color w:val="000000"/>
                <w:sz w:val="20"/>
                <w:szCs w:val="20"/>
              </w:rPr>
              <w:t>61.80</w:t>
            </w:r>
          </w:p>
        </w:tc>
        <w:tc>
          <w:tcPr>
            <w:tcW w:w="409" w:type="pct"/>
            <w:tcBorders>
              <w:bottom w:val="single" w:sz="4" w:space="0" w:color="BFBFBF"/>
            </w:tcBorders>
            <w:shd w:val="clear" w:color="000000" w:fill="FFE8D2"/>
            <w:vAlign w:val="center"/>
            <w:hideMark/>
          </w:tcPr>
          <w:p w:rsidR="00523B88" w:rsidRPr="005A748F" w:rsidRDefault="00523B88" w:rsidP="005A748F">
            <w:pPr>
              <w:spacing w:after="0"/>
              <w:jc w:val="right"/>
              <w:rPr>
                <w:rFonts w:ascii="Calibri" w:hAnsi="Calibri"/>
                <w:color w:val="000000"/>
                <w:sz w:val="20"/>
                <w:szCs w:val="20"/>
              </w:rPr>
            </w:pPr>
            <w:r w:rsidRPr="005A748F">
              <w:rPr>
                <w:rFonts w:ascii="Calibri" w:hAnsi="Calibri"/>
                <w:color w:val="000000"/>
                <w:sz w:val="20"/>
                <w:szCs w:val="20"/>
              </w:rPr>
              <w:t>60.10</w:t>
            </w:r>
          </w:p>
        </w:tc>
        <w:tc>
          <w:tcPr>
            <w:tcW w:w="369" w:type="pct"/>
            <w:tcBorders>
              <w:bottom w:val="single" w:sz="4" w:space="0" w:color="BFBFBF"/>
            </w:tcBorders>
            <w:shd w:val="clear" w:color="000000" w:fill="FFE8D2"/>
            <w:vAlign w:val="center"/>
            <w:hideMark/>
          </w:tcPr>
          <w:p w:rsidR="00523B88" w:rsidRPr="005A748F" w:rsidRDefault="00523B88" w:rsidP="005A748F">
            <w:pPr>
              <w:spacing w:after="0"/>
              <w:jc w:val="right"/>
              <w:rPr>
                <w:rFonts w:ascii="Calibri" w:hAnsi="Calibri"/>
                <w:color w:val="000000"/>
                <w:sz w:val="20"/>
                <w:szCs w:val="20"/>
              </w:rPr>
            </w:pPr>
            <w:r w:rsidRPr="005A748F">
              <w:rPr>
                <w:rFonts w:ascii="Calibri" w:hAnsi="Calibri"/>
                <w:color w:val="000000"/>
                <w:sz w:val="20"/>
                <w:szCs w:val="20"/>
              </w:rPr>
              <w:t>160.20</w:t>
            </w:r>
          </w:p>
        </w:tc>
        <w:tc>
          <w:tcPr>
            <w:tcW w:w="424" w:type="pct"/>
            <w:tcBorders>
              <w:bottom w:val="single" w:sz="4" w:space="0" w:color="BFBFBF"/>
            </w:tcBorders>
            <w:shd w:val="clear" w:color="000000" w:fill="FFE8D2"/>
            <w:vAlign w:val="center"/>
            <w:hideMark/>
          </w:tcPr>
          <w:p w:rsidR="00523B88" w:rsidRPr="005A748F" w:rsidRDefault="00523B88" w:rsidP="005A748F">
            <w:pPr>
              <w:spacing w:after="0"/>
              <w:jc w:val="right"/>
              <w:rPr>
                <w:rFonts w:ascii="Calibri" w:hAnsi="Calibri"/>
                <w:color w:val="000000"/>
                <w:sz w:val="20"/>
                <w:szCs w:val="20"/>
              </w:rPr>
            </w:pPr>
            <w:r w:rsidRPr="005A748F">
              <w:rPr>
                <w:rFonts w:ascii="Calibri" w:hAnsi="Calibri"/>
                <w:color w:val="000000"/>
                <w:sz w:val="20"/>
                <w:szCs w:val="20"/>
              </w:rPr>
              <w:t>155.70</w:t>
            </w:r>
          </w:p>
        </w:tc>
      </w:tr>
      <w:tr w:rsidR="00523B88" w:rsidRPr="007748B1" w:rsidTr="0030047B">
        <w:tc>
          <w:tcPr>
            <w:tcW w:w="5000" w:type="pct"/>
            <w:gridSpan w:val="10"/>
            <w:tcBorders>
              <w:left w:val="nil"/>
              <w:bottom w:val="nil"/>
              <w:right w:val="nil"/>
            </w:tcBorders>
            <w:shd w:val="clear" w:color="auto" w:fill="auto"/>
            <w:noWrap/>
            <w:vAlign w:val="bottom"/>
            <w:hideMark/>
          </w:tcPr>
          <w:p w:rsidR="00523B88" w:rsidRPr="005A748F" w:rsidRDefault="00523B88" w:rsidP="005A748F">
            <w:pPr>
              <w:spacing w:after="0"/>
              <w:rPr>
                <w:rFonts w:ascii="Calibri" w:hAnsi="Calibri"/>
                <w:color w:val="000000"/>
                <w:sz w:val="20"/>
                <w:szCs w:val="20"/>
              </w:rPr>
            </w:pPr>
            <w:r w:rsidRPr="005A748F">
              <w:rPr>
                <w:rFonts w:ascii="Calibri" w:hAnsi="Calibri"/>
                <w:color w:val="000000"/>
                <w:sz w:val="20"/>
                <w:szCs w:val="20"/>
              </w:rPr>
              <w:t>*Shaded cells indicate a calculated value</w:t>
            </w:r>
            <w:r w:rsidR="00AD203A">
              <w:rPr>
                <w:rFonts w:ascii="Calibri" w:hAnsi="Calibri"/>
                <w:color w:val="000000"/>
                <w:sz w:val="20"/>
                <w:szCs w:val="20"/>
              </w:rPr>
              <w:t>.</w:t>
            </w:r>
          </w:p>
        </w:tc>
      </w:tr>
    </w:tbl>
    <w:p w:rsidR="00523B88" w:rsidRPr="00687893" w:rsidRDefault="00523B88" w:rsidP="00523B88"/>
    <w:p w:rsidR="00523B88" w:rsidRDefault="00523B88" w:rsidP="00523B88">
      <w:pPr>
        <w:rPr>
          <w:rFonts w:cs="Arial"/>
          <w:b/>
          <w:bCs/>
          <w:i/>
          <w:iCs/>
          <w:kern w:val="28"/>
          <w:position w:val="6"/>
          <w:sz w:val="24"/>
          <w:szCs w:val="28"/>
        </w:rPr>
        <w:sectPr w:rsidR="00523B88" w:rsidSect="00523B88">
          <w:pgSz w:w="15840" w:h="12240" w:orient="landscape" w:code="1"/>
          <w:pgMar w:top="1440" w:right="1440" w:bottom="1440" w:left="1440" w:header="720" w:footer="720" w:gutter="0"/>
          <w:cols w:space="720"/>
          <w:docGrid w:linePitch="360"/>
        </w:sectPr>
      </w:pPr>
    </w:p>
    <w:p w:rsidR="00523B88" w:rsidRPr="00D91A15" w:rsidRDefault="00523B88" w:rsidP="00523B88">
      <w:pPr>
        <w:rPr>
          <w:rFonts w:eastAsiaTheme="minorEastAsia"/>
        </w:rPr>
      </w:pPr>
      <w:r>
        <w:rPr>
          <w:rFonts w:eastAsiaTheme="minorEastAsia"/>
        </w:rPr>
        <w:lastRenderedPageBreak/>
        <w:t>Based on the Em</w:t>
      </w:r>
      <w:r w:rsidR="00C561AD">
        <w:rPr>
          <w:rFonts w:eastAsiaTheme="minorEastAsia"/>
        </w:rPr>
        <w:t>POWER</w:t>
      </w:r>
      <w:r>
        <w:rPr>
          <w:rFonts w:eastAsiaTheme="minorEastAsia"/>
        </w:rPr>
        <w:t xml:space="preserve"> report, pipe insulation </w:t>
      </w:r>
      <w:r w:rsidR="0030047B">
        <w:rPr>
          <w:rFonts w:eastAsiaTheme="minorEastAsia"/>
        </w:rPr>
        <w:t xml:space="preserve">installation can achieve maximum savings of </w:t>
      </w:r>
      <w:r>
        <w:rPr>
          <w:rFonts w:eastAsiaTheme="minorEastAsia"/>
        </w:rPr>
        <w:t xml:space="preserve">roughly </w:t>
      </w:r>
      <w:r w:rsidR="0030047B">
        <w:rPr>
          <w:rFonts w:eastAsiaTheme="minorEastAsia"/>
        </w:rPr>
        <w:br/>
      </w:r>
      <w:r>
        <w:rPr>
          <w:rFonts w:eastAsiaTheme="minorEastAsia"/>
        </w:rPr>
        <w:t>62 kWh.</w:t>
      </w:r>
      <w:r w:rsidR="002953AD">
        <w:rPr>
          <w:rFonts w:eastAsiaTheme="minorEastAsia"/>
        </w:rPr>
        <w:t xml:space="preserve"> </w:t>
      </w:r>
      <w:r>
        <w:rPr>
          <w:rFonts w:eastAsiaTheme="minorEastAsia"/>
        </w:rPr>
        <w:t xml:space="preserve">The </w:t>
      </w:r>
      <w:r w:rsidR="007D1F2B">
        <w:rPr>
          <w:rFonts w:eastAsiaTheme="minorEastAsia"/>
        </w:rPr>
        <w:t>E</w:t>
      </w:r>
      <w:r>
        <w:rPr>
          <w:rFonts w:eastAsiaTheme="minorEastAsia"/>
        </w:rPr>
        <w:t xml:space="preserve">valuation </w:t>
      </w:r>
      <w:r w:rsidR="007D1F2B">
        <w:rPr>
          <w:rFonts w:eastAsiaTheme="minorEastAsia"/>
        </w:rPr>
        <w:t>T</w:t>
      </w:r>
      <w:r>
        <w:rPr>
          <w:rFonts w:eastAsiaTheme="minorEastAsia"/>
        </w:rPr>
        <w:t>eam allocated 10.4 kWh per linear foot of insulation installed, up to a maximum of six feet of insulation.</w:t>
      </w:r>
      <w:r w:rsidR="002953AD">
        <w:rPr>
          <w:rFonts w:eastAsiaTheme="minorEastAsia"/>
        </w:rPr>
        <w:t xml:space="preserve"> </w:t>
      </w:r>
      <w:r>
        <w:rPr>
          <w:rFonts w:eastAsiaTheme="minorEastAsia"/>
        </w:rPr>
        <w:t>For a 0.5 inch diameter pipe, this provide</w:t>
      </w:r>
      <w:r w:rsidR="0030047B">
        <w:rPr>
          <w:rFonts w:eastAsiaTheme="minorEastAsia"/>
        </w:rPr>
        <w:t>d</w:t>
      </w:r>
      <w:r>
        <w:rPr>
          <w:rFonts w:eastAsiaTheme="minorEastAsia"/>
        </w:rPr>
        <w:t xml:space="preserve"> average savings of </w:t>
      </w:r>
      <w:r w:rsidR="0030047B">
        <w:rPr>
          <w:rFonts w:eastAsiaTheme="minorEastAsia"/>
        </w:rPr>
        <w:br/>
      </w:r>
      <w:r>
        <w:rPr>
          <w:rFonts w:eastAsiaTheme="minorEastAsia"/>
        </w:rPr>
        <w:t>62.4 kWh per installation.</w:t>
      </w:r>
    </w:p>
    <w:p w:rsidR="00523B88" w:rsidRPr="00D80A1B" w:rsidRDefault="00523B88" w:rsidP="00D80A1B">
      <w:pPr>
        <w:spacing w:before="200" w:after="0"/>
        <w:rPr>
          <w:b/>
          <w:i/>
          <w:color w:val="898A17"/>
          <w:sz w:val="29"/>
          <w:szCs w:val="29"/>
        </w:rPr>
      </w:pPr>
      <w:bookmarkStart w:id="151" w:name="_Toc306898812"/>
      <w:bookmarkStart w:id="152" w:name="_Toc306899145"/>
      <w:r w:rsidRPr="00D80A1B">
        <w:rPr>
          <w:b/>
          <w:i/>
          <w:color w:val="898A17"/>
          <w:sz w:val="29"/>
          <w:szCs w:val="29"/>
        </w:rPr>
        <w:t>Faucet Aerators</w:t>
      </w:r>
      <w:bookmarkEnd w:id="151"/>
      <w:bookmarkEnd w:id="152"/>
    </w:p>
    <w:p w:rsidR="00523B88" w:rsidRDefault="00523B88" w:rsidP="00523B88">
      <w:r>
        <w:t xml:space="preserve">The engineering review for faucet aerators </w:t>
      </w:r>
      <w:r w:rsidR="00F830AE">
        <w:t xml:space="preserve">by examining </w:t>
      </w:r>
      <w:r>
        <w:t>published reports and TRMs deemed relevant to the evaluation due to their regional similarities, low-income specific recommendations, or separate inputs for multifamily savings.</w:t>
      </w:r>
      <w:r w:rsidR="002953AD">
        <w:t xml:space="preserve"> </w:t>
      </w:r>
      <w:r w:rsidR="0030047B">
        <w:t xml:space="preserve">The review identified </w:t>
      </w:r>
      <w:r>
        <w:t>eight sources.</w:t>
      </w:r>
      <w:r w:rsidR="002953AD">
        <w:t xml:space="preserve"> </w:t>
      </w:r>
      <w:r w:rsidR="005C2163">
        <w:fldChar w:fldCharType="begin"/>
      </w:r>
      <w:r w:rsidR="0030047B">
        <w:instrText xml:space="preserve"> REF _Ref388525084 \h </w:instrText>
      </w:r>
      <w:r w:rsidR="005C2163">
        <w:fldChar w:fldCharType="separate"/>
      </w:r>
      <w:r w:rsidR="00CD20CF">
        <w:t xml:space="preserve">Table </w:t>
      </w:r>
      <w:r w:rsidR="00CD20CF">
        <w:rPr>
          <w:noProof/>
        </w:rPr>
        <w:t>87</w:t>
      </w:r>
      <w:r w:rsidR="005C2163">
        <w:fldChar w:fldCharType="end"/>
      </w:r>
      <w:r w:rsidR="0030047B">
        <w:t xml:space="preserve"> shows t</w:t>
      </w:r>
      <w:r>
        <w:t>he per-measure energy savings estimates.</w:t>
      </w:r>
      <w:r w:rsidR="002953AD">
        <w:t xml:space="preserve"> </w:t>
      </w:r>
      <w:r>
        <w:t xml:space="preserve">Due to the variability in per-unit savings, </w:t>
      </w:r>
      <w:r w:rsidR="00F830AE">
        <w:t xml:space="preserve">the Evaluation Team performed </w:t>
      </w:r>
      <w:r>
        <w:t>a more in-depth analysis of the savings algorithms.</w:t>
      </w:r>
    </w:p>
    <w:p w:rsidR="00523B88" w:rsidRDefault="00B36DCA" w:rsidP="00B36DCA">
      <w:pPr>
        <w:pStyle w:val="Caption"/>
      </w:pPr>
      <w:bookmarkStart w:id="153" w:name="_Ref388525084"/>
      <w:r>
        <w:t xml:space="preserve">Table </w:t>
      </w:r>
      <w:r w:rsidR="002506E1">
        <w:fldChar w:fldCharType="begin"/>
      </w:r>
      <w:r w:rsidR="002506E1">
        <w:instrText xml:space="preserve"> SEQ Table \* ARABIC </w:instrText>
      </w:r>
      <w:r w:rsidR="002506E1">
        <w:fldChar w:fldCharType="separate"/>
      </w:r>
      <w:r w:rsidR="00CD20CF">
        <w:rPr>
          <w:noProof/>
        </w:rPr>
        <w:t>87</w:t>
      </w:r>
      <w:r w:rsidR="002506E1">
        <w:rPr>
          <w:noProof/>
        </w:rPr>
        <w:fldChar w:fldCharType="end"/>
      </w:r>
      <w:bookmarkEnd w:id="153"/>
      <w:r w:rsidR="00523B88">
        <w:t>.</w:t>
      </w:r>
      <w:r w:rsidR="002953AD">
        <w:t xml:space="preserve"> </w:t>
      </w:r>
      <w:r w:rsidR="00523B88">
        <w:t>Results of the Faucet Aerator Literature Review</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238"/>
        <w:gridCol w:w="1980"/>
        <w:gridCol w:w="2358"/>
      </w:tblGrid>
      <w:tr w:rsidR="00523B88" w:rsidRPr="00547536" w:rsidTr="0030047B">
        <w:tc>
          <w:tcPr>
            <w:tcW w:w="2735" w:type="pct"/>
            <w:shd w:val="clear" w:color="000000" w:fill="005DAA"/>
            <w:vAlign w:val="center"/>
            <w:hideMark/>
          </w:tcPr>
          <w:p w:rsidR="00523B88" w:rsidRPr="00547536" w:rsidRDefault="00523B88" w:rsidP="00B36DCA">
            <w:pPr>
              <w:spacing w:after="0"/>
              <w:jc w:val="center"/>
              <w:rPr>
                <w:rFonts w:ascii="Calibri" w:hAnsi="Calibri"/>
                <w:b/>
                <w:bCs/>
                <w:color w:val="FFFFFF"/>
              </w:rPr>
            </w:pPr>
            <w:r w:rsidRPr="00547536">
              <w:rPr>
                <w:rFonts w:ascii="Calibri" w:hAnsi="Calibri"/>
                <w:b/>
                <w:bCs/>
                <w:color w:val="FFFFFF"/>
              </w:rPr>
              <w:t>Source</w:t>
            </w:r>
          </w:p>
        </w:tc>
        <w:tc>
          <w:tcPr>
            <w:tcW w:w="1034" w:type="pct"/>
            <w:shd w:val="clear" w:color="000000" w:fill="005DAA"/>
            <w:vAlign w:val="center"/>
            <w:hideMark/>
          </w:tcPr>
          <w:p w:rsidR="00523B88" w:rsidRPr="00547536" w:rsidRDefault="00523B88" w:rsidP="00B36DCA">
            <w:pPr>
              <w:spacing w:after="0"/>
              <w:jc w:val="center"/>
              <w:rPr>
                <w:rFonts w:ascii="Calibri" w:hAnsi="Calibri"/>
                <w:b/>
                <w:bCs/>
                <w:color w:val="FFFFFF"/>
              </w:rPr>
            </w:pPr>
            <w:r w:rsidRPr="00547536">
              <w:rPr>
                <w:rFonts w:ascii="Calibri" w:hAnsi="Calibri"/>
                <w:b/>
                <w:bCs/>
                <w:color w:val="FFFFFF"/>
              </w:rPr>
              <w:t>Additional Information</w:t>
            </w:r>
          </w:p>
        </w:tc>
        <w:tc>
          <w:tcPr>
            <w:tcW w:w="1231" w:type="pct"/>
            <w:shd w:val="clear" w:color="000000" w:fill="005DAA"/>
            <w:vAlign w:val="center"/>
            <w:hideMark/>
          </w:tcPr>
          <w:p w:rsidR="00523B88" w:rsidRPr="00547536" w:rsidRDefault="00523B88" w:rsidP="00B36DCA">
            <w:pPr>
              <w:spacing w:after="0"/>
              <w:jc w:val="center"/>
              <w:rPr>
                <w:rFonts w:ascii="Calibri" w:hAnsi="Calibri"/>
                <w:b/>
                <w:bCs/>
                <w:color w:val="FFFFFF"/>
              </w:rPr>
            </w:pPr>
            <w:r w:rsidRPr="00547536">
              <w:rPr>
                <w:rFonts w:ascii="Calibri" w:hAnsi="Calibri"/>
                <w:b/>
                <w:bCs/>
                <w:color w:val="FFFFFF"/>
              </w:rPr>
              <w:t>Annual Energy Savings per Faucet (kWh)</w:t>
            </w:r>
          </w:p>
        </w:tc>
      </w:tr>
      <w:tr w:rsidR="00523B88" w:rsidRPr="00547536" w:rsidTr="0030047B">
        <w:tc>
          <w:tcPr>
            <w:tcW w:w="2735" w:type="pct"/>
            <w:shd w:val="clear" w:color="auto" w:fill="auto"/>
            <w:vAlign w:val="center"/>
            <w:hideMark/>
          </w:tcPr>
          <w:p w:rsidR="00523B88" w:rsidRPr="007D1F2B" w:rsidRDefault="00523B88" w:rsidP="00B36DCA">
            <w:pPr>
              <w:spacing w:after="0"/>
              <w:rPr>
                <w:rFonts w:ascii="Calibri" w:hAnsi="Calibri"/>
                <w:color w:val="000000"/>
                <w:sz w:val="20"/>
                <w:szCs w:val="20"/>
              </w:rPr>
            </w:pPr>
            <w:r w:rsidRPr="007D1F2B">
              <w:rPr>
                <w:rFonts w:ascii="Calibri" w:hAnsi="Calibri"/>
                <w:color w:val="000000"/>
                <w:sz w:val="20"/>
              </w:rPr>
              <w:t>Connecticut Program Savings Document, Eight Edition, 2013</w:t>
            </w:r>
          </w:p>
        </w:tc>
        <w:tc>
          <w:tcPr>
            <w:tcW w:w="1034" w:type="pct"/>
            <w:shd w:val="clear" w:color="auto" w:fill="auto"/>
            <w:vAlign w:val="center"/>
            <w:hideMark/>
          </w:tcPr>
          <w:p w:rsidR="00523B88" w:rsidRPr="00547536" w:rsidRDefault="00523B88" w:rsidP="00B36DCA">
            <w:pPr>
              <w:spacing w:after="0"/>
              <w:rPr>
                <w:rFonts w:ascii="Calibri" w:hAnsi="Calibri"/>
                <w:color w:val="000000"/>
                <w:sz w:val="20"/>
                <w:szCs w:val="20"/>
              </w:rPr>
            </w:pPr>
            <w:r w:rsidRPr="00547536">
              <w:rPr>
                <w:rFonts w:ascii="Calibri" w:hAnsi="Calibri"/>
                <w:color w:val="000000"/>
                <w:sz w:val="20"/>
              </w:rPr>
              <w:t>2013 PSD</w:t>
            </w:r>
          </w:p>
        </w:tc>
        <w:tc>
          <w:tcPr>
            <w:tcW w:w="1231" w:type="pct"/>
            <w:shd w:val="clear" w:color="auto" w:fill="auto"/>
            <w:vAlign w:val="center"/>
            <w:hideMark/>
          </w:tcPr>
          <w:p w:rsidR="00523B88" w:rsidRPr="00547536" w:rsidRDefault="00523B88" w:rsidP="00B36DCA">
            <w:pPr>
              <w:spacing w:after="0"/>
              <w:jc w:val="right"/>
              <w:rPr>
                <w:rFonts w:ascii="Calibri" w:hAnsi="Calibri"/>
                <w:color w:val="000000"/>
                <w:sz w:val="20"/>
                <w:szCs w:val="20"/>
              </w:rPr>
            </w:pPr>
            <w:r w:rsidRPr="00547536">
              <w:rPr>
                <w:rFonts w:ascii="Calibri" w:hAnsi="Calibri"/>
                <w:color w:val="000000"/>
                <w:sz w:val="20"/>
              </w:rPr>
              <w:t>79.38</w:t>
            </w:r>
          </w:p>
        </w:tc>
      </w:tr>
      <w:tr w:rsidR="00523B88" w:rsidRPr="00547536" w:rsidTr="0030047B">
        <w:tc>
          <w:tcPr>
            <w:tcW w:w="2735" w:type="pct"/>
            <w:vMerge w:val="restart"/>
            <w:shd w:val="clear" w:color="auto" w:fill="auto"/>
            <w:vAlign w:val="center"/>
            <w:hideMark/>
          </w:tcPr>
          <w:p w:rsidR="00523B88" w:rsidRPr="007D1F2B" w:rsidRDefault="00523B88" w:rsidP="00B36DCA">
            <w:pPr>
              <w:spacing w:after="0"/>
              <w:rPr>
                <w:rFonts w:ascii="Calibri" w:hAnsi="Calibri"/>
                <w:color w:val="000000"/>
                <w:sz w:val="20"/>
                <w:szCs w:val="20"/>
              </w:rPr>
            </w:pPr>
            <w:r w:rsidRPr="007D1F2B">
              <w:rPr>
                <w:rFonts w:ascii="Calibri" w:hAnsi="Calibri"/>
                <w:color w:val="000000"/>
                <w:sz w:val="20"/>
              </w:rPr>
              <w:t>Connecticut Program Savings Document, 2011</w:t>
            </w:r>
          </w:p>
        </w:tc>
        <w:tc>
          <w:tcPr>
            <w:tcW w:w="1034" w:type="pct"/>
            <w:shd w:val="clear" w:color="auto" w:fill="auto"/>
            <w:vAlign w:val="center"/>
            <w:hideMark/>
          </w:tcPr>
          <w:p w:rsidR="00523B88" w:rsidRPr="00547536" w:rsidRDefault="00523B88" w:rsidP="00B36DCA">
            <w:pPr>
              <w:spacing w:after="0"/>
              <w:rPr>
                <w:rFonts w:ascii="Calibri" w:hAnsi="Calibri"/>
                <w:color w:val="000000"/>
                <w:sz w:val="20"/>
                <w:szCs w:val="20"/>
              </w:rPr>
            </w:pPr>
            <w:r w:rsidRPr="00547536">
              <w:rPr>
                <w:rFonts w:ascii="Calibri" w:hAnsi="Calibri"/>
                <w:color w:val="000000"/>
                <w:sz w:val="20"/>
              </w:rPr>
              <w:t>2011 PSD (HES)</w:t>
            </w:r>
          </w:p>
        </w:tc>
        <w:tc>
          <w:tcPr>
            <w:tcW w:w="1231" w:type="pct"/>
            <w:shd w:val="clear" w:color="auto" w:fill="auto"/>
            <w:vAlign w:val="center"/>
            <w:hideMark/>
          </w:tcPr>
          <w:p w:rsidR="00523B88" w:rsidRPr="00547536" w:rsidRDefault="00523B88" w:rsidP="00B36DCA">
            <w:pPr>
              <w:spacing w:after="0"/>
              <w:jc w:val="right"/>
              <w:rPr>
                <w:rFonts w:ascii="Calibri" w:hAnsi="Calibri"/>
                <w:color w:val="000000"/>
                <w:sz w:val="20"/>
                <w:szCs w:val="20"/>
              </w:rPr>
            </w:pPr>
            <w:r w:rsidRPr="00547536">
              <w:rPr>
                <w:rFonts w:ascii="Calibri" w:hAnsi="Calibri"/>
                <w:color w:val="000000"/>
                <w:sz w:val="20"/>
              </w:rPr>
              <w:t>17.26</w:t>
            </w:r>
          </w:p>
        </w:tc>
      </w:tr>
      <w:tr w:rsidR="00523B88" w:rsidRPr="00547536" w:rsidTr="0030047B">
        <w:tc>
          <w:tcPr>
            <w:tcW w:w="2735" w:type="pct"/>
            <w:vMerge/>
            <w:vAlign w:val="center"/>
            <w:hideMark/>
          </w:tcPr>
          <w:p w:rsidR="00523B88" w:rsidRPr="007D1F2B" w:rsidRDefault="00523B88" w:rsidP="00B36DCA">
            <w:pPr>
              <w:spacing w:after="0"/>
              <w:rPr>
                <w:rFonts w:ascii="Calibri" w:hAnsi="Calibri"/>
                <w:color w:val="000000"/>
                <w:sz w:val="20"/>
                <w:szCs w:val="20"/>
              </w:rPr>
            </w:pPr>
          </w:p>
        </w:tc>
        <w:tc>
          <w:tcPr>
            <w:tcW w:w="1034" w:type="pct"/>
            <w:shd w:val="clear" w:color="auto" w:fill="auto"/>
            <w:vAlign w:val="center"/>
            <w:hideMark/>
          </w:tcPr>
          <w:p w:rsidR="00523B88" w:rsidRPr="00547536" w:rsidRDefault="00523B88" w:rsidP="00B36DCA">
            <w:pPr>
              <w:spacing w:after="0"/>
              <w:rPr>
                <w:rFonts w:ascii="Calibri" w:hAnsi="Calibri"/>
                <w:color w:val="000000"/>
                <w:sz w:val="20"/>
                <w:szCs w:val="20"/>
              </w:rPr>
            </w:pPr>
            <w:r w:rsidRPr="00547536">
              <w:rPr>
                <w:rFonts w:ascii="Calibri" w:hAnsi="Calibri"/>
                <w:color w:val="000000"/>
                <w:sz w:val="20"/>
              </w:rPr>
              <w:t>2011 PSD (HES-IE)</w:t>
            </w:r>
          </w:p>
        </w:tc>
        <w:tc>
          <w:tcPr>
            <w:tcW w:w="1231" w:type="pct"/>
            <w:shd w:val="clear" w:color="auto" w:fill="auto"/>
            <w:vAlign w:val="center"/>
            <w:hideMark/>
          </w:tcPr>
          <w:p w:rsidR="00523B88" w:rsidRPr="00547536" w:rsidRDefault="00523B88" w:rsidP="00B36DCA">
            <w:pPr>
              <w:spacing w:after="0"/>
              <w:jc w:val="right"/>
              <w:rPr>
                <w:rFonts w:ascii="Calibri" w:hAnsi="Calibri"/>
                <w:color w:val="000000"/>
                <w:sz w:val="20"/>
                <w:szCs w:val="20"/>
              </w:rPr>
            </w:pPr>
            <w:r w:rsidRPr="00547536">
              <w:rPr>
                <w:rFonts w:ascii="Calibri" w:hAnsi="Calibri"/>
                <w:color w:val="000000"/>
                <w:sz w:val="20"/>
              </w:rPr>
              <w:t>22.42</w:t>
            </w:r>
          </w:p>
        </w:tc>
      </w:tr>
      <w:tr w:rsidR="00523B88" w:rsidRPr="00547536" w:rsidTr="0030047B">
        <w:tc>
          <w:tcPr>
            <w:tcW w:w="2735" w:type="pct"/>
            <w:vMerge w:val="restart"/>
            <w:shd w:val="clear" w:color="auto" w:fill="auto"/>
            <w:vAlign w:val="center"/>
            <w:hideMark/>
          </w:tcPr>
          <w:p w:rsidR="00523B88" w:rsidRPr="007D1F2B" w:rsidRDefault="00523B88" w:rsidP="00B36DCA">
            <w:pPr>
              <w:spacing w:after="0"/>
              <w:rPr>
                <w:rFonts w:ascii="Calibri" w:hAnsi="Calibri"/>
                <w:color w:val="000000"/>
                <w:sz w:val="20"/>
                <w:szCs w:val="20"/>
              </w:rPr>
            </w:pPr>
            <w:r w:rsidRPr="007D1F2B">
              <w:rPr>
                <w:rFonts w:ascii="Calibri" w:hAnsi="Calibri"/>
                <w:color w:val="000000"/>
                <w:sz w:val="20"/>
              </w:rPr>
              <w:t>Illinois Statewide Technical Reference Manual, Version 2.0, 2013</w:t>
            </w:r>
          </w:p>
        </w:tc>
        <w:tc>
          <w:tcPr>
            <w:tcW w:w="1034" w:type="pct"/>
            <w:shd w:val="clear" w:color="auto" w:fill="auto"/>
            <w:vAlign w:val="center"/>
            <w:hideMark/>
          </w:tcPr>
          <w:p w:rsidR="00523B88" w:rsidRPr="00547536" w:rsidRDefault="00523B88" w:rsidP="00B36DCA">
            <w:pPr>
              <w:spacing w:after="0"/>
              <w:rPr>
                <w:rFonts w:ascii="Calibri" w:hAnsi="Calibri"/>
                <w:color w:val="000000"/>
                <w:sz w:val="20"/>
                <w:szCs w:val="20"/>
              </w:rPr>
            </w:pPr>
            <w:r w:rsidRPr="00547536">
              <w:rPr>
                <w:rFonts w:ascii="Calibri" w:hAnsi="Calibri"/>
                <w:color w:val="000000"/>
                <w:sz w:val="20"/>
              </w:rPr>
              <w:t>Illinois (Single</w:t>
            </w:r>
            <w:r w:rsidR="0030047B">
              <w:rPr>
                <w:rFonts w:ascii="Calibri" w:hAnsi="Calibri"/>
                <w:color w:val="000000"/>
                <w:sz w:val="20"/>
              </w:rPr>
              <w:t>-</w:t>
            </w:r>
            <w:r w:rsidRPr="00547536">
              <w:rPr>
                <w:rFonts w:ascii="Calibri" w:hAnsi="Calibri"/>
                <w:color w:val="000000"/>
                <w:sz w:val="20"/>
              </w:rPr>
              <w:t>Family)</w:t>
            </w:r>
          </w:p>
        </w:tc>
        <w:tc>
          <w:tcPr>
            <w:tcW w:w="1231" w:type="pct"/>
            <w:shd w:val="clear" w:color="auto" w:fill="auto"/>
            <w:vAlign w:val="center"/>
            <w:hideMark/>
          </w:tcPr>
          <w:p w:rsidR="00523B88" w:rsidRPr="00547536" w:rsidRDefault="00523B88" w:rsidP="00B36DCA">
            <w:pPr>
              <w:spacing w:after="0"/>
              <w:jc w:val="right"/>
              <w:rPr>
                <w:rFonts w:ascii="Calibri" w:hAnsi="Calibri"/>
                <w:color w:val="000000"/>
                <w:sz w:val="20"/>
                <w:szCs w:val="20"/>
              </w:rPr>
            </w:pPr>
            <w:r w:rsidRPr="00547536">
              <w:rPr>
                <w:rFonts w:ascii="Calibri" w:hAnsi="Calibri"/>
                <w:color w:val="000000"/>
                <w:sz w:val="20"/>
              </w:rPr>
              <w:t>44.44</w:t>
            </w:r>
          </w:p>
        </w:tc>
      </w:tr>
      <w:tr w:rsidR="00523B88" w:rsidRPr="00547536" w:rsidTr="0030047B">
        <w:tc>
          <w:tcPr>
            <w:tcW w:w="2735" w:type="pct"/>
            <w:vMerge/>
            <w:vAlign w:val="center"/>
            <w:hideMark/>
          </w:tcPr>
          <w:p w:rsidR="00523B88" w:rsidRPr="007D1F2B" w:rsidRDefault="00523B88" w:rsidP="00B36DCA">
            <w:pPr>
              <w:spacing w:after="0"/>
              <w:rPr>
                <w:rFonts w:ascii="Calibri" w:hAnsi="Calibri"/>
                <w:color w:val="000000"/>
                <w:sz w:val="20"/>
                <w:szCs w:val="20"/>
              </w:rPr>
            </w:pPr>
          </w:p>
        </w:tc>
        <w:tc>
          <w:tcPr>
            <w:tcW w:w="1034" w:type="pct"/>
            <w:shd w:val="clear" w:color="auto" w:fill="auto"/>
            <w:vAlign w:val="center"/>
            <w:hideMark/>
          </w:tcPr>
          <w:p w:rsidR="00523B88" w:rsidRPr="00547536" w:rsidRDefault="00523B88" w:rsidP="00E87223">
            <w:pPr>
              <w:spacing w:after="0"/>
              <w:rPr>
                <w:rFonts w:ascii="Calibri" w:hAnsi="Calibri"/>
                <w:color w:val="000000"/>
                <w:sz w:val="20"/>
                <w:szCs w:val="20"/>
              </w:rPr>
            </w:pPr>
            <w:r w:rsidRPr="00547536">
              <w:rPr>
                <w:rFonts w:ascii="Calibri" w:hAnsi="Calibri"/>
                <w:color w:val="000000"/>
                <w:sz w:val="20"/>
              </w:rPr>
              <w:t>Illinois (Multi</w:t>
            </w:r>
            <w:r w:rsidR="00E87223">
              <w:rPr>
                <w:rFonts w:ascii="Calibri" w:hAnsi="Calibri"/>
                <w:color w:val="000000"/>
                <w:sz w:val="20"/>
              </w:rPr>
              <w:t>f</w:t>
            </w:r>
            <w:r w:rsidRPr="00547536">
              <w:rPr>
                <w:rFonts w:ascii="Calibri" w:hAnsi="Calibri"/>
                <w:color w:val="000000"/>
                <w:sz w:val="20"/>
              </w:rPr>
              <w:t>amily)</w:t>
            </w:r>
          </w:p>
        </w:tc>
        <w:tc>
          <w:tcPr>
            <w:tcW w:w="1231" w:type="pct"/>
            <w:shd w:val="clear" w:color="auto" w:fill="auto"/>
            <w:vAlign w:val="center"/>
            <w:hideMark/>
          </w:tcPr>
          <w:p w:rsidR="00523B88" w:rsidRPr="00547536" w:rsidRDefault="00523B88" w:rsidP="00B36DCA">
            <w:pPr>
              <w:spacing w:after="0"/>
              <w:jc w:val="right"/>
              <w:rPr>
                <w:rFonts w:ascii="Calibri" w:hAnsi="Calibri"/>
                <w:color w:val="000000"/>
                <w:sz w:val="20"/>
                <w:szCs w:val="20"/>
              </w:rPr>
            </w:pPr>
            <w:r w:rsidRPr="00547536">
              <w:rPr>
                <w:rFonts w:ascii="Calibri" w:hAnsi="Calibri"/>
                <w:color w:val="000000"/>
                <w:sz w:val="20"/>
              </w:rPr>
              <w:t>55.87</w:t>
            </w:r>
          </w:p>
        </w:tc>
      </w:tr>
      <w:tr w:rsidR="00523B88" w:rsidRPr="00547536" w:rsidTr="0030047B">
        <w:tc>
          <w:tcPr>
            <w:tcW w:w="2735" w:type="pct"/>
            <w:vMerge w:val="restart"/>
            <w:shd w:val="clear" w:color="auto" w:fill="auto"/>
            <w:vAlign w:val="center"/>
            <w:hideMark/>
          </w:tcPr>
          <w:p w:rsidR="00523B88" w:rsidRPr="007D1F2B" w:rsidRDefault="00523B88" w:rsidP="00B36DCA">
            <w:pPr>
              <w:spacing w:after="0"/>
              <w:rPr>
                <w:rFonts w:ascii="Calibri" w:hAnsi="Calibri"/>
                <w:color w:val="000000"/>
                <w:sz w:val="20"/>
                <w:szCs w:val="20"/>
              </w:rPr>
            </w:pPr>
            <w:r w:rsidRPr="007D1F2B">
              <w:rPr>
                <w:rFonts w:ascii="Calibri" w:hAnsi="Calibri"/>
                <w:color w:val="000000"/>
                <w:sz w:val="20"/>
              </w:rPr>
              <w:t>Massachusetts Home Energy Services Impact Evaluation</w:t>
            </w:r>
          </w:p>
        </w:tc>
        <w:tc>
          <w:tcPr>
            <w:tcW w:w="1034" w:type="pct"/>
            <w:shd w:val="clear" w:color="auto" w:fill="auto"/>
            <w:vAlign w:val="center"/>
            <w:hideMark/>
          </w:tcPr>
          <w:p w:rsidR="00523B88" w:rsidRPr="00547536" w:rsidRDefault="00523B88" w:rsidP="00B36DCA">
            <w:pPr>
              <w:spacing w:after="0"/>
              <w:rPr>
                <w:rFonts w:ascii="Calibri" w:hAnsi="Calibri"/>
                <w:color w:val="000000"/>
                <w:sz w:val="20"/>
                <w:szCs w:val="20"/>
              </w:rPr>
            </w:pPr>
            <w:r w:rsidRPr="00547536">
              <w:rPr>
                <w:rFonts w:ascii="Calibri" w:hAnsi="Calibri"/>
                <w:color w:val="000000"/>
                <w:sz w:val="20"/>
              </w:rPr>
              <w:t>MA (Kitchen)</w:t>
            </w:r>
          </w:p>
        </w:tc>
        <w:tc>
          <w:tcPr>
            <w:tcW w:w="1231" w:type="pct"/>
            <w:shd w:val="clear" w:color="auto" w:fill="auto"/>
            <w:vAlign w:val="center"/>
            <w:hideMark/>
          </w:tcPr>
          <w:p w:rsidR="00523B88" w:rsidRPr="00547536" w:rsidRDefault="00523B88" w:rsidP="00B36DCA">
            <w:pPr>
              <w:spacing w:after="0"/>
              <w:jc w:val="right"/>
              <w:rPr>
                <w:rFonts w:ascii="Calibri" w:hAnsi="Calibri"/>
                <w:color w:val="000000"/>
                <w:sz w:val="20"/>
                <w:szCs w:val="20"/>
              </w:rPr>
            </w:pPr>
            <w:r w:rsidRPr="00547536">
              <w:rPr>
                <w:rFonts w:ascii="Calibri" w:hAnsi="Calibri"/>
                <w:color w:val="000000"/>
                <w:sz w:val="20"/>
              </w:rPr>
              <w:t>71.15</w:t>
            </w:r>
          </w:p>
        </w:tc>
      </w:tr>
      <w:tr w:rsidR="00523B88" w:rsidRPr="00547536" w:rsidTr="0030047B">
        <w:tc>
          <w:tcPr>
            <w:tcW w:w="2735" w:type="pct"/>
            <w:vMerge/>
            <w:vAlign w:val="center"/>
            <w:hideMark/>
          </w:tcPr>
          <w:p w:rsidR="00523B88" w:rsidRPr="007D1F2B" w:rsidRDefault="00523B88" w:rsidP="00B36DCA">
            <w:pPr>
              <w:spacing w:after="0"/>
              <w:rPr>
                <w:rFonts w:ascii="Calibri" w:hAnsi="Calibri"/>
                <w:color w:val="000000"/>
                <w:sz w:val="20"/>
                <w:szCs w:val="20"/>
              </w:rPr>
            </w:pPr>
          </w:p>
        </w:tc>
        <w:tc>
          <w:tcPr>
            <w:tcW w:w="1034" w:type="pct"/>
            <w:shd w:val="clear" w:color="auto" w:fill="auto"/>
            <w:vAlign w:val="center"/>
            <w:hideMark/>
          </w:tcPr>
          <w:p w:rsidR="00523B88" w:rsidRPr="00547536" w:rsidRDefault="00523B88" w:rsidP="00B36DCA">
            <w:pPr>
              <w:spacing w:after="0"/>
              <w:rPr>
                <w:rFonts w:ascii="Calibri" w:hAnsi="Calibri"/>
                <w:color w:val="000000"/>
                <w:sz w:val="20"/>
                <w:szCs w:val="20"/>
              </w:rPr>
            </w:pPr>
            <w:r w:rsidRPr="00547536">
              <w:rPr>
                <w:rFonts w:ascii="Calibri" w:hAnsi="Calibri"/>
                <w:color w:val="000000"/>
                <w:sz w:val="20"/>
              </w:rPr>
              <w:t>MA (Bath)</w:t>
            </w:r>
          </w:p>
        </w:tc>
        <w:tc>
          <w:tcPr>
            <w:tcW w:w="1231" w:type="pct"/>
            <w:shd w:val="clear" w:color="auto" w:fill="auto"/>
            <w:vAlign w:val="center"/>
            <w:hideMark/>
          </w:tcPr>
          <w:p w:rsidR="00523B88" w:rsidRPr="00547536" w:rsidRDefault="00523B88" w:rsidP="00B36DCA">
            <w:pPr>
              <w:spacing w:after="0"/>
              <w:jc w:val="right"/>
              <w:rPr>
                <w:rFonts w:ascii="Calibri" w:hAnsi="Calibri"/>
                <w:color w:val="000000"/>
                <w:sz w:val="20"/>
                <w:szCs w:val="20"/>
              </w:rPr>
            </w:pPr>
            <w:r w:rsidRPr="00547536">
              <w:rPr>
                <w:rFonts w:ascii="Calibri" w:hAnsi="Calibri"/>
                <w:color w:val="000000"/>
                <w:sz w:val="20"/>
              </w:rPr>
              <w:t>33.26</w:t>
            </w:r>
          </w:p>
        </w:tc>
      </w:tr>
      <w:tr w:rsidR="00523B88" w:rsidRPr="00547536" w:rsidTr="0030047B">
        <w:tc>
          <w:tcPr>
            <w:tcW w:w="2735" w:type="pct"/>
            <w:vMerge w:val="restart"/>
            <w:shd w:val="clear" w:color="auto" w:fill="auto"/>
            <w:vAlign w:val="center"/>
            <w:hideMark/>
          </w:tcPr>
          <w:p w:rsidR="00523B88" w:rsidRPr="007D1F2B" w:rsidRDefault="00523B88" w:rsidP="00B36DCA">
            <w:pPr>
              <w:spacing w:after="0"/>
              <w:rPr>
                <w:rFonts w:ascii="Calibri" w:hAnsi="Calibri"/>
                <w:color w:val="000000"/>
                <w:sz w:val="20"/>
                <w:szCs w:val="20"/>
              </w:rPr>
            </w:pPr>
            <w:r w:rsidRPr="007D1F2B">
              <w:rPr>
                <w:rFonts w:ascii="Calibri" w:hAnsi="Calibri"/>
                <w:color w:val="000000"/>
                <w:sz w:val="20"/>
              </w:rPr>
              <w:t>Massachusetts Low Income Single Family Program Impact Evaluation, 2012</w:t>
            </w:r>
          </w:p>
        </w:tc>
        <w:tc>
          <w:tcPr>
            <w:tcW w:w="1034" w:type="pct"/>
            <w:shd w:val="clear" w:color="auto" w:fill="auto"/>
            <w:vAlign w:val="center"/>
            <w:hideMark/>
          </w:tcPr>
          <w:p w:rsidR="00523B88" w:rsidRPr="00547536" w:rsidRDefault="00523B88" w:rsidP="00B36DCA">
            <w:pPr>
              <w:spacing w:after="0"/>
              <w:rPr>
                <w:rFonts w:ascii="Calibri" w:hAnsi="Calibri"/>
                <w:color w:val="000000"/>
                <w:sz w:val="20"/>
                <w:szCs w:val="20"/>
              </w:rPr>
            </w:pPr>
            <w:r w:rsidRPr="00547536">
              <w:rPr>
                <w:rFonts w:ascii="Calibri" w:hAnsi="Calibri"/>
                <w:color w:val="000000"/>
                <w:sz w:val="20"/>
              </w:rPr>
              <w:t>MA LI (Kitchen)</w:t>
            </w:r>
          </w:p>
        </w:tc>
        <w:tc>
          <w:tcPr>
            <w:tcW w:w="1231" w:type="pct"/>
            <w:shd w:val="clear" w:color="auto" w:fill="auto"/>
            <w:vAlign w:val="center"/>
            <w:hideMark/>
          </w:tcPr>
          <w:p w:rsidR="00523B88" w:rsidRPr="00547536" w:rsidRDefault="00523B88" w:rsidP="00B36DCA">
            <w:pPr>
              <w:spacing w:after="0"/>
              <w:jc w:val="right"/>
              <w:rPr>
                <w:rFonts w:ascii="Calibri" w:hAnsi="Calibri"/>
                <w:color w:val="000000"/>
                <w:sz w:val="20"/>
                <w:szCs w:val="20"/>
              </w:rPr>
            </w:pPr>
            <w:r w:rsidRPr="00547536">
              <w:rPr>
                <w:rFonts w:ascii="Calibri" w:hAnsi="Calibri"/>
                <w:color w:val="000000"/>
                <w:sz w:val="20"/>
              </w:rPr>
              <w:t>58.45</w:t>
            </w:r>
          </w:p>
        </w:tc>
      </w:tr>
      <w:tr w:rsidR="00523B88" w:rsidRPr="00547536" w:rsidTr="0030047B">
        <w:tc>
          <w:tcPr>
            <w:tcW w:w="2735" w:type="pct"/>
            <w:vMerge/>
            <w:vAlign w:val="center"/>
            <w:hideMark/>
          </w:tcPr>
          <w:p w:rsidR="00523B88" w:rsidRPr="007D1F2B" w:rsidRDefault="00523B88" w:rsidP="00B36DCA">
            <w:pPr>
              <w:spacing w:after="0"/>
              <w:rPr>
                <w:rFonts w:ascii="Calibri" w:hAnsi="Calibri"/>
                <w:color w:val="000000"/>
                <w:sz w:val="20"/>
                <w:szCs w:val="20"/>
              </w:rPr>
            </w:pPr>
          </w:p>
        </w:tc>
        <w:tc>
          <w:tcPr>
            <w:tcW w:w="1034" w:type="pct"/>
            <w:shd w:val="clear" w:color="auto" w:fill="auto"/>
            <w:vAlign w:val="center"/>
            <w:hideMark/>
          </w:tcPr>
          <w:p w:rsidR="00523B88" w:rsidRPr="00547536" w:rsidRDefault="00523B88" w:rsidP="00B36DCA">
            <w:pPr>
              <w:spacing w:after="0"/>
              <w:rPr>
                <w:rFonts w:ascii="Calibri" w:hAnsi="Calibri"/>
                <w:color w:val="000000"/>
                <w:sz w:val="20"/>
                <w:szCs w:val="20"/>
              </w:rPr>
            </w:pPr>
            <w:r w:rsidRPr="00547536">
              <w:rPr>
                <w:rFonts w:ascii="Calibri" w:hAnsi="Calibri"/>
                <w:color w:val="000000"/>
                <w:sz w:val="20"/>
              </w:rPr>
              <w:t>MA LI (Bath)</w:t>
            </w:r>
          </w:p>
        </w:tc>
        <w:tc>
          <w:tcPr>
            <w:tcW w:w="1231" w:type="pct"/>
            <w:shd w:val="clear" w:color="auto" w:fill="auto"/>
            <w:vAlign w:val="center"/>
            <w:hideMark/>
          </w:tcPr>
          <w:p w:rsidR="00523B88" w:rsidRPr="00547536" w:rsidRDefault="00523B88" w:rsidP="00B36DCA">
            <w:pPr>
              <w:spacing w:after="0"/>
              <w:jc w:val="right"/>
              <w:rPr>
                <w:rFonts w:ascii="Calibri" w:hAnsi="Calibri"/>
                <w:color w:val="000000"/>
                <w:sz w:val="20"/>
                <w:szCs w:val="20"/>
              </w:rPr>
            </w:pPr>
            <w:r w:rsidRPr="00547536">
              <w:rPr>
                <w:rFonts w:ascii="Calibri" w:hAnsi="Calibri"/>
                <w:color w:val="000000"/>
                <w:sz w:val="20"/>
              </w:rPr>
              <w:t>27.32</w:t>
            </w:r>
          </w:p>
        </w:tc>
      </w:tr>
      <w:tr w:rsidR="00523B88" w:rsidRPr="00547536" w:rsidTr="0030047B">
        <w:tc>
          <w:tcPr>
            <w:tcW w:w="2735" w:type="pct"/>
            <w:vMerge w:val="restart"/>
            <w:shd w:val="clear" w:color="auto" w:fill="auto"/>
            <w:vAlign w:val="center"/>
            <w:hideMark/>
          </w:tcPr>
          <w:p w:rsidR="00523B88" w:rsidRPr="007D1F2B" w:rsidRDefault="00523B88" w:rsidP="00B36DCA">
            <w:pPr>
              <w:spacing w:after="0"/>
              <w:rPr>
                <w:rFonts w:ascii="Calibri" w:hAnsi="Calibri"/>
                <w:color w:val="000000"/>
                <w:sz w:val="20"/>
                <w:szCs w:val="20"/>
              </w:rPr>
            </w:pPr>
            <w:r w:rsidRPr="007D1F2B">
              <w:rPr>
                <w:rFonts w:ascii="Calibri" w:hAnsi="Calibri"/>
                <w:color w:val="000000"/>
                <w:sz w:val="20"/>
              </w:rPr>
              <w:t>Efficiency Maine Residential Technical Reference Manual, Version 2014.1, 2013</w:t>
            </w:r>
          </w:p>
        </w:tc>
        <w:tc>
          <w:tcPr>
            <w:tcW w:w="1034" w:type="pct"/>
            <w:shd w:val="clear" w:color="auto" w:fill="auto"/>
            <w:vAlign w:val="center"/>
            <w:hideMark/>
          </w:tcPr>
          <w:p w:rsidR="00523B88" w:rsidRPr="00547536" w:rsidRDefault="00523B88" w:rsidP="00B36DCA">
            <w:pPr>
              <w:spacing w:after="0"/>
              <w:rPr>
                <w:rFonts w:ascii="Calibri" w:hAnsi="Calibri"/>
                <w:color w:val="000000"/>
                <w:sz w:val="20"/>
                <w:szCs w:val="20"/>
              </w:rPr>
            </w:pPr>
            <w:r w:rsidRPr="00547536">
              <w:rPr>
                <w:rFonts w:ascii="Calibri" w:hAnsi="Calibri"/>
                <w:color w:val="000000"/>
                <w:sz w:val="20"/>
              </w:rPr>
              <w:t>Maine (Kitchen)</w:t>
            </w:r>
          </w:p>
        </w:tc>
        <w:tc>
          <w:tcPr>
            <w:tcW w:w="1231" w:type="pct"/>
            <w:shd w:val="clear" w:color="auto" w:fill="auto"/>
            <w:vAlign w:val="center"/>
            <w:hideMark/>
          </w:tcPr>
          <w:p w:rsidR="00523B88" w:rsidRPr="00547536" w:rsidRDefault="00523B88" w:rsidP="00B36DCA">
            <w:pPr>
              <w:spacing w:after="0"/>
              <w:jc w:val="right"/>
              <w:rPr>
                <w:rFonts w:ascii="Calibri" w:hAnsi="Calibri"/>
                <w:color w:val="000000"/>
                <w:sz w:val="20"/>
                <w:szCs w:val="20"/>
              </w:rPr>
            </w:pPr>
            <w:r w:rsidRPr="00547536">
              <w:rPr>
                <w:rFonts w:ascii="Calibri" w:hAnsi="Calibri"/>
                <w:color w:val="000000"/>
                <w:sz w:val="20"/>
              </w:rPr>
              <w:t>283.39</w:t>
            </w:r>
          </w:p>
        </w:tc>
      </w:tr>
      <w:tr w:rsidR="00523B88" w:rsidRPr="00547536" w:rsidTr="0030047B">
        <w:tc>
          <w:tcPr>
            <w:tcW w:w="2735" w:type="pct"/>
            <w:vMerge/>
            <w:vAlign w:val="center"/>
            <w:hideMark/>
          </w:tcPr>
          <w:p w:rsidR="00523B88" w:rsidRPr="007D1F2B" w:rsidRDefault="00523B88" w:rsidP="00B36DCA">
            <w:pPr>
              <w:spacing w:after="0"/>
              <w:rPr>
                <w:rFonts w:ascii="Calibri" w:hAnsi="Calibri"/>
                <w:color w:val="000000"/>
                <w:sz w:val="20"/>
                <w:szCs w:val="20"/>
              </w:rPr>
            </w:pPr>
          </w:p>
        </w:tc>
        <w:tc>
          <w:tcPr>
            <w:tcW w:w="1034" w:type="pct"/>
            <w:shd w:val="clear" w:color="auto" w:fill="auto"/>
            <w:vAlign w:val="center"/>
            <w:hideMark/>
          </w:tcPr>
          <w:p w:rsidR="00523B88" w:rsidRPr="00547536" w:rsidRDefault="00523B88" w:rsidP="00B36DCA">
            <w:pPr>
              <w:spacing w:after="0"/>
              <w:rPr>
                <w:rFonts w:ascii="Calibri" w:hAnsi="Calibri"/>
                <w:color w:val="000000"/>
                <w:sz w:val="20"/>
                <w:szCs w:val="20"/>
              </w:rPr>
            </w:pPr>
            <w:r w:rsidRPr="00547536">
              <w:rPr>
                <w:rFonts w:ascii="Calibri" w:hAnsi="Calibri"/>
                <w:color w:val="000000"/>
                <w:sz w:val="20"/>
              </w:rPr>
              <w:t>Maine (Bathroom)</w:t>
            </w:r>
          </w:p>
        </w:tc>
        <w:tc>
          <w:tcPr>
            <w:tcW w:w="1231" w:type="pct"/>
            <w:shd w:val="clear" w:color="auto" w:fill="auto"/>
            <w:vAlign w:val="center"/>
            <w:hideMark/>
          </w:tcPr>
          <w:p w:rsidR="00523B88" w:rsidRPr="00547536" w:rsidRDefault="00523B88" w:rsidP="00B36DCA">
            <w:pPr>
              <w:spacing w:after="0"/>
              <w:jc w:val="right"/>
              <w:rPr>
                <w:rFonts w:ascii="Calibri" w:hAnsi="Calibri"/>
                <w:color w:val="000000"/>
                <w:sz w:val="20"/>
                <w:szCs w:val="20"/>
              </w:rPr>
            </w:pPr>
            <w:r w:rsidRPr="00547536">
              <w:rPr>
                <w:rFonts w:ascii="Calibri" w:hAnsi="Calibri"/>
                <w:color w:val="000000"/>
                <w:sz w:val="20"/>
              </w:rPr>
              <w:t>29.22</w:t>
            </w:r>
          </w:p>
        </w:tc>
      </w:tr>
      <w:tr w:rsidR="00523B88" w:rsidRPr="00547536" w:rsidTr="0030047B">
        <w:tc>
          <w:tcPr>
            <w:tcW w:w="2735" w:type="pct"/>
            <w:shd w:val="clear" w:color="auto" w:fill="auto"/>
            <w:vAlign w:val="center"/>
            <w:hideMark/>
          </w:tcPr>
          <w:p w:rsidR="00523B88" w:rsidRPr="007D1F2B" w:rsidRDefault="00523B88" w:rsidP="00B36DCA">
            <w:pPr>
              <w:spacing w:after="0"/>
              <w:rPr>
                <w:rFonts w:ascii="Calibri" w:hAnsi="Calibri"/>
                <w:color w:val="000000"/>
                <w:sz w:val="20"/>
                <w:szCs w:val="20"/>
              </w:rPr>
            </w:pPr>
            <w:r w:rsidRPr="007D1F2B">
              <w:rPr>
                <w:rFonts w:ascii="Calibri" w:hAnsi="Calibri"/>
                <w:color w:val="000000"/>
                <w:sz w:val="20"/>
              </w:rPr>
              <w:t>Maine (Kitchen)</w:t>
            </w:r>
          </w:p>
        </w:tc>
        <w:tc>
          <w:tcPr>
            <w:tcW w:w="1034" w:type="pct"/>
            <w:shd w:val="clear" w:color="auto" w:fill="auto"/>
            <w:vAlign w:val="center"/>
            <w:hideMark/>
          </w:tcPr>
          <w:p w:rsidR="00523B88" w:rsidRPr="00547536" w:rsidRDefault="00523B88" w:rsidP="00B36DCA">
            <w:pPr>
              <w:spacing w:after="0"/>
              <w:rPr>
                <w:rFonts w:ascii="Calibri" w:hAnsi="Calibri"/>
                <w:color w:val="000000"/>
                <w:sz w:val="20"/>
                <w:szCs w:val="20"/>
              </w:rPr>
            </w:pPr>
            <w:r w:rsidRPr="00547536">
              <w:rPr>
                <w:rFonts w:ascii="Calibri" w:hAnsi="Calibri"/>
                <w:color w:val="000000"/>
                <w:sz w:val="20"/>
              </w:rPr>
              <w:t>PA 2014</w:t>
            </w:r>
          </w:p>
        </w:tc>
        <w:tc>
          <w:tcPr>
            <w:tcW w:w="1231" w:type="pct"/>
            <w:shd w:val="clear" w:color="auto" w:fill="auto"/>
            <w:vAlign w:val="center"/>
            <w:hideMark/>
          </w:tcPr>
          <w:p w:rsidR="00523B88" w:rsidRPr="00547536" w:rsidRDefault="00523B88" w:rsidP="00B36DCA">
            <w:pPr>
              <w:spacing w:after="0"/>
              <w:jc w:val="right"/>
              <w:rPr>
                <w:rFonts w:ascii="Calibri" w:hAnsi="Calibri"/>
                <w:color w:val="000000"/>
                <w:sz w:val="20"/>
                <w:szCs w:val="20"/>
              </w:rPr>
            </w:pPr>
            <w:r w:rsidRPr="00547536">
              <w:rPr>
                <w:rFonts w:ascii="Calibri" w:hAnsi="Calibri"/>
                <w:color w:val="000000"/>
                <w:sz w:val="20"/>
              </w:rPr>
              <w:t>69.27</w:t>
            </w:r>
          </w:p>
        </w:tc>
      </w:tr>
      <w:tr w:rsidR="00523B88" w:rsidRPr="00547536" w:rsidTr="0030047B">
        <w:tc>
          <w:tcPr>
            <w:tcW w:w="2735" w:type="pct"/>
            <w:vMerge w:val="restart"/>
            <w:shd w:val="clear" w:color="auto" w:fill="auto"/>
            <w:vAlign w:val="center"/>
            <w:hideMark/>
          </w:tcPr>
          <w:p w:rsidR="00523B88" w:rsidRPr="007D1F2B" w:rsidRDefault="00523B88" w:rsidP="00B36DCA">
            <w:pPr>
              <w:spacing w:after="0"/>
              <w:rPr>
                <w:rFonts w:ascii="Calibri" w:hAnsi="Calibri"/>
                <w:color w:val="000000"/>
                <w:sz w:val="20"/>
                <w:szCs w:val="20"/>
              </w:rPr>
            </w:pPr>
            <w:r w:rsidRPr="007D1F2B">
              <w:rPr>
                <w:rFonts w:ascii="Calibri" w:hAnsi="Calibri"/>
                <w:color w:val="000000"/>
                <w:sz w:val="20"/>
              </w:rPr>
              <w:t>Indiana Technical Resource Manual, Version 1.0, 2013</w:t>
            </w:r>
          </w:p>
        </w:tc>
        <w:tc>
          <w:tcPr>
            <w:tcW w:w="1034" w:type="pct"/>
            <w:shd w:val="clear" w:color="auto" w:fill="auto"/>
            <w:vAlign w:val="center"/>
            <w:hideMark/>
          </w:tcPr>
          <w:p w:rsidR="00523B88" w:rsidRPr="00547536" w:rsidRDefault="00523B88" w:rsidP="00B36DCA">
            <w:pPr>
              <w:spacing w:after="0"/>
              <w:rPr>
                <w:rFonts w:ascii="Calibri" w:hAnsi="Calibri"/>
                <w:color w:val="000000"/>
                <w:sz w:val="20"/>
                <w:szCs w:val="20"/>
              </w:rPr>
            </w:pPr>
            <w:r w:rsidRPr="00547536">
              <w:rPr>
                <w:rFonts w:ascii="Calibri" w:hAnsi="Calibri"/>
                <w:color w:val="000000"/>
                <w:sz w:val="20"/>
              </w:rPr>
              <w:t>Indiana (Kitchen)</w:t>
            </w:r>
          </w:p>
        </w:tc>
        <w:tc>
          <w:tcPr>
            <w:tcW w:w="1231" w:type="pct"/>
            <w:shd w:val="clear" w:color="auto" w:fill="auto"/>
            <w:vAlign w:val="center"/>
            <w:hideMark/>
          </w:tcPr>
          <w:p w:rsidR="00523B88" w:rsidRPr="00547536" w:rsidRDefault="00523B88" w:rsidP="00B36DCA">
            <w:pPr>
              <w:spacing w:after="0"/>
              <w:jc w:val="right"/>
              <w:rPr>
                <w:rFonts w:ascii="Calibri" w:hAnsi="Calibri"/>
                <w:color w:val="000000"/>
                <w:sz w:val="20"/>
                <w:szCs w:val="20"/>
              </w:rPr>
            </w:pPr>
            <w:r w:rsidRPr="00547536">
              <w:rPr>
                <w:rFonts w:ascii="Calibri" w:hAnsi="Calibri"/>
                <w:color w:val="000000"/>
                <w:sz w:val="20"/>
              </w:rPr>
              <w:t>37.45</w:t>
            </w:r>
          </w:p>
        </w:tc>
      </w:tr>
      <w:tr w:rsidR="00523B88" w:rsidRPr="00547536" w:rsidTr="0030047B">
        <w:tc>
          <w:tcPr>
            <w:tcW w:w="2735" w:type="pct"/>
            <w:vMerge/>
            <w:vAlign w:val="center"/>
            <w:hideMark/>
          </w:tcPr>
          <w:p w:rsidR="00523B88" w:rsidRPr="007D1F2B" w:rsidRDefault="00523B88" w:rsidP="00B36DCA">
            <w:pPr>
              <w:spacing w:after="0"/>
              <w:rPr>
                <w:rFonts w:ascii="Calibri" w:hAnsi="Calibri"/>
                <w:color w:val="000000"/>
                <w:sz w:val="20"/>
                <w:szCs w:val="20"/>
              </w:rPr>
            </w:pPr>
          </w:p>
        </w:tc>
        <w:tc>
          <w:tcPr>
            <w:tcW w:w="1034" w:type="pct"/>
            <w:shd w:val="clear" w:color="auto" w:fill="auto"/>
            <w:vAlign w:val="center"/>
            <w:hideMark/>
          </w:tcPr>
          <w:p w:rsidR="00523B88" w:rsidRPr="00547536" w:rsidRDefault="00523B88" w:rsidP="00B36DCA">
            <w:pPr>
              <w:spacing w:after="0"/>
              <w:rPr>
                <w:rFonts w:ascii="Calibri" w:hAnsi="Calibri"/>
                <w:color w:val="000000"/>
                <w:sz w:val="20"/>
                <w:szCs w:val="20"/>
              </w:rPr>
            </w:pPr>
            <w:r w:rsidRPr="00547536">
              <w:rPr>
                <w:rFonts w:ascii="Calibri" w:hAnsi="Calibri"/>
                <w:color w:val="000000"/>
                <w:sz w:val="20"/>
              </w:rPr>
              <w:t>Indiana (Bathroom)</w:t>
            </w:r>
          </w:p>
        </w:tc>
        <w:tc>
          <w:tcPr>
            <w:tcW w:w="1231" w:type="pct"/>
            <w:shd w:val="clear" w:color="auto" w:fill="auto"/>
            <w:vAlign w:val="center"/>
            <w:hideMark/>
          </w:tcPr>
          <w:p w:rsidR="00523B88" w:rsidRPr="00547536" w:rsidRDefault="00523B88" w:rsidP="00B36DCA">
            <w:pPr>
              <w:spacing w:after="0"/>
              <w:jc w:val="right"/>
              <w:rPr>
                <w:rFonts w:ascii="Calibri" w:hAnsi="Calibri"/>
                <w:color w:val="000000"/>
                <w:sz w:val="20"/>
                <w:szCs w:val="20"/>
              </w:rPr>
            </w:pPr>
            <w:r w:rsidRPr="00547536">
              <w:rPr>
                <w:rFonts w:ascii="Calibri" w:hAnsi="Calibri"/>
                <w:color w:val="000000"/>
                <w:sz w:val="20"/>
              </w:rPr>
              <w:t>38.84</w:t>
            </w:r>
          </w:p>
        </w:tc>
      </w:tr>
      <w:tr w:rsidR="00523B88" w:rsidRPr="00547536" w:rsidTr="0030047B">
        <w:tc>
          <w:tcPr>
            <w:tcW w:w="2735" w:type="pct"/>
            <w:shd w:val="clear" w:color="auto" w:fill="auto"/>
            <w:vAlign w:val="center"/>
            <w:hideMark/>
          </w:tcPr>
          <w:p w:rsidR="00523B88" w:rsidRPr="007D1F2B" w:rsidRDefault="00523B88" w:rsidP="00B36DCA">
            <w:pPr>
              <w:spacing w:after="0"/>
              <w:rPr>
                <w:rFonts w:ascii="Calibri" w:hAnsi="Calibri"/>
                <w:color w:val="000000"/>
                <w:sz w:val="20"/>
                <w:szCs w:val="20"/>
              </w:rPr>
            </w:pPr>
            <w:r w:rsidRPr="007D1F2B">
              <w:rPr>
                <w:rFonts w:ascii="Calibri" w:hAnsi="Calibri"/>
                <w:color w:val="000000"/>
                <w:sz w:val="20"/>
              </w:rPr>
              <w:t>Mid-Atlantic Technical Reference Manual, Version 3.0, 2013</w:t>
            </w:r>
          </w:p>
        </w:tc>
        <w:tc>
          <w:tcPr>
            <w:tcW w:w="1034" w:type="pct"/>
            <w:shd w:val="clear" w:color="auto" w:fill="auto"/>
            <w:vAlign w:val="center"/>
            <w:hideMark/>
          </w:tcPr>
          <w:p w:rsidR="00523B88" w:rsidRPr="00547536" w:rsidRDefault="00523B88" w:rsidP="00B36DCA">
            <w:pPr>
              <w:spacing w:after="0"/>
              <w:rPr>
                <w:rFonts w:ascii="Calibri" w:hAnsi="Calibri"/>
                <w:color w:val="000000"/>
                <w:sz w:val="20"/>
                <w:szCs w:val="20"/>
              </w:rPr>
            </w:pPr>
            <w:r w:rsidRPr="00547536">
              <w:rPr>
                <w:rFonts w:ascii="Calibri" w:hAnsi="Calibri"/>
                <w:color w:val="000000"/>
                <w:sz w:val="20"/>
              </w:rPr>
              <w:t>Mid-Atlantic 2013</w:t>
            </w:r>
          </w:p>
        </w:tc>
        <w:tc>
          <w:tcPr>
            <w:tcW w:w="1231" w:type="pct"/>
            <w:shd w:val="clear" w:color="auto" w:fill="auto"/>
            <w:vAlign w:val="center"/>
            <w:hideMark/>
          </w:tcPr>
          <w:p w:rsidR="00523B88" w:rsidRPr="00547536" w:rsidRDefault="00523B88" w:rsidP="00B36DCA">
            <w:pPr>
              <w:spacing w:after="0"/>
              <w:jc w:val="right"/>
              <w:rPr>
                <w:rFonts w:ascii="Calibri" w:hAnsi="Calibri"/>
                <w:color w:val="000000"/>
                <w:sz w:val="20"/>
                <w:szCs w:val="20"/>
              </w:rPr>
            </w:pPr>
            <w:r w:rsidRPr="00547536">
              <w:rPr>
                <w:rFonts w:ascii="Calibri" w:hAnsi="Calibri"/>
                <w:color w:val="000000"/>
                <w:sz w:val="20"/>
              </w:rPr>
              <w:t>12.11</w:t>
            </w:r>
          </w:p>
        </w:tc>
      </w:tr>
    </w:tbl>
    <w:p w:rsidR="00523B88" w:rsidRDefault="00523B88" w:rsidP="002C0922">
      <w:pPr>
        <w:pStyle w:val="NormalAfterTablesandFigures"/>
      </w:pPr>
    </w:p>
    <w:p w:rsidR="00523B88" w:rsidRDefault="005C2163" w:rsidP="002C0922">
      <w:r>
        <w:fldChar w:fldCharType="begin"/>
      </w:r>
      <w:r w:rsidR="00B36DCA">
        <w:instrText xml:space="preserve"> REF _Ref388525126 \h </w:instrText>
      </w:r>
      <w:r>
        <w:fldChar w:fldCharType="separate"/>
      </w:r>
      <w:r w:rsidR="00CD20CF">
        <w:t xml:space="preserve">Table </w:t>
      </w:r>
      <w:r w:rsidR="00CD20CF">
        <w:rPr>
          <w:noProof/>
        </w:rPr>
        <w:t>88</w:t>
      </w:r>
      <w:r>
        <w:fldChar w:fldCharType="end"/>
      </w:r>
      <w:r w:rsidR="00523B88">
        <w:t xml:space="preserve"> presents the various inputs for each savings value </w:t>
      </w:r>
      <w:r w:rsidR="0030047B">
        <w:t xml:space="preserve">with published </w:t>
      </w:r>
      <w:r w:rsidR="00523B88">
        <w:t>inputs and algorithms.</w:t>
      </w:r>
      <w:r w:rsidR="002953AD">
        <w:t xml:space="preserve"> </w:t>
      </w:r>
      <w:r w:rsidR="00523B88">
        <w:t xml:space="preserve">This research revealed </w:t>
      </w:r>
      <w:r w:rsidR="0030047B">
        <w:t xml:space="preserve">a great </w:t>
      </w:r>
      <w:r w:rsidR="00523B88">
        <w:t xml:space="preserve">many approaches used to arrive at the </w:t>
      </w:r>
      <w:r w:rsidR="00F830AE">
        <w:t xml:space="preserve">energy </w:t>
      </w:r>
      <w:r w:rsidR="00523B88">
        <w:t>savings value</w:t>
      </w:r>
      <w:r w:rsidR="0030047B">
        <w:t>s</w:t>
      </w:r>
      <w:r w:rsidR="00523B88">
        <w:t>.</w:t>
      </w:r>
      <w:r w:rsidR="002953AD">
        <w:t xml:space="preserve"> </w:t>
      </w:r>
      <w:r w:rsidR="0030047B">
        <w:t xml:space="preserve">Consequently, </w:t>
      </w:r>
      <w:r w:rsidR="00523B88">
        <w:t xml:space="preserve">the </w:t>
      </w:r>
      <w:r w:rsidR="00B55BA4">
        <w:t>Evaluation</w:t>
      </w:r>
      <w:r w:rsidR="00523B88">
        <w:t xml:space="preserve"> </w:t>
      </w:r>
      <w:r w:rsidR="00B55BA4">
        <w:t>T</w:t>
      </w:r>
      <w:r w:rsidR="00523B88">
        <w:t>eam normalize</w:t>
      </w:r>
      <w:r w:rsidR="0030047B">
        <w:t>d</w:t>
      </w:r>
      <w:r w:rsidR="00523B88">
        <w:t xml:space="preserve"> savings values for studies provid</w:t>
      </w:r>
      <w:r w:rsidR="0030047B">
        <w:t>ing</w:t>
      </w:r>
      <w:r w:rsidR="00523B88">
        <w:t xml:space="preserve"> sufficient published data.</w:t>
      </w:r>
      <w:r w:rsidR="002953AD">
        <w:t xml:space="preserve"> </w:t>
      </w:r>
      <w:r w:rsidR="00574907">
        <w:t>This process involved review</w:t>
      </w:r>
      <w:r w:rsidR="00F830AE">
        <w:t>ing</w:t>
      </w:r>
      <w:r w:rsidR="00574907">
        <w:t xml:space="preserve"> key components </w:t>
      </w:r>
      <w:r w:rsidR="00F830AE">
        <w:t xml:space="preserve">for </w:t>
      </w:r>
      <w:r w:rsidR="00574907">
        <w:t>energy</w:t>
      </w:r>
      <w:r w:rsidR="00F830AE">
        <w:t>-</w:t>
      </w:r>
      <w:r w:rsidR="00574907">
        <w:t>saving equations and normalizing inputs for comparison</w:t>
      </w:r>
      <w:r w:rsidR="00F830AE">
        <w:t>. F</w:t>
      </w:r>
      <w:r w:rsidR="00574907">
        <w:t xml:space="preserve">or example, the Evaluation Team assessed annual water savings per year (gallons) and energy savings per gallon. </w:t>
      </w:r>
      <w:r w:rsidR="00523B88">
        <w:t xml:space="preserve">In total, six studies </w:t>
      </w:r>
      <w:r w:rsidR="0030047B">
        <w:t xml:space="preserve">supplied enough </w:t>
      </w:r>
      <w:r w:rsidR="00523B88">
        <w:t>detail to inform the normalized savings calculation.</w:t>
      </w:r>
      <w:r w:rsidR="002953AD">
        <w:t xml:space="preserve"> </w:t>
      </w:r>
      <w:r>
        <w:fldChar w:fldCharType="begin"/>
      </w:r>
      <w:r w:rsidR="0030047B">
        <w:instrText xml:space="preserve"> REF _Ref388525212 \h </w:instrText>
      </w:r>
      <w:r>
        <w:fldChar w:fldCharType="separate"/>
      </w:r>
      <w:r w:rsidR="00CD20CF">
        <w:t xml:space="preserve">Table </w:t>
      </w:r>
      <w:r w:rsidR="00CD20CF">
        <w:rPr>
          <w:noProof/>
        </w:rPr>
        <w:t>89</w:t>
      </w:r>
      <w:r>
        <w:fldChar w:fldCharType="end"/>
      </w:r>
      <w:r w:rsidR="0030047B">
        <w:t xml:space="preserve"> shows t</w:t>
      </w:r>
      <w:r w:rsidR="00523B88">
        <w:t xml:space="preserve">he normalization </w:t>
      </w:r>
      <w:r w:rsidR="0030047B">
        <w:t>results</w:t>
      </w:r>
      <w:r w:rsidR="00523B88">
        <w:t xml:space="preserve">. </w:t>
      </w:r>
    </w:p>
    <w:p w:rsidR="0030047B" w:rsidRPr="00814B1E" w:rsidRDefault="0030047B" w:rsidP="002C0922">
      <w:pPr>
        <w:rPr>
          <w:b/>
          <w:bCs/>
          <w:color w:val="993300"/>
          <w:szCs w:val="20"/>
        </w:rPr>
      </w:pPr>
    </w:p>
    <w:p w:rsidR="00523B88" w:rsidRDefault="00523B88" w:rsidP="00523B88">
      <w:pPr>
        <w:sectPr w:rsidR="00523B88" w:rsidSect="00523B88">
          <w:pgSz w:w="12240" w:h="15840" w:code="1"/>
          <w:pgMar w:top="1440" w:right="1440" w:bottom="1440" w:left="1440" w:header="720" w:footer="720" w:gutter="0"/>
          <w:cols w:space="720"/>
          <w:docGrid w:linePitch="360"/>
        </w:sectPr>
      </w:pPr>
    </w:p>
    <w:p w:rsidR="00523B88" w:rsidRDefault="00523B88" w:rsidP="00B36DCA">
      <w:pPr>
        <w:pStyle w:val="Caption"/>
        <w:rPr>
          <w:rFonts w:cs="Arial"/>
          <w:b w:val="0"/>
          <w:bCs w:val="0"/>
          <w:i/>
          <w:iCs/>
          <w:kern w:val="28"/>
          <w:position w:val="6"/>
          <w:sz w:val="24"/>
          <w:szCs w:val="28"/>
        </w:rPr>
      </w:pPr>
      <w:bookmarkStart w:id="154" w:name="_Ref388525126"/>
      <w:r>
        <w:lastRenderedPageBreak/>
        <w:t xml:space="preserve">Table </w:t>
      </w:r>
      <w:r w:rsidR="002506E1">
        <w:fldChar w:fldCharType="begin"/>
      </w:r>
      <w:r w:rsidR="002506E1">
        <w:instrText xml:space="preserve"> SEQ Table \* ARABIC </w:instrText>
      </w:r>
      <w:r w:rsidR="002506E1">
        <w:fldChar w:fldCharType="separate"/>
      </w:r>
      <w:r w:rsidR="00CD20CF">
        <w:rPr>
          <w:noProof/>
        </w:rPr>
        <w:t>88</w:t>
      </w:r>
      <w:r w:rsidR="002506E1">
        <w:rPr>
          <w:noProof/>
        </w:rPr>
        <w:fldChar w:fldCharType="end"/>
      </w:r>
      <w:bookmarkEnd w:id="154"/>
      <w:r>
        <w:t>.</w:t>
      </w:r>
      <w:r w:rsidRPr="008B3FA1">
        <w:t xml:space="preserve"> </w:t>
      </w:r>
      <w:r>
        <w:t>Summary of Faucet Aerator Assumptions and Values</w:t>
      </w:r>
      <w:r w:rsidR="00B55BA4">
        <w:t>*</w:t>
      </w:r>
    </w:p>
    <w:tbl>
      <w:tblPr>
        <w:tblW w:w="5096" w:type="pct"/>
        <w:tblInd w:w="-25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17"/>
        <w:gridCol w:w="723"/>
        <w:gridCol w:w="720"/>
        <w:gridCol w:w="722"/>
        <w:gridCol w:w="722"/>
        <w:gridCol w:w="720"/>
        <w:gridCol w:w="720"/>
        <w:gridCol w:w="722"/>
        <w:gridCol w:w="720"/>
        <w:gridCol w:w="722"/>
        <w:gridCol w:w="722"/>
        <w:gridCol w:w="720"/>
        <w:gridCol w:w="720"/>
        <w:gridCol w:w="722"/>
        <w:gridCol w:w="720"/>
        <w:gridCol w:w="717"/>
      </w:tblGrid>
      <w:tr w:rsidR="00B55BA4" w:rsidRPr="00547536" w:rsidTr="00216CA2">
        <w:trPr>
          <w:tblHeader/>
        </w:trPr>
        <w:tc>
          <w:tcPr>
            <w:tcW w:w="974" w:type="pct"/>
            <w:shd w:val="clear" w:color="000000" w:fill="005DAA"/>
            <w:vAlign w:val="center"/>
            <w:hideMark/>
          </w:tcPr>
          <w:p w:rsidR="00523B88" w:rsidRPr="00547536" w:rsidRDefault="00523B88" w:rsidP="0030047B">
            <w:pPr>
              <w:spacing w:after="0"/>
              <w:jc w:val="center"/>
              <w:rPr>
                <w:rFonts w:ascii="Calibri" w:hAnsi="Calibri"/>
                <w:b/>
                <w:bCs/>
                <w:color w:val="FFFFFF"/>
                <w:sz w:val="18"/>
                <w:szCs w:val="18"/>
              </w:rPr>
            </w:pPr>
            <w:bookmarkStart w:id="155" w:name="_Ref304778686"/>
            <w:r w:rsidRPr="00547536">
              <w:rPr>
                <w:rFonts w:ascii="Calibri" w:hAnsi="Calibri"/>
                <w:b/>
                <w:bCs/>
                <w:color w:val="FFFFFF"/>
                <w:sz w:val="18"/>
                <w:szCs w:val="18"/>
              </w:rPr>
              <w:t xml:space="preserve">Inputs </w:t>
            </w:r>
            <w:r w:rsidR="0030047B">
              <w:rPr>
                <w:rFonts w:ascii="Calibri" w:hAnsi="Calibri"/>
                <w:b/>
                <w:bCs/>
                <w:color w:val="FFFFFF"/>
                <w:sz w:val="18"/>
                <w:szCs w:val="18"/>
              </w:rPr>
              <w:t>D</w:t>
            </w:r>
            <w:r w:rsidRPr="00547536">
              <w:rPr>
                <w:rFonts w:ascii="Calibri" w:hAnsi="Calibri"/>
                <w:b/>
                <w:bCs/>
                <w:color w:val="FFFFFF"/>
                <w:sz w:val="18"/>
                <w:szCs w:val="18"/>
              </w:rPr>
              <w:t>escription</w:t>
            </w:r>
          </w:p>
        </w:tc>
        <w:tc>
          <w:tcPr>
            <w:tcW w:w="269" w:type="pct"/>
            <w:shd w:val="clear" w:color="000000" w:fill="005DAA"/>
            <w:vAlign w:val="center"/>
            <w:hideMark/>
          </w:tcPr>
          <w:p w:rsidR="00523B88" w:rsidRPr="00547536" w:rsidRDefault="00523B88" w:rsidP="00E87223">
            <w:pPr>
              <w:spacing w:after="0"/>
              <w:jc w:val="center"/>
              <w:rPr>
                <w:rFonts w:ascii="Calibri" w:hAnsi="Calibri"/>
                <w:b/>
                <w:bCs/>
                <w:color w:val="FFFFFF"/>
                <w:sz w:val="18"/>
                <w:szCs w:val="18"/>
              </w:rPr>
            </w:pPr>
            <w:r w:rsidRPr="00547536">
              <w:rPr>
                <w:rFonts w:ascii="Calibri" w:hAnsi="Calibri"/>
                <w:b/>
                <w:bCs/>
                <w:color w:val="FFFFFF"/>
                <w:sz w:val="18"/>
                <w:szCs w:val="18"/>
              </w:rPr>
              <w:t>2013 PSD</w:t>
            </w:r>
          </w:p>
        </w:tc>
        <w:tc>
          <w:tcPr>
            <w:tcW w:w="268" w:type="pct"/>
            <w:shd w:val="clear" w:color="000000" w:fill="005DAA"/>
            <w:vAlign w:val="center"/>
            <w:hideMark/>
          </w:tcPr>
          <w:p w:rsidR="00523B88" w:rsidRPr="00547536" w:rsidRDefault="00523B88" w:rsidP="00E87223">
            <w:pPr>
              <w:spacing w:after="0"/>
              <w:jc w:val="center"/>
              <w:rPr>
                <w:rFonts w:ascii="Calibri" w:hAnsi="Calibri"/>
                <w:b/>
                <w:bCs/>
                <w:color w:val="FFFFFF"/>
                <w:sz w:val="18"/>
                <w:szCs w:val="18"/>
              </w:rPr>
            </w:pPr>
            <w:r w:rsidRPr="00547536">
              <w:rPr>
                <w:rFonts w:ascii="Calibri" w:hAnsi="Calibri"/>
                <w:b/>
                <w:bCs/>
                <w:color w:val="FFFFFF"/>
                <w:sz w:val="18"/>
                <w:szCs w:val="18"/>
              </w:rPr>
              <w:t>2011 PSD (HES)</w:t>
            </w:r>
          </w:p>
        </w:tc>
        <w:tc>
          <w:tcPr>
            <w:tcW w:w="269" w:type="pct"/>
            <w:shd w:val="clear" w:color="000000" w:fill="005DAA"/>
            <w:vAlign w:val="center"/>
            <w:hideMark/>
          </w:tcPr>
          <w:p w:rsidR="00523B88" w:rsidRPr="00547536" w:rsidRDefault="00523B88" w:rsidP="00B55BA4">
            <w:pPr>
              <w:spacing w:after="0"/>
              <w:jc w:val="center"/>
              <w:rPr>
                <w:rFonts w:ascii="Calibri" w:hAnsi="Calibri"/>
                <w:b/>
                <w:bCs/>
                <w:color w:val="FFFFFF"/>
                <w:sz w:val="18"/>
                <w:szCs w:val="18"/>
              </w:rPr>
            </w:pPr>
            <w:r w:rsidRPr="00547536">
              <w:rPr>
                <w:rFonts w:ascii="Calibri" w:hAnsi="Calibri"/>
                <w:b/>
                <w:bCs/>
                <w:color w:val="FFFFFF"/>
                <w:sz w:val="18"/>
                <w:szCs w:val="18"/>
              </w:rPr>
              <w:t>2011 PSD (HES</w:t>
            </w:r>
            <w:r w:rsidR="00B55BA4">
              <w:rPr>
                <w:rFonts w:ascii="Calibri" w:hAnsi="Calibri"/>
                <w:b/>
                <w:bCs/>
                <w:color w:val="FFFFFF"/>
                <w:sz w:val="18"/>
                <w:szCs w:val="18"/>
              </w:rPr>
              <w:t>-</w:t>
            </w:r>
            <w:r w:rsidRPr="00547536">
              <w:rPr>
                <w:rFonts w:ascii="Calibri" w:hAnsi="Calibri"/>
                <w:b/>
                <w:bCs/>
                <w:color w:val="FFFFFF"/>
                <w:sz w:val="18"/>
                <w:szCs w:val="18"/>
              </w:rPr>
              <w:t>IE)</w:t>
            </w:r>
          </w:p>
        </w:tc>
        <w:tc>
          <w:tcPr>
            <w:tcW w:w="269" w:type="pct"/>
            <w:shd w:val="clear" w:color="000000" w:fill="005DAA"/>
            <w:vAlign w:val="center"/>
            <w:hideMark/>
          </w:tcPr>
          <w:p w:rsidR="00B55BA4" w:rsidRDefault="00B55BA4" w:rsidP="00B55BA4">
            <w:pPr>
              <w:spacing w:after="0"/>
              <w:jc w:val="center"/>
              <w:rPr>
                <w:rFonts w:ascii="Calibri" w:hAnsi="Calibri"/>
                <w:b/>
                <w:bCs/>
                <w:color w:val="FFFFFF"/>
                <w:sz w:val="18"/>
                <w:szCs w:val="18"/>
              </w:rPr>
            </w:pPr>
            <w:r>
              <w:rPr>
                <w:rFonts w:ascii="Calibri" w:hAnsi="Calibri"/>
                <w:b/>
                <w:bCs/>
                <w:color w:val="FFFFFF"/>
                <w:sz w:val="18"/>
                <w:szCs w:val="18"/>
              </w:rPr>
              <w:t>IL</w:t>
            </w:r>
          </w:p>
          <w:p w:rsidR="00523B88" w:rsidRPr="00547536" w:rsidRDefault="00523B88" w:rsidP="00B55BA4">
            <w:pPr>
              <w:spacing w:after="0"/>
              <w:jc w:val="center"/>
              <w:rPr>
                <w:rFonts w:ascii="Calibri" w:hAnsi="Calibri"/>
                <w:b/>
                <w:bCs/>
                <w:color w:val="FFFFFF"/>
                <w:sz w:val="18"/>
                <w:szCs w:val="18"/>
              </w:rPr>
            </w:pPr>
            <w:r w:rsidRPr="00547536">
              <w:rPr>
                <w:rFonts w:ascii="Calibri" w:hAnsi="Calibri"/>
                <w:b/>
                <w:bCs/>
                <w:color w:val="FFFFFF"/>
                <w:sz w:val="18"/>
                <w:szCs w:val="18"/>
              </w:rPr>
              <w:t>(</w:t>
            </w:r>
            <w:r w:rsidR="00B55BA4">
              <w:rPr>
                <w:rFonts w:ascii="Calibri" w:hAnsi="Calibri"/>
                <w:b/>
                <w:bCs/>
                <w:color w:val="FFFFFF"/>
                <w:sz w:val="18"/>
                <w:szCs w:val="18"/>
              </w:rPr>
              <w:t>SF</w:t>
            </w:r>
            <w:r w:rsidRPr="00547536">
              <w:rPr>
                <w:rFonts w:ascii="Calibri" w:hAnsi="Calibri"/>
                <w:b/>
                <w:bCs/>
                <w:color w:val="FFFFFF"/>
                <w:sz w:val="18"/>
                <w:szCs w:val="18"/>
              </w:rPr>
              <w:t>)</w:t>
            </w:r>
          </w:p>
        </w:tc>
        <w:tc>
          <w:tcPr>
            <w:tcW w:w="268" w:type="pct"/>
            <w:shd w:val="clear" w:color="000000" w:fill="005DAA"/>
            <w:vAlign w:val="center"/>
            <w:hideMark/>
          </w:tcPr>
          <w:p w:rsidR="00523B88" w:rsidRPr="00547536" w:rsidRDefault="00B55BA4" w:rsidP="00B55BA4">
            <w:pPr>
              <w:spacing w:after="0"/>
              <w:jc w:val="center"/>
              <w:rPr>
                <w:rFonts w:ascii="Calibri" w:hAnsi="Calibri"/>
                <w:b/>
                <w:bCs/>
                <w:color w:val="FFFFFF"/>
                <w:sz w:val="18"/>
                <w:szCs w:val="18"/>
              </w:rPr>
            </w:pPr>
            <w:r>
              <w:rPr>
                <w:rFonts w:ascii="Calibri" w:hAnsi="Calibri"/>
                <w:b/>
                <w:bCs/>
                <w:color w:val="FFFFFF"/>
                <w:sz w:val="18"/>
                <w:szCs w:val="18"/>
              </w:rPr>
              <w:t xml:space="preserve">IL </w:t>
            </w:r>
            <w:r w:rsidR="00523B88" w:rsidRPr="00547536">
              <w:rPr>
                <w:rFonts w:ascii="Calibri" w:hAnsi="Calibri"/>
                <w:b/>
                <w:bCs/>
                <w:color w:val="FFFFFF"/>
                <w:sz w:val="18"/>
                <w:szCs w:val="18"/>
              </w:rPr>
              <w:t>(M</w:t>
            </w:r>
            <w:r>
              <w:rPr>
                <w:rFonts w:ascii="Calibri" w:hAnsi="Calibri"/>
                <w:b/>
                <w:bCs/>
                <w:color w:val="FFFFFF"/>
                <w:sz w:val="18"/>
                <w:szCs w:val="18"/>
              </w:rPr>
              <w:t>F)</w:t>
            </w:r>
          </w:p>
        </w:tc>
        <w:tc>
          <w:tcPr>
            <w:tcW w:w="268" w:type="pct"/>
            <w:shd w:val="clear" w:color="000000" w:fill="005DAA"/>
            <w:vAlign w:val="center"/>
            <w:hideMark/>
          </w:tcPr>
          <w:p w:rsidR="00523B88" w:rsidRPr="00547536" w:rsidRDefault="00B55BA4" w:rsidP="00E87223">
            <w:pPr>
              <w:spacing w:after="0"/>
              <w:jc w:val="center"/>
              <w:rPr>
                <w:rFonts w:ascii="Calibri" w:hAnsi="Calibri"/>
                <w:b/>
                <w:bCs/>
                <w:color w:val="FFFFFF"/>
                <w:sz w:val="18"/>
                <w:szCs w:val="18"/>
              </w:rPr>
            </w:pPr>
            <w:r>
              <w:rPr>
                <w:rFonts w:ascii="Calibri" w:hAnsi="Calibri"/>
                <w:b/>
                <w:bCs/>
                <w:color w:val="FFFFFF"/>
                <w:sz w:val="18"/>
                <w:szCs w:val="18"/>
              </w:rPr>
              <w:t>MA (Kit</w:t>
            </w:r>
            <w:r w:rsidR="00523B88" w:rsidRPr="00547536">
              <w:rPr>
                <w:rFonts w:ascii="Calibri" w:hAnsi="Calibri"/>
                <w:b/>
                <w:bCs/>
                <w:color w:val="FFFFFF"/>
                <w:sz w:val="18"/>
                <w:szCs w:val="18"/>
              </w:rPr>
              <w:t>.)</w:t>
            </w:r>
          </w:p>
        </w:tc>
        <w:tc>
          <w:tcPr>
            <w:tcW w:w="269" w:type="pct"/>
            <w:shd w:val="clear" w:color="000000" w:fill="005DAA"/>
            <w:vAlign w:val="center"/>
            <w:hideMark/>
          </w:tcPr>
          <w:p w:rsidR="00523B88" w:rsidRPr="00547536" w:rsidRDefault="00523B88" w:rsidP="00E87223">
            <w:pPr>
              <w:spacing w:after="0"/>
              <w:jc w:val="center"/>
              <w:rPr>
                <w:rFonts w:ascii="Calibri" w:hAnsi="Calibri"/>
                <w:b/>
                <w:bCs/>
                <w:color w:val="FFFFFF"/>
                <w:sz w:val="18"/>
                <w:szCs w:val="18"/>
              </w:rPr>
            </w:pPr>
            <w:r w:rsidRPr="00547536">
              <w:rPr>
                <w:rFonts w:ascii="Calibri" w:hAnsi="Calibri"/>
                <w:b/>
                <w:bCs/>
                <w:color w:val="FFFFFF"/>
                <w:sz w:val="18"/>
                <w:szCs w:val="18"/>
              </w:rPr>
              <w:t>MA (Bath)</w:t>
            </w:r>
          </w:p>
        </w:tc>
        <w:tc>
          <w:tcPr>
            <w:tcW w:w="268" w:type="pct"/>
            <w:shd w:val="clear" w:color="000000" w:fill="005DAA"/>
            <w:vAlign w:val="center"/>
            <w:hideMark/>
          </w:tcPr>
          <w:p w:rsidR="00523B88" w:rsidRPr="00547536" w:rsidRDefault="00523B88" w:rsidP="00B55BA4">
            <w:pPr>
              <w:spacing w:after="0"/>
              <w:jc w:val="center"/>
              <w:rPr>
                <w:rFonts w:ascii="Calibri" w:hAnsi="Calibri"/>
                <w:b/>
                <w:bCs/>
                <w:color w:val="FFFFFF"/>
                <w:sz w:val="18"/>
                <w:szCs w:val="18"/>
              </w:rPr>
            </w:pPr>
            <w:r w:rsidRPr="00547536">
              <w:rPr>
                <w:rFonts w:ascii="Calibri" w:hAnsi="Calibri"/>
                <w:b/>
                <w:bCs/>
                <w:color w:val="FFFFFF"/>
                <w:sz w:val="18"/>
                <w:szCs w:val="18"/>
              </w:rPr>
              <w:t>MA LI (Kit.)</w:t>
            </w:r>
          </w:p>
        </w:tc>
        <w:tc>
          <w:tcPr>
            <w:tcW w:w="269" w:type="pct"/>
            <w:shd w:val="clear" w:color="000000" w:fill="005DAA"/>
            <w:vAlign w:val="center"/>
            <w:hideMark/>
          </w:tcPr>
          <w:p w:rsidR="00523B88" w:rsidRPr="00547536" w:rsidRDefault="00523B88" w:rsidP="00E87223">
            <w:pPr>
              <w:spacing w:after="0"/>
              <w:jc w:val="center"/>
              <w:rPr>
                <w:rFonts w:ascii="Calibri" w:hAnsi="Calibri"/>
                <w:b/>
                <w:bCs/>
                <w:color w:val="FFFFFF"/>
                <w:sz w:val="18"/>
                <w:szCs w:val="18"/>
              </w:rPr>
            </w:pPr>
            <w:r w:rsidRPr="00547536">
              <w:rPr>
                <w:rFonts w:ascii="Calibri" w:hAnsi="Calibri"/>
                <w:b/>
                <w:bCs/>
                <w:color w:val="FFFFFF"/>
                <w:sz w:val="18"/>
                <w:szCs w:val="18"/>
              </w:rPr>
              <w:t>MA LI (Bath)</w:t>
            </w:r>
          </w:p>
        </w:tc>
        <w:tc>
          <w:tcPr>
            <w:tcW w:w="269" w:type="pct"/>
            <w:shd w:val="clear" w:color="000000" w:fill="005DAA"/>
            <w:vAlign w:val="center"/>
            <w:hideMark/>
          </w:tcPr>
          <w:p w:rsidR="00523B88" w:rsidRPr="00547536" w:rsidRDefault="00B55BA4" w:rsidP="00B55BA4">
            <w:pPr>
              <w:spacing w:after="0"/>
              <w:jc w:val="center"/>
              <w:rPr>
                <w:rFonts w:ascii="Calibri" w:hAnsi="Calibri"/>
                <w:b/>
                <w:bCs/>
                <w:color w:val="FFFFFF"/>
                <w:sz w:val="18"/>
                <w:szCs w:val="18"/>
              </w:rPr>
            </w:pPr>
            <w:r>
              <w:rPr>
                <w:rFonts w:ascii="Calibri" w:hAnsi="Calibri"/>
                <w:b/>
                <w:bCs/>
                <w:color w:val="FFFFFF"/>
                <w:sz w:val="18"/>
                <w:szCs w:val="18"/>
              </w:rPr>
              <w:t>ME</w:t>
            </w:r>
            <w:r w:rsidR="00523B88" w:rsidRPr="00547536">
              <w:rPr>
                <w:rFonts w:ascii="Calibri" w:hAnsi="Calibri"/>
                <w:b/>
                <w:bCs/>
                <w:color w:val="FFFFFF"/>
                <w:sz w:val="18"/>
                <w:szCs w:val="18"/>
              </w:rPr>
              <w:t xml:space="preserve"> (Kit.)</w:t>
            </w:r>
          </w:p>
        </w:tc>
        <w:tc>
          <w:tcPr>
            <w:tcW w:w="268" w:type="pct"/>
            <w:shd w:val="clear" w:color="000000" w:fill="005DAA"/>
            <w:vAlign w:val="center"/>
            <w:hideMark/>
          </w:tcPr>
          <w:p w:rsidR="00523B88" w:rsidRPr="00547536" w:rsidRDefault="00B55BA4" w:rsidP="00E87223">
            <w:pPr>
              <w:spacing w:after="0"/>
              <w:jc w:val="center"/>
              <w:rPr>
                <w:rFonts w:ascii="Calibri" w:hAnsi="Calibri"/>
                <w:b/>
                <w:bCs/>
                <w:color w:val="FFFFFF"/>
                <w:sz w:val="18"/>
                <w:szCs w:val="18"/>
              </w:rPr>
            </w:pPr>
            <w:r>
              <w:rPr>
                <w:rFonts w:ascii="Calibri" w:hAnsi="Calibri"/>
                <w:b/>
                <w:bCs/>
                <w:color w:val="FFFFFF"/>
                <w:sz w:val="18"/>
                <w:szCs w:val="18"/>
              </w:rPr>
              <w:t xml:space="preserve">ME </w:t>
            </w:r>
            <w:r w:rsidR="00523B88" w:rsidRPr="00547536">
              <w:rPr>
                <w:rFonts w:ascii="Calibri" w:hAnsi="Calibri"/>
                <w:b/>
                <w:bCs/>
                <w:color w:val="FFFFFF"/>
                <w:sz w:val="18"/>
                <w:szCs w:val="18"/>
              </w:rPr>
              <w:t>(Bath)</w:t>
            </w:r>
          </w:p>
        </w:tc>
        <w:tc>
          <w:tcPr>
            <w:tcW w:w="268" w:type="pct"/>
            <w:shd w:val="clear" w:color="000000" w:fill="005DAA"/>
            <w:vAlign w:val="center"/>
            <w:hideMark/>
          </w:tcPr>
          <w:p w:rsidR="00523B88" w:rsidRPr="00547536" w:rsidRDefault="00523B88" w:rsidP="00E87223">
            <w:pPr>
              <w:spacing w:after="0"/>
              <w:jc w:val="center"/>
              <w:rPr>
                <w:rFonts w:ascii="Calibri" w:hAnsi="Calibri"/>
                <w:b/>
                <w:bCs/>
                <w:color w:val="FFFFFF"/>
                <w:sz w:val="18"/>
                <w:szCs w:val="18"/>
              </w:rPr>
            </w:pPr>
            <w:r w:rsidRPr="00547536">
              <w:rPr>
                <w:rFonts w:ascii="Calibri" w:hAnsi="Calibri"/>
                <w:b/>
                <w:bCs/>
                <w:color w:val="FFFFFF"/>
                <w:sz w:val="18"/>
                <w:szCs w:val="18"/>
              </w:rPr>
              <w:t>PA 2014</w:t>
            </w:r>
          </w:p>
        </w:tc>
        <w:tc>
          <w:tcPr>
            <w:tcW w:w="269" w:type="pct"/>
            <w:shd w:val="clear" w:color="000000" w:fill="005DAA"/>
            <w:vAlign w:val="center"/>
            <w:hideMark/>
          </w:tcPr>
          <w:p w:rsidR="00523B88" w:rsidRPr="00547536" w:rsidRDefault="00B55BA4" w:rsidP="00B55BA4">
            <w:pPr>
              <w:spacing w:after="0"/>
              <w:jc w:val="center"/>
              <w:rPr>
                <w:rFonts w:ascii="Calibri" w:hAnsi="Calibri"/>
                <w:b/>
                <w:bCs/>
                <w:color w:val="FFFFFF"/>
                <w:sz w:val="18"/>
                <w:szCs w:val="18"/>
              </w:rPr>
            </w:pPr>
            <w:r>
              <w:rPr>
                <w:rFonts w:ascii="Calibri" w:hAnsi="Calibri"/>
                <w:b/>
                <w:bCs/>
                <w:color w:val="FFFFFF"/>
                <w:sz w:val="18"/>
                <w:szCs w:val="18"/>
              </w:rPr>
              <w:t>IN</w:t>
            </w:r>
            <w:r w:rsidR="00523B88" w:rsidRPr="00547536">
              <w:rPr>
                <w:rFonts w:ascii="Calibri" w:hAnsi="Calibri"/>
                <w:b/>
                <w:bCs/>
                <w:color w:val="FFFFFF"/>
                <w:sz w:val="18"/>
                <w:szCs w:val="18"/>
              </w:rPr>
              <w:t xml:space="preserve"> (Kit.)</w:t>
            </w:r>
          </w:p>
        </w:tc>
        <w:tc>
          <w:tcPr>
            <w:tcW w:w="268" w:type="pct"/>
            <w:shd w:val="clear" w:color="000000" w:fill="005DAA"/>
            <w:vAlign w:val="center"/>
            <w:hideMark/>
          </w:tcPr>
          <w:p w:rsidR="00523B88" w:rsidRPr="00547536" w:rsidRDefault="00B55BA4" w:rsidP="00E87223">
            <w:pPr>
              <w:spacing w:after="0"/>
              <w:jc w:val="center"/>
              <w:rPr>
                <w:rFonts w:ascii="Calibri" w:hAnsi="Calibri"/>
                <w:b/>
                <w:bCs/>
                <w:color w:val="FFFFFF"/>
                <w:sz w:val="18"/>
                <w:szCs w:val="18"/>
              </w:rPr>
            </w:pPr>
            <w:r>
              <w:rPr>
                <w:rFonts w:ascii="Calibri" w:hAnsi="Calibri"/>
                <w:b/>
                <w:bCs/>
                <w:color w:val="FFFFFF"/>
                <w:sz w:val="18"/>
                <w:szCs w:val="18"/>
              </w:rPr>
              <w:t>IN</w:t>
            </w:r>
            <w:r w:rsidR="00523B88" w:rsidRPr="00547536">
              <w:rPr>
                <w:rFonts w:ascii="Calibri" w:hAnsi="Calibri"/>
                <w:b/>
                <w:bCs/>
                <w:color w:val="FFFFFF"/>
                <w:sz w:val="18"/>
                <w:szCs w:val="18"/>
              </w:rPr>
              <w:t xml:space="preserve"> (Bath)</w:t>
            </w:r>
          </w:p>
        </w:tc>
        <w:tc>
          <w:tcPr>
            <w:tcW w:w="271" w:type="pct"/>
            <w:shd w:val="clear" w:color="000000" w:fill="005DAA"/>
            <w:vAlign w:val="center"/>
            <w:hideMark/>
          </w:tcPr>
          <w:p w:rsidR="00523B88" w:rsidRPr="00547536" w:rsidRDefault="00523B88" w:rsidP="00E87223">
            <w:pPr>
              <w:spacing w:after="0"/>
              <w:jc w:val="center"/>
              <w:rPr>
                <w:rFonts w:ascii="Calibri" w:hAnsi="Calibri"/>
                <w:b/>
                <w:bCs/>
                <w:color w:val="FFFFFF"/>
                <w:sz w:val="18"/>
                <w:szCs w:val="18"/>
              </w:rPr>
            </w:pPr>
            <w:r w:rsidRPr="00547536">
              <w:rPr>
                <w:rFonts w:ascii="Calibri" w:hAnsi="Calibri"/>
                <w:b/>
                <w:bCs/>
                <w:color w:val="FFFFFF"/>
                <w:sz w:val="18"/>
                <w:szCs w:val="18"/>
              </w:rPr>
              <w:t>Mid-Atlantic 2013</w:t>
            </w:r>
          </w:p>
        </w:tc>
      </w:tr>
      <w:tr w:rsidR="00666EA8" w:rsidRPr="00547536" w:rsidTr="00216CA2">
        <w:tc>
          <w:tcPr>
            <w:tcW w:w="974" w:type="pct"/>
            <w:shd w:val="clear" w:color="auto" w:fill="auto"/>
            <w:vAlign w:val="center"/>
            <w:hideMark/>
          </w:tcPr>
          <w:p w:rsidR="00666EA8" w:rsidRPr="00547536" w:rsidRDefault="00666EA8" w:rsidP="00AA3848">
            <w:pPr>
              <w:spacing w:after="0"/>
              <w:rPr>
                <w:rFonts w:ascii="Calibri" w:hAnsi="Calibri"/>
                <w:color w:val="000000"/>
                <w:sz w:val="18"/>
                <w:szCs w:val="18"/>
              </w:rPr>
            </w:pPr>
            <w:r w:rsidRPr="00547536">
              <w:rPr>
                <w:rFonts w:ascii="Calibri" w:hAnsi="Calibri"/>
                <w:color w:val="000000"/>
                <w:sz w:val="18"/>
                <w:szCs w:val="18"/>
              </w:rPr>
              <w:t xml:space="preserve">Average </w:t>
            </w:r>
            <w:r w:rsidR="00AA3848">
              <w:rPr>
                <w:rFonts w:ascii="Calibri" w:hAnsi="Calibri"/>
                <w:color w:val="000000"/>
                <w:sz w:val="18"/>
                <w:szCs w:val="18"/>
              </w:rPr>
              <w:t>D</w:t>
            </w:r>
            <w:r w:rsidRPr="00547536">
              <w:rPr>
                <w:rFonts w:ascii="Calibri" w:hAnsi="Calibri"/>
                <w:color w:val="000000"/>
                <w:sz w:val="18"/>
                <w:szCs w:val="18"/>
              </w:rPr>
              <w:t xml:space="preserve">uration per </w:t>
            </w:r>
            <w:r w:rsidR="00AA3848">
              <w:rPr>
                <w:rFonts w:ascii="Calibri" w:hAnsi="Calibri"/>
                <w:color w:val="000000"/>
                <w:sz w:val="18"/>
                <w:szCs w:val="18"/>
              </w:rPr>
              <w:t>E</w:t>
            </w:r>
            <w:r w:rsidRPr="00547536">
              <w:rPr>
                <w:rFonts w:ascii="Calibri" w:hAnsi="Calibri"/>
                <w:color w:val="000000"/>
                <w:sz w:val="18"/>
                <w:szCs w:val="18"/>
              </w:rPr>
              <w:t>vent (Min)</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0.62</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1.00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1.00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3.00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2.00</w:t>
            </w:r>
          </w:p>
        </w:tc>
        <w:tc>
          <w:tcPr>
            <w:tcW w:w="271"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r>
      <w:tr w:rsidR="00666EA8" w:rsidRPr="00547536" w:rsidTr="00216CA2">
        <w:tc>
          <w:tcPr>
            <w:tcW w:w="974" w:type="pct"/>
            <w:shd w:val="clear" w:color="auto" w:fill="auto"/>
            <w:vAlign w:val="center"/>
            <w:hideMark/>
          </w:tcPr>
          <w:p w:rsidR="00666EA8" w:rsidRPr="00547536" w:rsidRDefault="00666EA8" w:rsidP="00E87223">
            <w:pPr>
              <w:spacing w:after="0"/>
              <w:rPr>
                <w:rFonts w:ascii="Calibri" w:hAnsi="Calibri"/>
                <w:color w:val="000000"/>
                <w:sz w:val="18"/>
                <w:szCs w:val="18"/>
              </w:rPr>
            </w:pPr>
            <w:r w:rsidRPr="00547536">
              <w:rPr>
                <w:rFonts w:ascii="Calibri" w:hAnsi="Calibri"/>
                <w:color w:val="000000"/>
                <w:sz w:val="18"/>
                <w:szCs w:val="18"/>
              </w:rPr>
              <w:t>Energy Factor of Electric Water Heater (%)</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0.95</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0.90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0.90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71"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r>
      <w:tr w:rsidR="00666EA8" w:rsidRPr="00547536" w:rsidTr="00216CA2">
        <w:tc>
          <w:tcPr>
            <w:tcW w:w="974" w:type="pct"/>
            <w:shd w:val="clear" w:color="auto" w:fill="auto"/>
            <w:vAlign w:val="center"/>
            <w:hideMark/>
          </w:tcPr>
          <w:p w:rsidR="00666EA8" w:rsidRPr="00547536" w:rsidRDefault="00666EA8" w:rsidP="00E87223">
            <w:pPr>
              <w:spacing w:after="0"/>
              <w:rPr>
                <w:rFonts w:ascii="Calibri" w:hAnsi="Calibri"/>
                <w:color w:val="000000"/>
                <w:sz w:val="18"/>
                <w:szCs w:val="18"/>
              </w:rPr>
            </w:pPr>
            <w:r w:rsidRPr="00547536">
              <w:rPr>
                <w:rFonts w:ascii="Calibri" w:hAnsi="Calibri" w:cs="Calibri"/>
                <w:color w:val="000000"/>
                <w:sz w:val="18"/>
                <w:szCs w:val="18"/>
              </w:rPr>
              <w:t>Faucet Flow Rate, Base (Gal/Min)</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2.20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2.20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2.20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1.20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1.20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1.30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1.30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1.30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1.30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2.20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2.20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2.20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2.40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2.40</w:t>
            </w:r>
          </w:p>
        </w:tc>
        <w:tc>
          <w:tcPr>
            <w:tcW w:w="271"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2.20</w:t>
            </w:r>
          </w:p>
        </w:tc>
      </w:tr>
      <w:tr w:rsidR="00666EA8" w:rsidRPr="00547536" w:rsidTr="00216CA2">
        <w:tc>
          <w:tcPr>
            <w:tcW w:w="974" w:type="pct"/>
            <w:shd w:val="clear" w:color="auto" w:fill="auto"/>
            <w:vAlign w:val="center"/>
            <w:hideMark/>
          </w:tcPr>
          <w:p w:rsidR="00666EA8" w:rsidRPr="00547536" w:rsidRDefault="00666EA8" w:rsidP="00E87223">
            <w:pPr>
              <w:spacing w:after="0"/>
              <w:rPr>
                <w:rFonts w:ascii="Calibri" w:hAnsi="Calibri"/>
                <w:color w:val="000000"/>
                <w:sz w:val="18"/>
                <w:szCs w:val="18"/>
              </w:rPr>
            </w:pPr>
            <w:r w:rsidRPr="00547536">
              <w:rPr>
                <w:rFonts w:ascii="Calibri" w:hAnsi="Calibri" w:cs="Calibri"/>
                <w:color w:val="000000"/>
                <w:sz w:val="18"/>
                <w:szCs w:val="18"/>
              </w:rPr>
              <w:t>Faucet Flow Rate, Low-Flow (Gal/Min)</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1.50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1.50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1.50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0.94</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0.94</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1.00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1.00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1.00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1.00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1.50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1.50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1.50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1.50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1.00</w:t>
            </w:r>
          </w:p>
        </w:tc>
        <w:tc>
          <w:tcPr>
            <w:tcW w:w="271"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1.50</w:t>
            </w:r>
          </w:p>
        </w:tc>
      </w:tr>
      <w:tr w:rsidR="00666EA8" w:rsidRPr="00547536" w:rsidTr="00216CA2">
        <w:tc>
          <w:tcPr>
            <w:tcW w:w="974" w:type="pct"/>
            <w:shd w:val="clear" w:color="auto" w:fill="auto"/>
            <w:vAlign w:val="center"/>
            <w:hideMark/>
          </w:tcPr>
          <w:p w:rsidR="00666EA8" w:rsidRPr="00547536" w:rsidRDefault="00666EA8" w:rsidP="00E87223">
            <w:pPr>
              <w:spacing w:after="0"/>
              <w:rPr>
                <w:rFonts w:ascii="Calibri" w:hAnsi="Calibri"/>
                <w:color w:val="000000"/>
                <w:sz w:val="18"/>
                <w:szCs w:val="18"/>
              </w:rPr>
            </w:pPr>
            <w:r w:rsidRPr="00547536">
              <w:rPr>
                <w:rFonts w:ascii="Calibri" w:hAnsi="Calibri" w:cs="Calibri"/>
                <w:color w:val="000000"/>
                <w:sz w:val="18"/>
                <w:szCs w:val="18"/>
              </w:rPr>
              <w:t>Faucets per Home (faucets/Home)</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5.10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3.00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3.00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3.83</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2.50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1.03</w:t>
            </w:r>
          </w:p>
        </w:tc>
        <w:tc>
          <w:tcPr>
            <w:tcW w:w="269"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2.42</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1.03</w:t>
            </w:r>
          </w:p>
        </w:tc>
        <w:tc>
          <w:tcPr>
            <w:tcW w:w="269"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2.42</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1.00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2.96</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3.80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71"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3.50</w:t>
            </w:r>
          </w:p>
        </w:tc>
      </w:tr>
      <w:tr w:rsidR="00666EA8" w:rsidRPr="00547536" w:rsidTr="00216CA2">
        <w:tc>
          <w:tcPr>
            <w:tcW w:w="974" w:type="pct"/>
            <w:shd w:val="clear" w:color="auto" w:fill="auto"/>
            <w:vAlign w:val="center"/>
            <w:hideMark/>
          </w:tcPr>
          <w:p w:rsidR="00666EA8" w:rsidRPr="00547536" w:rsidRDefault="00666EA8" w:rsidP="00AA3848">
            <w:pPr>
              <w:spacing w:after="0"/>
              <w:rPr>
                <w:rFonts w:ascii="Calibri" w:hAnsi="Calibri"/>
                <w:color w:val="000000"/>
                <w:sz w:val="18"/>
                <w:szCs w:val="18"/>
              </w:rPr>
            </w:pPr>
            <w:r w:rsidRPr="00547536">
              <w:rPr>
                <w:rFonts w:ascii="Calibri" w:hAnsi="Calibri"/>
                <w:color w:val="000000"/>
                <w:sz w:val="18"/>
                <w:szCs w:val="18"/>
              </w:rPr>
              <w:t xml:space="preserve">Median </w:t>
            </w:r>
            <w:r w:rsidR="00AA3848">
              <w:rPr>
                <w:rFonts w:ascii="Calibri" w:hAnsi="Calibri"/>
                <w:color w:val="000000"/>
                <w:sz w:val="18"/>
                <w:szCs w:val="18"/>
              </w:rPr>
              <w:t>N</w:t>
            </w:r>
            <w:r w:rsidRPr="00547536">
              <w:rPr>
                <w:rFonts w:ascii="Calibri" w:hAnsi="Calibri"/>
                <w:color w:val="000000"/>
                <w:sz w:val="18"/>
                <w:szCs w:val="18"/>
              </w:rPr>
              <w:t xml:space="preserve">umber of </w:t>
            </w:r>
            <w:r w:rsidR="00AA3848">
              <w:rPr>
                <w:rFonts w:ascii="Calibri" w:hAnsi="Calibri"/>
                <w:color w:val="000000"/>
                <w:sz w:val="18"/>
                <w:szCs w:val="18"/>
              </w:rPr>
              <w:t>F</w:t>
            </w:r>
            <w:r w:rsidRPr="00547536">
              <w:rPr>
                <w:rFonts w:ascii="Calibri" w:hAnsi="Calibri"/>
                <w:color w:val="000000"/>
                <w:sz w:val="18"/>
                <w:szCs w:val="18"/>
              </w:rPr>
              <w:t xml:space="preserve">aucet </w:t>
            </w:r>
            <w:r w:rsidR="00AA3848">
              <w:rPr>
                <w:rFonts w:ascii="Calibri" w:hAnsi="Calibri"/>
                <w:color w:val="000000"/>
                <w:sz w:val="18"/>
                <w:szCs w:val="18"/>
              </w:rPr>
              <w:t>E</w:t>
            </w:r>
            <w:r w:rsidRPr="00547536">
              <w:rPr>
                <w:rFonts w:ascii="Calibri" w:hAnsi="Calibri"/>
                <w:color w:val="000000"/>
                <w:sz w:val="18"/>
                <w:szCs w:val="18"/>
              </w:rPr>
              <w:t xml:space="preserve">vents per </w:t>
            </w:r>
            <w:r w:rsidR="00AA3848">
              <w:rPr>
                <w:rFonts w:ascii="Calibri" w:hAnsi="Calibri"/>
                <w:color w:val="000000"/>
                <w:sz w:val="18"/>
                <w:szCs w:val="18"/>
              </w:rPr>
              <w:t>D</w:t>
            </w:r>
            <w:r w:rsidRPr="00547536">
              <w:rPr>
                <w:rFonts w:ascii="Calibri" w:hAnsi="Calibri"/>
                <w:color w:val="000000"/>
                <w:sz w:val="18"/>
                <w:szCs w:val="18"/>
              </w:rPr>
              <w:t>ay (Events/Day)</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42.90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3.00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3.00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1.00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1.00</w:t>
            </w:r>
          </w:p>
        </w:tc>
        <w:tc>
          <w:tcPr>
            <w:tcW w:w="271"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r>
      <w:tr w:rsidR="00666EA8" w:rsidRPr="00547536" w:rsidTr="00216CA2">
        <w:tc>
          <w:tcPr>
            <w:tcW w:w="974" w:type="pct"/>
            <w:shd w:val="clear" w:color="auto" w:fill="auto"/>
            <w:vAlign w:val="center"/>
            <w:hideMark/>
          </w:tcPr>
          <w:p w:rsidR="00666EA8" w:rsidRPr="00547536" w:rsidRDefault="00666EA8" w:rsidP="00E87223">
            <w:pPr>
              <w:spacing w:after="0"/>
              <w:rPr>
                <w:rFonts w:ascii="Calibri" w:hAnsi="Calibri"/>
                <w:color w:val="000000"/>
                <w:sz w:val="18"/>
                <w:szCs w:val="18"/>
              </w:rPr>
            </w:pPr>
            <w:r w:rsidRPr="00547536">
              <w:rPr>
                <w:rFonts w:ascii="Calibri" w:hAnsi="Calibri" w:cs="Calibri"/>
                <w:color w:val="000000"/>
                <w:sz w:val="18"/>
                <w:szCs w:val="18"/>
              </w:rPr>
              <w:t>Water Savings per Year per Faucet (Gal/Year/Faucet)</w:t>
            </w:r>
          </w:p>
        </w:tc>
        <w:tc>
          <w:tcPr>
            <w:tcW w:w="269"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1,23</w:t>
            </w:r>
            <w:r>
              <w:rPr>
                <w:rFonts w:ascii="Calibri" w:hAnsi="Calibri"/>
                <w:color w:val="000000"/>
                <w:sz w:val="18"/>
                <w:szCs w:val="18"/>
              </w:rPr>
              <w:t>9</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Pr>
                <w:rFonts w:ascii="Calibri" w:hAnsi="Calibri"/>
                <w:color w:val="000000"/>
                <w:sz w:val="18"/>
                <w:szCs w:val="18"/>
              </w:rPr>
              <w:t>256</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332</w:t>
            </w:r>
          </w:p>
        </w:tc>
        <w:tc>
          <w:tcPr>
            <w:tcW w:w="269"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497</w:t>
            </w:r>
          </w:p>
        </w:tc>
        <w:tc>
          <w:tcPr>
            <w:tcW w:w="268"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62</w:t>
            </w:r>
            <w:r>
              <w:rPr>
                <w:rFonts w:ascii="Calibri" w:hAnsi="Calibri"/>
                <w:color w:val="000000"/>
                <w:sz w:val="18"/>
                <w:szCs w:val="18"/>
              </w:rPr>
              <w:t>5</w:t>
            </w:r>
          </w:p>
        </w:tc>
        <w:tc>
          <w:tcPr>
            <w:tcW w:w="268"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83</w:t>
            </w:r>
            <w:r>
              <w:rPr>
                <w:rFonts w:ascii="Calibri" w:hAnsi="Calibri"/>
                <w:color w:val="000000"/>
                <w:sz w:val="18"/>
                <w:szCs w:val="18"/>
              </w:rPr>
              <w:t>6</w:t>
            </w:r>
          </w:p>
        </w:tc>
        <w:tc>
          <w:tcPr>
            <w:tcW w:w="269"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39</w:t>
            </w:r>
            <w:r>
              <w:rPr>
                <w:rFonts w:ascii="Calibri" w:hAnsi="Calibri"/>
                <w:color w:val="000000"/>
                <w:sz w:val="18"/>
                <w:szCs w:val="18"/>
              </w:rPr>
              <w:t>1</w:t>
            </w:r>
          </w:p>
        </w:tc>
        <w:tc>
          <w:tcPr>
            <w:tcW w:w="268"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686</w:t>
            </w:r>
          </w:p>
        </w:tc>
        <w:tc>
          <w:tcPr>
            <w:tcW w:w="269"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32</w:t>
            </w:r>
            <w:r>
              <w:rPr>
                <w:rFonts w:ascii="Calibri" w:hAnsi="Calibri"/>
                <w:color w:val="000000"/>
                <w:sz w:val="18"/>
                <w:szCs w:val="18"/>
              </w:rPr>
              <w:t>1</w:t>
            </w:r>
          </w:p>
        </w:tc>
        <w:tc>
          <w:tcPr>
            <w:tcW w:w="269"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2,696</w:t>
            </w:r>
          </w:p>
        </w:tc>
        <w:tc>
          <w:tcPr>
            <w:tcW w:w="268"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333</w:t>
            </w:r>
          </w:p>
        </w:tc>
        <w:tc>
          <w:tcPr>
            <w:tcW w:w="268"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84</w:t>
            </w:r>
            <w:r>
              <w:rPr>
                <w:rFonts w:ascii="Calibri" w:hAnsi="Calibri"/>
                <w:color w:val="000000"/>
                <w:sz w:val="18"/>
                <w:szCs w:val="18"/>
              </w:rPr>
              <w:t>8</w:t>
            </w:r>
          </w:p>
        </w:tc>
        <w:tc>
          <w:tcPr>
            <w:tcW w:w="269"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62</w:t>
            </w:r>
            <w:r>
              <w:rPr>
                <w:rFonts w:ascii="Calibri" w:hAnsi="Calibri"/>
                <w:color w:val="000000"/>
                <w:sz w:val="18"/>
                <w:szCs w:val="18"/>
              </w:rPr>
              <w:t>1</w:t>
            </w:r>
          </w:p>
        </w:tc>
        <w:tc>
          <w:tcPr>
            <w:tcW w:w="268"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64</w:t>
            </w:r>
            <w:r>
              <w:rPr>
                <w:rFonts w:ascii="Calibri" w:hAnsi="Calibri"/>
                <w:color w:val="000000"/>
                <w:sz w:val="18"/>
                <w:szCs w:val="18"/>
              </w:rPr>
              <w:t>4</w:t>
            </w:r>
          </w:p>
        </w:tc>
        <w:tc>
          <w:tcPr>
            <w:tcW w:w="271"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1,620</w:t>
            </w:r>
          </w:p>
        </w:tc>
      </w:tr>
      <w:tr w:rsidR="00666EA8" w:rsidRPr="00547536" w:rsidTr="00216CA2">
        <w:tc>
          <w:tcPr>
            <w:tcW w:w="974" w:type="pct"/>
            <w:shd w:val="clear" w:color="auto" w:fill="auto"/>
            <w:vAlign w:val="center"/>
            <w:hideMark/>
          </w:tcPr>
          <w:p w:rsidR="00666EA8" w:rsidRPr="00547536" w:rsidRDefault="00666EA8" w:rsidP="00AA3848">
            <w:pPr>
              <w:spacing w:after="0"/>
              <w:rPr>
                <w:rFonts w:ascii="Calibri" w:hAnsi="Calibri"/>
                <w:color w:val="000000"/>
                <w:sz w:val="18"/>
                <w:szCs w:val="18"/>
              </w:rPr>
            </w:pPr>
            <w:r w:rsidRPr="00547536">
              <w:rPr>
                <w:rFonts w:ascii="Calibri" w:hAnsi="Calibri"/>
                <w:color w:val="000000"/>
                <w:sz w:val="18"/>
                <w:szCs w:val="18"/>
              </w:rPr>
              <w:t xml:space="preserve">Temperature of </w:t>
            </w:r>
            <w:r w:rsidR="00AA3848">
              <w:rPr>
                <w:rFonts w:ascii="Calibri" w:hAnsi="Calibri"/>
                <w:color w:val="000000"/>
                <w:sz w:val="18"/>
                <w:szCs w:val="18"/>
              </w:rPr>
              <w:t>W</w:t>
            </w:r>
            <w:r w:rsidRPr="00547536">
              <w:rPr>
                <w:rFonts w:ascii="Calibri" w:hAnsi="Calibri"/>
                <w:color w:val="000000"/>
                <w:sz w:val="18"/>
                <w:szCs w:val="18"/>
              </w:rPr>
              <w:t xml:space="preserve">ater from </w:t>
            </w:r>
            <w:r w:rsidR="00AA3848">
              <w:rPr>
                <w:rFonts w:ascii="Calibri" w:hAnsi="Calibri"/>
                <w:color w:val="000000"/>
                <w:sz w:val="18"/>
                <w:szCs w:val="18"/>
              </w:rPr>
              <w:t>F</w:t>
            </w:r>
            <w:r w:rsidRPr="00547536">
              <w:rPr>
                <w:rFonts w:ascii="Calibri" w:hAnsi="Calibri"/>
                <w:color w:val="000000"/>
                <w:sz w:val="18"/>
                <w:szCs w:val="18"/>
              </w:rPr>
              <w:t>aucet (F)</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80.00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80.00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80.00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90.00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90.00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90.00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90.00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90.00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90.00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93.00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86.00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87.80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80.00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80.00</w:t>
            </w:r>
          </w:p>
        </w:tc>
        <w:tc>
          <w:tcPr>
            <w:tcW w:w="271"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80.00</w:t>
            </w:r>
          </w:p>
        </w:tc>
      </w:tr>
      <w:tr w:rsidR="00666EA8" w:rsidRPr="00547536" w:rsidTr="00216CA2">
        <w:tc>
          <w:tcPr>
            <w:tcW w:w="974" w:type="pct"/>
            <w:shd w:val="clear" w:color="auto" w:fill="auto"/>
            <w:vAlign w:val="center"/>
            <w:hideMark/>
          </w:tcPr>
          <w:p w:rsidR="00666EA8" w:rsidRPr="00547536" w:rsidRDefault="00666EA8" w:rsidP="00AA3848">
            <w:pPr>
              <w:spacing w:after="0"/>
              <w:rPr>
                <w:rFonts w:ascii="Calibri" w:hAnsi="Calibri"/>
                <w:color w:val="000000"/>
                <w:sz w:val="18"/>
                <w:szCs w:val="18"/>
              </w:rPr>
            </w:pPr>
            <w:r w:rsidRPr="00547536">
              <w:rPr>
                <w:rFonts w:ascii="Calibri" w:hAnsi="Calibri"/>
                <w:color w:val="000000"/>
                <w:sz w:val="18"/>
                <w:szCs w:val="18"/>
              </w:rPr>
              <w:t xml:space="preserve">Temperature of </w:t>
            </w:r>
            <w:r w:rsidR="00AA3848">
              <w:rPr>
                <w:rFonts w:ascii="Calibri" w:hAnsi="Calibri"/>
                <w:color w:val="000000"/>
                <w:sz w:val="18"/>
                <w:szCs w:val="18"/>
              </w:rPr>
              <w:t>W</w:t>
            </w:r>
            <w:r w:rsidRPr="00547536">
              <w:rPr>
                <w:rFonts w:ascii="Calibri" w:hAnsi="Calibri"/>
                <w:color w:val="000000"/>
                <w:sz w:val="18"/>
                <w:szCs w:val="18"/>
              </w:rPr>
              <w:t xml:space="preserve">ater into </w:t>
            </w:r>
            <w:r w:rsidR="00AA3848">
              <w:rPr>
                <w:rFonts w:ascii="Calibri" w:hAnsi="Calibri"/>
                <w:color w:val="000000"/>
                <w:sz w:val="18"/>
                <w:szCs w:val="18"/>
              </w:rPr>
              <w:t>H</w:t>
            </w:r>
            <w:r w:rsidRPr="00547536">
              <w:rPr>
                <w:rFonts w:ascii="Calibri" w:hAnsi="Calibri"/>
                <w:color w:val="000000"/>
                <w:sz w:val="18"/>
                <w:szCs w:val="18"/>
              </w:rPr>
              <w:t>ouse (F)</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55.00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55.00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55.00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54.10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54.10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56.04</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56.04</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56.04</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56.04</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50.80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50.80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55.00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55.70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55.70</w:t>
            </w:r>
          </w:p>
        </w:tc>
        <w:tc>
          <w:tcPr>
            <w:tcW w:w="271"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55.00</w:t>
            </w:r>
          </w:p>
        </w:tc>
      </w:tr>
      <w:tr w:rsidR="00666EA8" w:rsidRPr="00547536" w:rsidTr="00216CA2">
        <w:tc>
          <w:tcPr>
            <w:tcW w:w="974" w:type="pct"/>
            <w:shd w:val="clear" w:color="auto" w:fill="auto"/>
            <w:vAlign w:val="center"/>
            <w:hideMark/>
          </w:tcPr>
          <w:p w:rsidR="00666EA8" w:rsidRPr="00547536" w:rsidRDefault="00666EA8" w:rsidP="00E87223">
            <w:pPr>
              <w:spacing w:after="0"/>
              <w:rPr>
                <w:rFonts w:ascii="Calibri" w:hAnsi="Calibri"/>
                <w:color w:val="000000"/>
                <w:sz w:val="18"/>
                <w:szCs w:val="18"/>
              </w:rPr>
            </w:pPr>
            <w:r w:rsidRPr="00547536">
              <w:rPr>
                <w:rFonts w:ascii="Calibri" w:hAnsi="Calibri" w:cs="Calibri"/>
                <w:color w:val="000000"/>
                <w:sz w:val="18"/>
                <w:szCs w:val="18"/>
              </w:rPr>
              <w:t>Minutes of Faucet Use per Day per Person (Min/day/Person)</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9.85</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9.85</w:t>
            </w:r>
          </w:p>
        </w:tc>
        <w:tc>
          <w:tcPr>
            <w:tcW w:w="268"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5.45</w:t>
            </w:r>
          </w:p>
        </w:tc>
        <w:tc>
          <w:tcPr>
            <w:tcW w:w="269"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2.93</w:t>
            </w:r>
          </w:p>
        </w:tc>
        <w:tc>
          <w:tcPr>
            <w:tcW w:w="268"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5.45</w:t>
            </w:r>
          </w:p>
        </w:tc>
        <w:tc>
          <w:tcPr>
            <w:tcW w:w="269"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2.93</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4.50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1.70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6.10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3.00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2.00</w:t>
            </w:r>
          </w:p>
        </w:tc>
        <w:tc>
          <w:tcPr>
            <w:tcW w:w="271"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4.95</w:t>
            </w:r>
          </w:p>
        </w:tc>
      </w:tr>
      <w:tr w:rsidR="00666EA8" w:rsidRPr="00547536" w:rsidTr="00216CA2">
        <w:tc>
          <w:tcPr>
            <w:tcW w:w="974" w:type="pct"/>
            <w:shd w:val="clear" w:color="auto" w:fill="auto"/>
            <w:vAlign w:val="center"/>
            <w:hideMark/>
          </w:tcPr>
          <w:p w:rsidR="00666EA8" w:rsidRPr="00547536" w:rsidRDefault="00666EA8" w:rsidP="00E87223">
            <w:pPr>
              <w:spacing w:after="0"/>
              <w:rPr>
                <w:rFonts w:ascii="Calibri" w:hAnsi="Calibri"/>
                <w:color w:val="000000"/>
                <w:sz w:val="18"/>
                <w:szCs w:val="18"/>
              </w:rPr>
            </w:pPr>
            <w:r w:rsidRPr="00547536">
              <w:rPr>
                <w:rFonts w:ascii="Calibri" w:hAnsi="Calibri" w:cs="Calibri"/>
                <w:color w:val="000000"/>
                <w:sz w:val="18"/>
                <w:szCs w:val="18"/>
              </w:rPr>
              <w:t>Average People per Home (Person/Home)</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2.56</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2.10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2.80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2.80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2.30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2.30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2.34</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2.34</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2.60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71"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2.56</w:t>
            </w:r>
          </w:p>
        </w:tc>
      </w:tr>
      <w:tr w:rsidR="00666EA8" w:rsidRPr="00547536" w:rsidTr="00216CA2">
        <w:tc>
          <w:tcPr>
            <w:tcW w:w="974" w:type="pct"/>
            <w:shd w:val="clear" w:color="auto" w:fill="auto"/>
            <w:vAlign w:val="center"/>
            <w:hideMark/>
          </w:tcPr>
          <w:p w:rsidR="00666EA8" w:rsidRPr="00547536" w:rsidRDefault="00666EA8" w:rsidP="00E87223">
            <w:pPr>
              <w:spacing w:after="0"/>
              <w:rPr>
                <w:rFonts w:ascii="Calibri" w:hAnsi="Calibri"/>
                <w:color w:val="000000"/>
                <w:sz w:val="18"/>
                <w:szCs w:val="18"/>
              </w:rPr>
            </w:pPr>
            <w:r w:rsidRPr="00547536">
              <w:rPr>
                <w:rFonts w:ascii="Calibri" w:hAnsi="Calibri"/>
                <w:color w:val="000000"/>
                <w:sz w:val="18"/>
                <w:szCs w:val="18"/>
              </w:rPr>
              <w:t>Drain Factor (%)</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0.80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0.80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0.50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0.70</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0.50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0.70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0.80</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0.63</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0.63</w:t>
            </w:r>
          </w:p>
        </w:tc>
        <w:tc>
          <w:tcPr>
            <w:tcW w:w="271"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0.50</w:t>
            </w:r>
          </w:p>
        </w:tc>
      </w:tr>
      <w:tr w:rsidR="00666EA8" w:rsidRPr="00547536" w:rsidTr="00216CA2">
        <w:tc>
          <w:tcPr>
            <w:tcW w:w="974" w:type="pct"/>
            <w:shd w:val="clear" w:color="auto" w:fill="auto"/>
            <w:vAlign w:val="center"/>
            <w:hideMark/>
          </w:tcPr>
          <w:p w:rsidR="00666EA8" w:rsidRPr="00547536" w:rsidRDefault="00666EA8" w:rsidP="00E87223">
            <w:pPr>
              <w:spacing w:after="0"/>
              <w:rPr>
                <w:rFonts w:ascii="Calibri" w:hAnsi="Calibri"/>
                <w:color w:val="000000"/>
                <w:sz w:val="18"/>
                <w:szCs w:val="18"/>
              </w:rPr>
            </w:pPr>
            <w:r w:rsidRPr="00547536">
              <w:rPr>
                <w:rFonts w:ascii="Calibri" w:hAnsi="Calibri"/>
                <w:color w:val="000000"/>
                <w:sz w:val="18"/>
                <w:szCs w:val="18"/>
              </w:rPr>
              <w:t>Electric Water Heater Recovery Efficiency (%)</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0.98</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0.98</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0.97</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0.97</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0.97</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0.97</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0.98</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0.98</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0.98</w:t>
            </w:r>
          </w:p>
        </w:tc>
        <w:tc>
          <w:tcPr>
            <w:tcW w:w="269"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0.98</w:t>
            </w:r>
          </w:p>
        </w:tc>
        <w:tc>
          <w:tcPr>
            <w:tcW w:w="268"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0.98</w:t>
            </w:r>
          </w:p>
        </w:tc>
        <w:tc>
          <w:tcPr>
            <w:tcW w:w="271" w:type="pct"/>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0.98</w:t>
            </w:r>
          </w:p>
        </w:tc>
      </w:tr>
      <w:tr w:rsidR="00666EA8" w:rsidRPr="00547536" w:rsidTr="00216CA2">
        <w:tc>
          <w:tcPr>
            <w:tcW w:w="974" w:type="pct"/>
            <w:shd w:val="clear" w:color="auto" w:fill="auto"/>
            <w:vAlign w:val="center"/>
            <w:hideMark/>
          </w:tcPr>
          <w:p w:rsidR="00666EA8" w:rsidRPr="00547536" w:rsidRDefault="00666EA8" w:rsidP="00E87223">
            <w:pPr>
              <w:spacing w:after="0"/>
              <w:rPr>
                <w:rFonts w:ascii="Calibri" w:hAnsi="Calibri"/>
                <w:color w:val="000000"/>
                <w:sz w:val="18"/>
                <w:szCs w:val="18"/>
              </w:rPr>
            </w:pPr>
            <w:r w:rsidRPr="00547536">
              <w:rPr>
                <w:rFonts w:ascii="Calibri" w:hAnsi="Calibri" w:cs="Calibri"/>
                <w:color w:val="000000"/>
                <w:sz w:val="18"/>
                <w:szCs w:val="18"/>
              </w:rPr>
              <w:t>Energy Savings per Gallon (kWh/Gal)</w:t>
            </w:r>
          </w:p>
        </w:tc>
        <w:tc>
          <w:tcPr>
            <w:tcW w:w="269"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0.06</w:t>
            </w:r>
          </w:p>
        </w:tc>
        <w:tc>
          <w:tcPr>
            <w:tcW w:w="268"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0.07</w:t>
            </w:r>
          </w:p>
        </w:tc>
        <w:tc>
          <w:tcPr>
            <w:tcW w:w="269"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0.07</w:t>
            </w:r>
          </w:p>
        </w:tc>
        <w:tc>
          <w:tcPr>
            <w:tcW w:w="269"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0.09</w:t>
            </w:r>
          </w:p>
        </w:tc>
        <w:tc>
          <w:tcPr>
            <w:tcW w:w="268"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0.09</w:t>
            </w:r>
          </w:p>
        </w:tc>
        <w:tc>
          <w:tcPr>
            <w:tcW w:w="268"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0.09</w:t>
            </w:r>
          </w:p>
        </w:tc>
        <w:tc>
          <w:tcPr>
            <w:tcW w:w="269"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0.09</w:t>
            </w:r>
          </w:p>
        </w:tc>
        <w:tc>
          <w:tcPr>
            <w:tcW w:w="268"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0.09</w:t>
            </w:r>
          </w:p>
        </w:tc>
        <w:tc>
          <w:tcPr>
            <w:tcW w:w="269"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0.09</w:t>
            </w:r>
          </w:p>
        </w:tc>
        <w:tc>
          <w:tcPr>
            <w:tcW w:w="269"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0.11</w:t>
            </w:r>
          </w:p>
        </w:tc>
        <w:tc>
          <w:tcPr>
            <w:tcW w:w="268"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0.09</w:t>
            </w:r>
          </w:p>
        </w:tc>
        <w:tc>
          <w:tcPr>
            <w:tcW w:w="268"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0.08</w:t>
            </w:r>
          </w:p>
        </w:tc>
        <w:tc>
          <w:tcPr>
            <w:tcW w:w="269"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0.06</w:t>
            </w:r>
          </w:p>
        </w:tc>
        <w:tc>
          <w:tcPr>
            <w:tcW w:w="268"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0.06</w:t>
            </w:r>
          </w:p>
        </w:tc>
        <w:tc>
          <w:tcPr>
            <w:tcW w:w="271" w:type="pct"/>
            <w:shd w:val="clear" w:color="000000" w:fill="FFE8D2"/>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0.01</w:t>
            </w:r>
          </w:p>
        </w:tc>
      </w:tr>
      <w:tr w:rsidR="00666EA8" w:rsidRPr="00547536" w:rsidTr="00216CA2">
        <w:tc>
          <w:tcPr>
            <w:tcW w:w="974" w:type="pct"/>
            <w:tcBorders>
              <w:bottom w:val="single" w:sz="4" w:space="0" w:color="BFBFBF"/>
            </w:tcBorders>
            <w:shd w:val="clear" w:color="auto" w:fill="auto"/>
            <w:vAlign w:val="center"/>
            <w:hideMark/>
          </w:tcPr>
          <w:p w:rsidR="00666EA8" w:rsidRPr="00547536" w:rsidRDefault="00666EA8" w:rsidP="00E87223">
            <w:pPr>
              <w:spacing w:after="0"/>
              <w:rPr>
                <w:rFonts w:ascii="Calibri" w:hAnsi="Calibri"/>
                <w:color w:val="000000"/>
                <w:sz w:val="18"/>
                <w:szCs w:val="18"/>
              </w:rPr>
            </w:pPr>
            <w:r w:rsidRPr="00547536">
              <w:rPr>
                <w:rFonts w:ascii="Calibri" w:hAnsi="Calibri"/>
                <w:color w:val="000000"/>
                <w:sz w:val="18"/>
                <w:szCs w:val="18"/>
              </w:rPr>
              <w:t>Gallons/</w:t>
            </w:r>
            <w:r w:rsidR="00AA3848" w:rsidRPr="00547536">
              <w:rPr>
                <w:rFonts w:ascii="Calibri" w:hAnsi="Calibri"/>
                <w:color w:val="000000"/>
                <w:sz w:val="18"/>
                <w:szCs w:val="18"/>
              </w:rPr>
              <w:t>Person/Day</w:t>
            </w:r>
          </w:p>
        </w:tc>
        <w:tc>
          <w:tcPr>
            <w:tcW w:w="269" w:type="pct"/>
            <w:tcBorders>
              <w:bottom w:val="single" w:sz="4" w:space="0" w:color="BFBFBF"/>
            </w:tcBorders>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8" w:type="pct"/>
            <w:tcBorders>
              <w:bottom w:val="single" w:sz="4" w:space="0" w:color="BFBFBF"/>
            </w:tcBorders>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9" w:type="pct"/>
            <w:tcBorders>
              <w:bottom w:val="single" w:sz="4" w:space="0" w:color="BFBFBF"/>
            </w:tcBorders>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9" w:type="pct"/>
            <w:tcBorders>
              <w:bottom w:val="single" w:sz="4" w:space="0" w:color="BFBFBF"/>
            </w:tcBorders>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8" w:type="pct"/>
            <w:tcBorders>
              <w:bottom w:val="single" w:sz="4" w:space="0" w:color="BFBFBF"/>
            </w:tcBorders>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8" w:type="pct"/>
            <w:tcBorders>
              <w:bottom w:val="single" w:sz="4" w:space="0" w:color="BFBFBF"/>
            </w:tcBorders>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10.90</w:t>
            </w:r>
          </w:p>
        </w:tc>
        <w:tc>
          <w:tcPr>
            <w:tcW w:w="269" w:type="pct"/>
            <w:tcBorders>
              <w:bottom w:val="single" w:sz="4" w:space="0" w:color="BFBFBF"/>
            </w:tcBorders>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10.90</w:t>
            </w:r>
          </w:p>
        </w:tc>
        <w:tc>
          <w:tcPr>
            <w:tcW w:w="268" w:type="pct"/>
            <w:tcBorders>
              <w:bottom w:val="single" w:sz="4" w:space="0" w:color="BFBFBF"/>
            </w:tcBorders>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10.90</w:t>
            </w:r>
          </w:p>
        </w:tc>
        <w:tc>
          <w:tcPr>
            <w:tcW w:w="269" w:type="pct"/>
            <w:tcBorders>
              <w:bottom w:val="single" w:sz="4" w:space="0" w:color="BFBFBF"/>
            </w:tcBorders>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10.90</w:t>
            </w:r>
          </w:p>
        </w:tc>
        <w:tc>
          <w:tcPr>
            <w:tcW w:w="269" w:type="pct"/>
            <w:tcBorders>
              <w:bottom w:val="single" w:sz="4" w:space="0" w:color="BFBFBF"/>
            </w:tcBorders>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8" w:type="pct"/>
            <w:tcBorders>
              <w:bottom w:val="single" w:sz="4" w:space="0" w:color="BFBFBF"/>
            </w:tcBorders>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8" w:type="pct"/>
            <w:tcBorders>
              <w:bottom w:val="single" w:sz="4" w:space="0" w:color="BFBFBF"/>
            </w:tcBorders>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9" w:type="pct"/>
            <w:tcBorders>
              <w:bottom w:val="single" w:sz="4" w:space="0" w:color="BFBFBF"/>
            </w:tcBorders>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68" w:type="pct"/>
            <w:tcBorders>
              <w:bottom w:val="single" w:sz="4" w:space="0" w:color="BFBFBF"/>
            </w:tcBorders>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 </w:t>
            </w:r>
            <w:r>
              <w:rPr>
                <w:rFonts w:ascii="Calibri" w:hAnsi="Calibri"/>
                <w:color w:val="000000"/>
                <w:sz w:val="18"/>
                <w:szCs w:val="18"/>
              </w:rPr>
              <w:t>n/a</w:t>
            </w:r>
          </w:p>
        </w:tc>
        <w:tc>
          <w:tcPr>
            <w:tcW w:w="271" w:type="pct"/>
            <w:tcBorders>
              <w:bottom w:val="single" w:sz="4" w:space="0" w:color="BFBFBF"/>
            </w:tcBorders>
            <w:shd w:val="clear" w:color="auto" w:fill="auto"/>
            <w:vAlign w:val="center"/>
            <w:hideMark/>
          </w:tcPr>
          <w:p w:rsidR="00666EA8" w:rsidRPr="00547536" w:rsidRDefault="00666EA8" w:rsidP="00666EA8">
            <w:pPr>
              <w:spacing w:after="0"/>
              <w:jc w:val="right"/>
              <w:rPr>
                <w:rFonts w:ascii="Calibri" w:hAnsi="Calibri"/>
                <w:color w:val="000000"/>
                <w:sz w:val="18"/>
                <w:szCs w:val="18"/>
              </w:rPr>
            </w:pPr>
            <w:r w:rsidRPr="00547536">
              <w:rPr>
                <w:rFonts w:ascii="Calibri" w:hAnsi="Calibri"/>
                <w:color w:val="000000"/>
                <w:sz w:val="18"/>
                <w:szCs w:val="18"/>
              </w:rPr>
              <w:t>10.90</w:t>
            </w:r>
          </w:p>
        </w:tc>
      </w:tr>
      <w:tr w:rsidR="00666EA8" w:rsidRPr="00547536" w:rsidTr="00216CA2">
        <w:tc>
          <w:tcPr>
            <w:tcW w:w="5000" w:type="pct"/>
            <w:gridSpan w:val="16"/>
            <w:tcBorders>
              <w:left w:val="nil"/>
              <w:bottom w:val="nil"/>
              <w:right w:val="nil"/>
            </w:tcBorders>
            <w:shd w:val="clear" w:color="auto" w:fill="auto"/>
            <w:vAlign w:val="center"/>
            <w:hideMark/>
          </w:tcPr>
          <w:p w:rsidR="00666EA8" w:rsidRPr="00547536" w:rsidRDefault="00216CA2" w:rsidP="00E87223">
            <w:pPr>
              <w:spacing w:after="0"/>
              <w:rPr>
                <w:rFonts w:ascii="Calibri" w:hAnsi="Calibri"/>
                <w:color w:val="000000"/>
                <w:sz w:val="18"/>
                <w:szCs w:val="18"/>
              </w:rPr>
            </w:pPr>
            <w:r>
              <w:rPr>
                <w:rFonts w:ascii="Calibri" w:hAnsi="Calibri"/>
                <w:color w:val="000000"/>
                <w:sz w:val="18"/>
                <w:szCs w:val="18"/>
              </w:rPr>
              <w:t>*</w:t>
            </w:r>
            <w:r w:rsidR="00666EA8" w:rsidRPr="00547536">
              <w:rPr>
                <w:rFonts w:ascii="Calibri" w:hAnsi="Calibri"/>
                <w:color w:val="000000"/>
                <w:sz w:val="18"/>
                <w:szCs w:val="18"/>
              </w:rPr>
              <w:t>Shaded cells indicate a calculated value</w:t>
            </w:r>
            <w:r w:rsidR="00666EA8">
              <w:rPr>
                <w:rFonts w:ascii="Calibri" w:hAnsi="Calibri"/>
                <w:color w:val="000000"/>
                <w:sz w:val="18"/>
                <w:szCs w:val="18"/>
              </w:rPr>
              <w:t>.</w:t>
            </w:r>
          </w:p>
        </w:tc>
      </w:tr>
    </w:tbl>
    <w:p w:rsidR="00523B88" w:rsidRDefault="00523B88" w:rsidP="00C25C4C">
      <w:pPr>
        <w:pStyle w:val="Caption"/>
        <w:pageBreakBefore/>
      </w:pPr>
      <w:bookmarkStart w:id="156" w:name="_Ref388525212"/>
      <w:r>
        <w:lastRenderedPageBreak/>
        <w:t xml:space="preserve">Table </w:t>
      </w:r>
      <w:r w:rsidR="002506E1">
        <w:fldChar w:fldCharType="begin"/>
      </w:r>
      <w:r w:rsidR="002506E1">
        <w:instrText xml:space="preserve"> SEQ Table \* ARABIC </w:instrText>
      </w:r>
      <w:r w:rsidR="002506E1">
        <w:fldChar w:fldCharType="separate"/>
      </w:r>
      <w:r w:rsidR="00CD20CF">
        <w:rPr>
          <w:noProof/>
        </w:rPr>
        <w:t>89</w:t>
      </w:r>
      <w:r w:rsidR="002506E1">
        <w:rPr>
          <w:noProof/>
        </w:rPr>
        <w:fldChar w:fldCharType="end"/>
      </w:r>
      <w:bookmarkEnd w:id="155"/>
      <w:bookmarkEnd w:id="156"/>
      <w:r>
        <w:t>. Normalized Assumptions for Faucet Aerator Energy Savings Calculations</w:t>
      </w:r>
      <w:r w:rsidR="00666EA8">
        <w:t>*</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362"/>
        <w:gridCol w:w="723"/>
        <w:gridCol w:w="722"/>
        <w:gridCol w:w="722"/>
        <w:gridCol w:w="722"/>
        <w:gridCol w:w="719"/>
        <w:gridCol w:w="722"/>
        <w:gridCol w:w="719"/>
        <w:gridCol w:w="722"/>
        <w:gridCol w:w="722"/>
        <w:gridCol w:w="719"/>
        <w:gridCol w:w="719"/>
        <w:gridCol w:w="722"/>
        <w:gridCol w:w="719"/>
        <w:gridCol w:w="704"/>
        <w:gridCol w:w="738"/>
      </w:tblGrid>
      <w:tr w:rsidR="00666EA8" w:rsidRPr="001A1F5F" w:rsidTr="00A41FEC">
        <w:trPr>
          <w:tblHeader/>
        </w:trPr>
        <w:tc>
          <w:tcPr>
            <w:tcW w:w="896" w:type="pct"/>
            <w:shd w:val="clear" w:color="000000" w:fill="005DAA"/>
            <w:vAlign w:val="center"/>
            <w:hideMark/>
          </w:tcPr>
          <w:p w:rsidR="00523B88" w:rsidRPr="00E87223" w:rsidRDefault="00523B88" w:rsidP="00C25C4C">
            <w:pPr>
              <w:jc w:val="center"/>
              <w:rPr>
                <w:rFonts w:ascii="Calibri" w:hAnsi="Calibri"/>
                <w:b/>
                <w:bCs/>
                <w:color w:val="FFFFFF"/>
                <w:sz w:val="18"/>
                <w:szCs w:val="18"/>
              </w:rPr>
            </w:pPr>
            <w:r w:rsidRPr="00E87223">
              <w:rPr>
                <w:rFonts w:ascii="Calibri" w:hAnsi="Calibri"/>
                <w:b/>
                <w:bCs/>
                <w:color w:val="FFFFFF"/>
                <w:sz w:val="18"/>
                <w:szCs w:val="18"/>
              </w:rPr>
              <w:t xml:space="preserve">Inputs </w:t>
            </w:r>
            <w:r w:rsidR="0030047B">
              <w:rPr>
                <w:rFonts w:ascii="Calibri" w:hAnsi="Calibri"/>
                <w:b/>
                <w:bCs/>
                <w:color w:val="FFFFFF"/>
                <w:sz w:val="18"/>
                <w:szCs w:val="18"/>
              </w:rPr>
              <w:t>D</w:t>
            </w:r>
            <w:r w:rsidRPr="00E87223">
              <w:rPr>
                <w:rFonts w:ascii="Calibri" w:hAnsi="Calibri"/>
                <w:b/>
                <w:bCs/>
                <w:color w:val="FFFFFF"/>
                <w:sz w:val="18"/>
                <w:szCs w:val="18"/>
              </w:rPr>
              <w:t>escription</w:t>
            </w:r>
          </w:p>
        </w:tc>
        <w:tc>
          <w:tcPr>
            <w:tcW w:w="274" w:type="pct"/>
            <w:shd w:val="clear" w:color="000000" w:fill="005DAA"/>
            <w:vAlign w:val="center"/>
            <w:hideMark/>
          </w:tcPr>
          <w:p w:rsidR="00523B88" w:rsidRPr="00E87223" w:rsidRDefault="00523B88" w:rsidP="00C25C4C">
            <w:pPr>
              <w:jc w:val="center"/>
              <w:rPr>
                <w:rFonts w:ascii="Calibri" w:hAnsi="Calibri"/>
                <w:b/>
                <w:bCs/>
                <w:color w:val="FFFFFF"/>
                <w:sz w:val="18"/>
                <w:szCs w:val="18"/>
              </w:rPr>
            </w:pPr>
            <w:r w:rsidRPr="00E87223">
              <w:rPr>
                <w:rFonts w:ascii="Calibri" w:hAnsi="Calibri"/>
                <w:b/>
                <w:bCs/>
                <w:color w:val="FFFFFF"/>
                <w:sz w:val="18"/>
                <w:szCs w:val="18"/>
              </w:rPr>
              <w:t>2013 PSD</w:t>
            </w:r>
          </w:p>
        </w:tc>
        <w:tc>
          <w:tcPr>
            <w:tcW w:w="274" w:type="pct"/>
            <w:shd w:val="clear" w:color="000000" w:fill="005DAA"/>
            <w:vAlign w:val="center"/>
            <w:hideMark/>
          </w:tcPr>
          <w:p w:rsidR="00523B88" w:rsidRPr="00E87223" w:rsidRDefault="00523B88" w:rsidP="00C25C4C">
            <w:pPr>
              <w:jc w:val="center"/>
              <w:rPr>
                <w:rFonts w:ascii="Calibri" w:hAnsi="Calibri"/>
                <w:b/>
                <w:bCs/>
                <w:color w:val="FFFFFF"/>
                <w:sz w:val="18"/>
                <w:szCs w:val="18"/>
              </w:rPr>
            </w:pPr>
            <w:r w:rsidRPr="00E87223">
              <w:rPr>
                <w:rFonts w:ascii="Calibri" w:hAnsi="Calibri"/>
                <w:b/>
                <w:bCs/>
                <w:color w:val="FFFFFF"/>
                <w:sz w:val="18"/>
                <w:szCs w:val="18"/>
              </w:rPr>
              <w:t>2011 PSD (HES)</w:t>
            </w:r>
          </w:p>
        </w:tc>
        <w:tc>
          <w:tcPr>
            <w:tcW w:w="274" w:type="pct"/>
            <w:shd w:val="clear" w:color="000000" w:fill="005DAA"/>
            <w:vAlign w:val="center"/>
            <w:hideMark/>
          </w:tcPr>
          <w:p w:rsidR="00523B88" w:rsidRPr="00E87223" w:rsidRDefault="00523B88" w:rsidP="00C25C4C">
            <w:pPr>
              <w:jc w:val="center"/>
              <w:rPr>
                <w:rFonts w:ascii="Calibri" w:hAnsi="Calibri"/>
                <w:b/>
                <w:bCs/>
                <w:color w:val="FFFFFF"/>
                <w:sz w:val="18"/>
                <w:szCs w:val="18"/>
              </w:rPr>
            </w:pPr>
            <w:r w:rsidRPr="00E87223">
              <w:rPr>
                <w:rFonts w:ascii="Calibri" w:hAnsi="Calibri"/>
                <w:b/>
                <w:bCs/>
                <w:color w:val="FFFFFF"/>
                <w:sz w:val="18"/>
                <w:szCs w:val="18"/>
              </w:rPr>
              <w:t>2011 PSD (HES-IE)</w:t>
            </w:r>
          </w:p>
        </w:tc>
        <w:tc>
          <w:tcPr>
            <w:tcW w:w="274" w:type="pct"/>
            <w:shd w:val="clear" w:color="000000" w:fill="005DAA"/>
            <w:vAlign w:val="center"/>
            <w:hideMark/>
          </w:tcPr>
          <w:p w:rsidR="00523B88" w:rsidRPr="00E87223" w:rsidRDefault="00523B88" w:rsidP="00C25C4C">
            <w:pPr>
              <w:jc w:val="center"/>
              <w:rPr>
                <w:rFonts w:ascii="Calibri" w:hAnsi="Calibri"/>
                <w:b/>
                <w:bCs/>
                <w:color w:val="FFFFFF"/>
                <w:sz w:val="18"/>
                <w:szCs w:val="18"/>
              </w:rPr>
            </w:pPr>
            <w:r w:rsidRPr="00E87223">
              <w:rPr>
                <w:rFonts w:ascii="Calibri" w:hAnsi="Calibri"/>
                <w:b/>
                <w:bCs/>
                <w:color w:val="FFFFFF"/>
                <w:sz w:val="18"/>
                <w:szCs w:val="18"/>
              </w:rPr>
              <w:t>Illinois (SF)</w:t>
            </w:r>
          </w:p>
        </w:tc>
        <w:tc>
          <w:tcPr>
            <w:tcW w:w="273" w:type="pct"/>
            <w:shd w:val="clear" w:color="000000" w:fill="005DAA"/>
            <w:vAlign w:val="center"/>
            <w:hideMark/>
          </w:tcPr>
          <w:p w:rsidR="00523B88" w:rsidRPr="00E87223" w:rsidRDefault="00523B88" w:rsidP="00C25C4C">
            <w:pPr>
              <w:jc w:val="center"/>
              <w:rPr>
                <w:rFonts w:ascii="Calibri" w:hAnsi="Calibri"/>
                <w:b/>
                <w:bCs/>
                <w:color w:val="FFFFFF"/>
                <w:sz w:val="18"/>
                <w:szCs w:val="18"/>
              </w:rPr>
            </w:pPr>
            <w:r w:rsidRPr="00E87223">
              <w:rPr>
                <w:rFonts w:ascii="Calibri" w:hAnsi="Calibri"/>
                <w:b/>
                <w:bCs/>
                <w:color w:val="FFFFFF"/>
                <w:sz w:val="18"/>
                <w:szCs w:val="18"/>
              </w:rPr>
              <w:t>Illinois (MF)</w:t>
            </w:r>
          </w:p>
        </w:tc>
        <w:tc>
          <w:tcPr>
            <w:tcW w:w="274" w:type="pct"/>
            <w:shd w:val="clear" w:color="000000" w:fill="005DAA"/>
            <w:vAlign w:val="center"/>
            <w:hideMark/>
          </w:tcPr>
          <w:p w:rsidR="00523B88" w:rsidRPr="00E87223" w:rsidRDefault="00523B88" w:rsidP="00C25C4C">
            <w:pPr>
              <w:jc w:val="center"/>
              <w:rPr>
                <w:rFonts w:ascii="Calibri" w:hAnsi="Calibri"/>
                <w:b/>
                <w:bCs/>
                <w:color w:val="FFFFFF"/>
                <w:sz w:val="18"/>
                <w:szCs w:val="18"/>
              </w:rPr>
            </w:pPr>
            <w:r w:rsidRPr="00E87223">
              <w:rPr>
                <w:rFonts w:ascii="Calibri" w:hAnsi="Calibri"/>
                <w:b/>
                <w:bCs/>
                <w:color w:val="FFFFFF"/>
                <w:sz w:val="18"/>
                <w:szCs w:val="18"/>
              </w:rPr>
              <w:t>MA (Kit)</w:t>
            </w:r>
          </w:p>
        </w:tc>
        <w:tc>
          <w:tcPr>
            <w:tcW w:w="273" w:type="pct"/>
            <w:shd w:val="clear" w:color="000000" w:fill="005DAA"/>
            <w:vAlign w:val="center"/>
            <w:hideMark/>
          </w:tcPr>
          <w:p w:rsidR="00523B88" w:rsidRPr="00E87223" w:rsidRDefault="00523B88" w:rsidP="00C25C4C">
            <w:pPr>
              <w:jc w:val="center"/>
              <w:rPr>
                <w:rFonts w:ascii="Calibri" w:hAnsi="Calibri"/>
                <w:b/>
                <w:bCs/>
                <w:color w:val="FFFFFF"/>
                <w:sz w:val="18"/>
                <w:szCs w:val="18"/>
              </w:rPr>
            </w:pPr>
            <w:r w:rsidRPr="00E87223">
              <w:rPr>
                <w:rFonts w:ascii="Calibri" w:hAnsi="Calibri"/>
                <w:b/>
                <w:bCs/>
                <w:color w:val="FFFFFF"/>
                <w:sz w:val="18"/>
                <w:szCs w:val="18"/>
              </w:rPr>
              <w:t>MA (Bath)</w:t>
            </w:r>
          </w:p>
        </w:tc>
        <w:tc>
          <w:tcPr>
            <w:tcW w:w="274" w:type="pct"/>
            <w:shd w:val="clear" w:color="000000" w:fill="005DAA"/>
            <w:vAlign w:val="center"/>
            <w:hideMark/>
          </w:tcPr>
          <w:p w:rsidR="00523B88" w:rsidRPr="00E87223" w:rsidRDefault="00523B88" w:rsidP="00C25C4C">
            <w:pPr>
              <w:jc w:val="center"/>
              <w:rPr>
                <w:rFonts w:ascii="Calibri" w:hAnsi="Calibri"/>
                <w:b/>
                <w:bCs/>
                <w:color w:val="FFFFFF"/>
                <w:sz w:val="18"/>
                <w:szCs w:val="18"/>
              </w:rPr>
            </w:pPr>
            <w:r w:rsidRPr="00E87223">
              <w:rPr>
                <w:rFonts w:ascii="Calibri" w:hAnsi="Calibri"/>
                <w:b/>
                <w:bCs/>
                <w:color w:val="FFFFFF"/>
                <w:sz w:val="18"/>
                <w:szCs w:val="18"/>
              </w:rPr>
              <w:t>MA LI (Kit)</w:t>
            </w:r>
          </w:p>
        </w:tc>
        <w:tc>
          <w:tcPr>
            <w:tcW w:w="274" w:type="pct"/>
            <w:shd w:val="clear" w:color="000000" w:fill="005DAA"/>
            <w:vAlign w:val="center"/>
            <w:hideMark/>
          </w:tcPr>
          <w:p w:rsidR="00523B88" w:rsidRPr="00E87223" w:rsidRDefault="00523B88" w:rsidP="00C25C4C">
            <w:pPr>
              <w:jc w:val="center"/>
              <w:rPr>
                <w:rFonts w:ascii="Calibri" w:hAnsi="Calibri"/>
                <w:b/>
                <w:bCs/>
                <w:color w:val="FFFFFF"/>
                <w:sz w:val="18"/>
                <w:szCs w:val="18"/>
              </w:rPr>
            </w:pPr>
            <w:r w:rsidRPr="00E87223">
              <w:rPr>
                <w:rFonts w:ascii="Calibri" w:hAnsi="Calibri"/>
                <w:b/>
                <w:bCs/>
                <w:color w:val="FFFFFF"/>
                <w:sz w:val="18"/>
                <w:szCs w:val="18"/>
              </w:rPr>
              <w:t>MA LI (Bath)</w:t>
            </w:r>
          </w:p>
        </w:tc>
        <w:tc>
          <w:tcPr>
            <w:tcW w:w="273" w:type="pct"/>
            <w:shd w:val="clear" w:color="000000" w:fill="005DAA"/>
            <w:vAlign w:val="center"/>
            <w:hideMark/>
          </w:tcPr>
          <w:p w:rsidR="00523B88" w:rsidRPr="00E87223" w:rsidRDefault="00523B88" w:rsidP="00C25C4C">
            <w:pPr>
              <w:jc w:val="center"/>
              <w:rPr>
                <w:rFonts w:ascii="Calibri" w:hAnsi="Calibri"/>
                <w:b/>
                <w:bCs/>
                <w:color w:val="FFFFFF"/>
                <w:sz w:val="18"/>
                <w:szCs w:val="18"/>
              </w:rPr>
            </w:pPr>
            <w:r w:rsidRPr="00E87223">
              <w:rPr>
                <w:rFonts w:ascii="Calibri" w:hAnsi="Calibri"/>
                <w:b/>
                <w:bCs/>
                <w:color w:val="FFFFFF"/>
                <w:sz w:val="18"/>
                <w:szCs w:val="18"/>
              </w:rPr>
              <w:t>Maine (Kit)</w:t>
            </w:r>
          </w:p>
        </w:tc>
        <w:tc>
          <w:tcPr>
            <w:tcW w:w="273" w:type="pct"/>
            <w:shd w:val="clear" w:color="000000" w:fill="005DAA"/>
            <w:vAlign w:val="center"/>
            <w:hideMark/>
          </w:tcPr>
          <w:p w:rsidR="00523B88" w:rsidRPr="00E87223" w:rsidRDefault="00523B88" w:rsidP="00C25C4C">
            <w:pPr>
              <w:jc w:val="center"/>
              <w:rPr>
                <w:rFonts w:ascii="Calibri" w:hAnsi="Calibri"/>
                <w:b/>
                <w:bCs/>
                <w:color w:val="FFFFFF"/>
                <w:sz w:val="18"/>
                <w:szCs w:val="18"/>
              </w:rPr>
            </w:pPr>
            <w:r w:rsidRPr="00E87223">
              <w:rPr>
                <w:rFonts w:ascii="Calibri" w:hAnsi="Calibri"/>
                <w:b/>
                <w:bCs/>
                <w:color w:val="FFFFFF"/>
                <w:sz w:val="18"/>
                <w:szCs w:val="18"/>
              </w:rPr>
              <w:t>Maine (Bath)</w:t>
            </w:r>
          </w:p>
        </w:tc>
        <w:tc>
          <w:tcPr>
            <w:tcW w:w="274" w:type="pct"/>
            <w:shd w:val="clear" w:color="000000" w:fill="005DAA"/>
            <w:vAlign w:val="center"/>
            <w:hideMark/>
          </w:tcPr>
          <w:p w:rsidR="00523B88" w:rsidRPr="00E87223" w:rsidRDefault="00523B88" w:rsidP="00C25C4C">
            <w:pPr>
              <w:jc w:val="center"/>
              <w:rPr>
                <w:rFonts w:ascii="Calibri" w:hAnsi="Calibri"/>
                <w:b/>
                <w:bCs/>
                <w:color w:val="FFFFFF"/>
                <w:sz w:val="18"/>
                <w:szCs w:val="18"/>
              </w:rPr>
            </w:pPr>
            <w:r w:rsidRPr="00E87223">
              <w:rPr>
                <w:rFonts w:ascii="Calibri" w:hAnsi="Calibri"/>
                <w:b/>
                <w:bCs/>
                <w:color w:val="FFFFFF"/>
                <w:sz w:val="18"/>
                <w:szCs w:val="18"/>
              </w:rPr>
              <w:t>PA 2014</w:t>
            </w:r>
          </w:p>
        </w:tc>
        <w:tc>
          <w:tcPr>
            <w:tcW w:w="273" w:type="pct"/>
            <w:shd w:val="clear" w:color="000000" w:fill="005DAA"/>
            <w:vAlign w:val="center"/>
            <w:hideMark/>
          </w:tcPr>
          <w:p w:rsidR="00523B88" w:rsidRPr="00E87223" w:rsidRDefault="00523B88" w:rsidP="00C25C4C">
            <w:pPr>
              <w:jc w:val="center"/>
              <w:rPr>
                <w:rFonts w:ascii="Calibri" w:hAnsi="Calibri"/>
                <w:b/>
                <w:bCs/>
                <w:color w:val="FFFFFF"/>
                <w:sz w:val="18"/>
                <w:szCs w:val="18"/>
              </w:rPr>
            </w:pPr>
            <w:r w:rsidRPr="00E87223">
              <w:rPr>
                <w:rFonts w:ascii="Calibri" w:hAnsi="Calibri"/>
                <w:b/>
                <w:bCs/>
                <w:color w:val="FFFFFF"/>
                <w:sz w:val="18"/>
                <w:szCs w:val="18"/>
              </w:rPr>
              <w:t>Indiana (Kit)</w:t>
            </w:r>
          </w:p>
        </w:tc>
        <w:tc>
          <w:tcPr>
            <w:tcW w:w="267" w:type="pct"/>
            <w:shd w:val="clear" w:color="000000" w:fill="005DAA"/>
            <w:vAlign w:val="center"/>
            <w:hideMark/>
          </w:tcPr>
          <w:p w:rsidR="00523B88" w:rsidRPr="00E87223" w:rsidRDefault="00523B88" w:rsidP="00C25C4C">
            <w:pPr>
              <w:jc w:val="center"/>
              <w:rPr>
                <w:rFonts w:ascii="Calibri" w:hAnsi="Calibri"/>
                <w:b/>
                <w:bCs/>
                <w:color w:val="FFFFFF"/>
                <w:sz w:val="18"/>
                <w:szCs w:val="18"/>
              </w:rPr>
            </w:pPr>
            <w:r w:rsidRPr="00E87223">
              <w:rPr>
                <w:rFonts w:ascii="Calibri" w:hAnsi="Calibri"/>
                <w:b/>
                <w:bCs/>
                <w:color w:val="FFFFFF"/>
                <w:sz w:val="18"/>
                <w:szCs w:val="18"/>
              </w:rPr>
              <w:t>Indiana (Bath)</w:t>
            </w:r>
          </w:p>
        </w:tc>
        <w:tc>
          <w:tcPr>
            <w:tcW w:w="280" w:type="pct"/>
            <w:shd w:val="clear" w:color="000000" w:fill="005DAA"/>
            <w:vAlign w:val="center"/>
            <w:hideMark/>
          </w:tcPr>
          <w:p w:rsidR="00523B88" w:rsidRPr="00E87223" w:rsidRDefault="00523B88" w:rsidP="00C25C4C">
            <w:pPr>
              <w:jc w:val="center"/>
              <w:rPr>
                <w:rFonts w:ascii="Calibri" w:hAnsi="Calibri"/>
                <w:b/>
                <w:bCs/>
                <w:color w:val="FFFFFF"/>
                <w:sz w:val="18"/>
                <w:szCs w:val="18"/>
              </w:rPr>
            </w:pPr>
            <w:r w:rsidRPr="00E87223">
              <w:rPr>
                <w:rFonts w:ascii="Calibri" w:hAnsi="Calibri"/>
                <w:b/>
                <w:bCs/>
                <w:color w:val="FFFFFF"/>
                <w:sz w:val="18"/>
                <w:szCs w:val="18"/>
              </w:rPr>
              <w:t>Mid-Atlantic 2013</w:t>
            </w:r>
          </w:p>
        </w:tc>
      </w:tr>
      <w:tr w:rsidR="00666EA8" w:rsidRPr="001A1F5F" w:rsidTr="00A41FEC">
        <w:tc>
          <w:tcPr>
            <w:tcW w:w="896" w:type="pct"/>
            <w:shd w:val="clear" w:color="auto" w:fill="auto"/>
            <w:vAlign w:val="center"/>
            <w:hideMark/>
          </w:tcPr>
          <w:p w:rsidR="00523B88" w:rsidRPr="001A1F5F" w:rsidRDefault="00523B88" w:rsidP="00666EA8">
            <w:pPr>
              <w:spacing w:after="0"/>
              <w:rPr>
                <w:rFonts w:ascii="Calibri" w:hAnsi="Calibri"/>
                <w:color w:val="000000"/>
                <w:sz w:val="18"/>
                <w:szCs w:val="18"/>
              </w:rPr>
            </w:pPr>
            <w:r w:rsidRPr="00666EA8">
              <w:rPr>
                <w:rFonts w:ascii="Calibri" w:hAnsi="Calibri"/>
                <w:color w:val="000000"/>
                <w:sz w:val="18"/>
                <w:szCs w:val="18"/>
              </w:rPr>
              <w:t>Faucet Flow Rate, Base (Gal/Min)</w:t>
            </w:r>
          </w:p>
        </w:tc>
        <w:tc>
          <w:tcPr>
            <w:tcW w:w="274" w:type="pct"/>
            <w:shd w:val="clear" w:color="auto" w:fill="auto"/>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2.20</w:t>
            </w:r>
          </w:p>
        </w:tc>
        <w:tc>
          <w:tcPr>
            <w:tcW w:w="274" w:type="pct"/>
            <w:shd w:val="clear" w:color="auto" w:fill="auto"/>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2.20</w:t>
            </w:r>
          </w:p>
        </w:tc>
        <w:tc>
          <w:tcPr>
            <w:tcW w:w="274" w:type="pct"/>
            <w:shd w:val="clear" w:color="auto" w:fill="auto"/>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2.20</w:t>
            </w:r>
          </w:p>
        </w:tc>
        <w:tc>
          <w:tcPr>
            <w:tcW w:w="274" w:type="pct"/>
            <w:shd w:val="clear" w:color="auto" w:fill="auto"/>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1.20</w:t>
            </w:r>
          </w:p>
        </w:tc>
        <w:tc>
          <w:tcPr>
            <w:tcW w:w="273" w:type="pct"/>
            <w:shd w:val="clear" w:color="auto" w:fill="auto"/>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1.20</w:t>
            </w:r>
          </w:p>
        </w:tc>
        <w:tc>
          <w:tcPr>
            <w:tcW w:w="274" w:type="pct"/>
            <w:shd w:val="clear" w:color="auto" w:fill="auto"/>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1.30</w:t>
            </w:r>
          </w:p>
        </w:tc>
        <w:tc>
          <w:tcPr>
            <w:tcW w:w="273" w:type="pct"/>
            <w:shd w:val="clear" w:color="auto" w:fill="auto"/>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1.30</w:t>
            </w:r>
          </w:p>
        </w:tc>
        <w:tc>
          <w:tcPr>
            <w:tcW w:w="274" w:type="pct"/>
            <w:shd w:val="clear" w:color="auto" w:fill="auto"/>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1.30</w:t>
            </w:r>
          </w:p>
        </w:tc>
        <w:tc>
          <w:tcPr>
            <w:tcW w:w="274" w:type="pct"/>
            <w:shd w:val="clear" w:color="auto" w:fill="auto"/>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1.30</w:t>
            </w:r>
          </w:p>
        </w:tc>
        <w:tc>
          <w:tcPr>
            <w:tcW w:w="273" w:type="pct"/>
            <w:shd w:val="clear" w:color="auto" w:fill="auto"/>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2.20</w:t>
            </w:r>
          </w:p>
        </w:tc>
        <w:tc>
          <w:tcPr>
            <w:tcW w:w="273" w:type="pct"/>
            <w:shd w:val="clear" w:color="auto" w:fill="auto"/>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2.20</w:t>
            </w:r>
          </w:p>
        </w:tc>
        <w:tc>
          <w:tcPr>
            <w:tcW w:w="274" w:type="pct"/>
            <w:shd w:val="clear" w:color="auto" w:fill="auto"/>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2.20</w:t>
            </w:r>
          </w:p>
        </w:tc>
        <w:tc>
          <w:tcPr>
            <w:tcW w:w="273" w:type="pct"/>
            <w:shd w:val="clear" w:color="auto" w:fill="auto"/>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2.40</w:t>
            </w:r>
          </w:p>
        </w:tc>
        <w:tc>
          <w:tcPr>
            <w:tcW w:w="267" w:type="pct"/>
            <w:shd w:val="clear" w:color="auto" w:fill="auto"/>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2.40</w:t>
            </w:r>
          </w:p>
        </w:tc>
        <w:tc>
          <w:tcPr>
            <w:tcW w:w="280" w:type="pct"/>
            <w:shd w:val="clear" w:color="auto" w:fill="auto"/>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2.20</w:t>
            </w:r>
          </w:p>
        </w:tc>
      </w:tr>
      <w:tr w:rsidR="00666EA8" w:rsidRPr="001A1F5F" w:rsidTr="00A41FEC">
        <w:tc>
          <w:tcPr>
            <w:tcW w:w="896" w:type="pct"/>
            <w:shd w:val="clear" w:color="auto" w:fill="auto"/>
            <w:vAlign w:val="center"/>
            <w:hideMark/>
          </w:tcPr>
          <w:p w:rsidR="00523B88" w:rsidRPr="001A1F5F" w:rsidRDefault="00523B88" w:rsidP="00666EA8">
            <w:pPr>
              <w:spacing w:after="0"/>
              <w:rPr>
                <w:rFonts w:ascii="Calibri" w:hAnsi="Calibri"/>
                <w:color w:val="000000"/>
                <w:sz w:val="18"/>
                <w:szCs w:val="18"/>
              </w:rPr>
            </w:pPr>
            <w:r w:rsidRPr="00666EA8">
              <w:rPr>
                <w:rFonts w:ascii="Calibri" w:hAnsi="Calibri"/>
                <w:color w:val="000000"/>
                <w:sz w:val="18"/>
                <w:szCs w:val="18"/>
              </w:rPr>
              <w:t>Faucet Flow Rate, Low-Flow (Gal/Min)</w:t>
            </w:r>
          </w:p>
        </w:tc>
        <w:tc>
          <w:tcPr>
            <w:tcW w:w="274" w:type="pct"/>
            <w:shd w:val="clear" w:color="auto" w:fill="auto"/>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1.50</w:t>
            </w:r>
          </w:p>
        </w:tc>
        <w:tc>
          <w:tcPr>
            <w:tcW w:w="274" w:type="pct"/>
            <w:shd w:val="clear" w:color="auto" w:fill="auto"/>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1.50</w:t>
            </w:r>
          </w:p>
        </w:tc>
        <w:tc>
          <w:tcPr>
            <w:tcW w:w="274" w:type="pct"/>
            <w:shd w:val="clear" w:color="auto" w:fill="auto"/>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1.50</w:t>
            </w:r>
          </w:p>
        </w:tc>
        <w:tc>
          <w:tcPr>
            <w:tcW w:w="274" w:type="pct"/>
            <w:shd w:val="clear" w:color="auto" w:fill="auto"/>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0.94</w:t>
            </w:r>
          </w:p>
        </w:tc>
        <w:tc>
          <w:tcPr>
            <w:tcW w:w="273" w:type="pct"/>
            <w:shd w:val="clear" w:color="auto" w:fill="auto"/>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0.94</w:t>
            </w:r>
          </w:p>
        </w:tc>
        <w:tc>
          <w:tcPr>
            <w:tcW w:w="274" w:type="pct"/>
            <w:shd w:val="clear" w:color="auto" w:fill="auto"/>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1.00</w:t>
            </w:r>
          </w:p>
        </w:tc>
        <w:tc>
          <w:tcPr>
            <w:tcW w:w="273" w:type="pct"/>
            <w:shd w:val="clear" w:color="auto" w:fill="auto"/>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1.00</w:t>
            </w:r>
          </w:p>
        </w:tc>
        <w:tc>
          <w:tcPr>
            <w:tcW w:w="274" w:type="pct"/>
            <w:shd w:val="clear" w:color="auto" w:fill="auto"/>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1.00</w:t>
            </w:r>
          </w:p>
        </w:tc>
        <w:tc>
          <w:tcPr>
            <w:tcW w:w="274" w:type="pct"/>
            <w:shd w:val="clear" w:color="auto" w:fill="auto"/>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1.00</w:t>
            </w:r>
          </w:p>
        </w:tc>
        <w:tc>
          <w:tcPr>
            <w:tcW w:w="273" w:type="pct"/>
            <w:shd w:val="clear" w:color="auto" w:fill="auto"/>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1.50</w:t>
            </w:r>
          </w:p>
        </w:tc>
        <w:tc>
          <w:tcPr>
            <w:tcW w:w="273" w:type="pct"/>
            <w:shd w:val="clear" w:color="auto" w:fill="auto"/>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1.50</w:t>
            </w:r>
          </w:p>
        </w:tc>
        <w:tc>
          <w:tcPr>
            <w:tcW w:w="274" w:type="pct"/>
            <w:shd w:val="clear" w:color="auto" w:fill="auto"/>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1.50</w:t>
            </w:r>
          </w:p>
        </w:tc>
        <w:tc>
          <w:tcPr>
            <w:tcW w:w="273" w:type="pct"/>
            <w:shd w:val="clear" w:color="auto" w:fill="auto"/>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1.50</w:t>
            </w:r>
          </w:p>
        </w:tc>
        <w:tc>
          <w:tcPr>
            <w:tcW w:w="267" w:type="pct"/>
            <w:shd w:val="clear" w:color="auto" w:fill="auto"/>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1.00</w:t>
            </w:r>
          </w:p>
        </w:tc>
        <w:tc>
          <w:tcPr>
            <w:tcW w:w="280" w:type="pct"/>
            <w:shd w:val="clear" w:color="auto" w:fill="auto"/>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1.50</w:t>
            </w:r>
          </w:p>
        </w:tc>
      </w:tr>
      <w:tr w:rsidR="00666EA8" w:rsidRPr="001A1F5F" w:rsidTr="00A41FEC">
        <w:tc>
          <w:tcPr>
            <w:tcW w:w="896" w:type="pct"/>
            <w:shd w:val="clear" w:color="auto" w:fill="auto"/>
            <w:vAlign w:val="center"/>
            <w:hideMark/>
          </w:tcPr>
          <w:p w:rsidR="00666EA8" w:rsidRPr="001A1F5F" w:rsidRDefault="00666EA8" w:rsidP="00666EA8">
            <w:pPr>
              <w:spacing w:after="0"/>
              <w:rPr>
                <w:rFonts w:ascii="Calibri" w:hAnsi="Calibri"/>
                <w:color w:val="000000"/>
                <w:sz w:val="18"/>
                <w:szCs w:val="18"/>
              </w:rPr>
            </w:pPr>
            <w:r w:rsidRPr="00666EA8">
              <w:rPr>
                <w:rFonts w:ascii="Calibri" w:hAnsi="Calibri"/>
                <w:color w:val="000000"/>
                <w:sz w:val="18"/>
                <w:szCs w:val="18"/>
              </w:rPr>
              <w:t>Days of Faucet Use (Days/Year)</w:t>
            </w:r>
          </w:p>
        </w:tc>
        <w:tc>
          <w:tcPr>
            <w:tcW w:w="274"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365</w:t>
            </w:r>
          </w:p>
        </w:tc>
        <w:tc>
          <w:tcPr>
            <w:tcW w:w="274"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365</w:t>
            </w:r>
          </w:p>
        </w:tc>
        <w:tc>
          <w:tcPr>
            <w:tcW w:w="274"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365</w:t>
            </w:r>
          </w:p>
        </w:tc>
        <w:tc>
          <w:tcPr>
            <w:tcW w:w="274"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365.25</w:t>
            </w:r>
          </w:p>
        </w:tc>
        <w:tc>
          <w:tcPr>
            <w:tcW w:w="273"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365.25</w:t>
            </w:r>
          </w:p>
        </w:tc>
        <w:tc>
          <w:tcPr>
            <w:tcW w:w="274"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365</w:t>
            </w:r>
          </w:p>
        </w:tc>
        <w:tc>
          <w:tcPr>
            <w:tcW w:w="273"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365</w:t>
            </w:r>
          </w:p>
        </w:tc>
        <w:tc>
          <w:tcPr>
            <w:tcW w:w="274"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365</w:t>
            </w:r>
          </w:p>
        </w:tc>
        <w:tc>
          <w:tcPr>
            <w:tcW w:w="274"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365</w:t>
            </w:r>
          </w:p>
        </w:tc>
        <w:tc>
          <w:tcPr>
            <w:tcW w:w="273"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365</w:t>
            </w:r>
          </w:p>
        </w:tc>
        <w:tc>
          <w:tcPr>
            <w:tcW w:w="273"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365</w:t>
            </w:r>
          </w:p>
        </w:tc>
        <w:tc>
          <w:tcPr>
            <w:tcW w:w="274"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365</w:t>
            </w:r>
          </w:p>
        </w:tc>
        <w:tc>
          <w:tcPr>
            <w:tcW w:w="273"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365</w:t>
            </w:r>
          </w:p>
        </w:tc>
        <w:tc>
          <w:tcPr>
            <w:tcW w:w="267"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365</w:t>
            </w:r>
          </w:p>
        </w:tc>
        <w:tc>
          <w:tcPr>
            <w:tcW w:w="280"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365</w:t>
            </w:r>
          </w:p>
        </w:tc>
      </w:tr>
      <w:tr w:rsidR="00666EA8" w:rsidRPr="001A1F5F" w:rsidTr="00A41FEC">
        <w:tc>
          <w:tcPr>
            <w:tcW w:w="896" w:type="pct"/>
            <w:shd w:val="clear" w:color="auto" w:fill="auto"/>
            <w:vAlign w:val="center"/>
            <w:hideMark/>
          </w:tcPr>
          <w:p w:rsidR="00666EA8" w:rsidRPr="001A1F5F" w:rsidRDefault="00666EA8" w:rsidP="00666EA8">
            <w:pPr>
              <w:spacing w:after="0"/>
              <w:rPr>
                <w:rFonts w:ascii="Calibri" w:hAnsi="Calibri"/>
                <w:color w:val="000000"/>
                <w:sz w:val="18"/>
                <w:szCs w:val="18"/>
              </w:rPr>
            </w:pPr>
            <w:r w:rsidRPr="00666EA8">
              <w:rPr>
                <w:rFonts w:ascii="Calibri" w:hAnsi="Calibri"/>
                <w:color w:val="000000"/>
                <w:sz w:val="18"/>
                <w:szCs w:val="18"/>
              </w:rPr>
              <w:t>Faucets per Home (faucets/Home)</w:t>
            </w:r>
          </w:p>
        </w:tc>
        <w:tc>
          <w:tcPr>
            <w:tcW w:w="274"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5.10</w:t>
            </w:r>
          </w:p>
        </w:tc>
        <w:tc>
          <w:tcPr>
            <w:tcW w:w="274"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3.00</w:t>
            </w:r>
          </w:p>
        </w:tc>
        <w:tc>
          <w:tcPr>
            <w:tcW w:w="274"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3.00</w:t>
            </w:r>
          </w:p>
        </w:tc>
        <w:tc>
          <w:tcPr>
            <w:tcW w:w="274"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3.83</w:t>
            </w:r>
          </w:p>
        </w:tc>
        <w:tc>
          <w:tcPr>
            <w:tcW w:w="273"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2.50</w:t>
            </w:r>
          </w:p>
        </w:tc>
        <w:tc>
          <w:tcPr>
            <w:tcW w:w="274"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1.03</w:t>
            </w:r>
          </w:p>
        </w:tc>
        <w:tc>
          <w:tcPr>
            <w:tcW w:w="273"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2.42</w:t>
            </w:r>
          </w:p>
        </w:tc>
        <w:tc>
          <w:tcPr>
            <w:tcW w:w="274"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1.03</w:t>
            </w:r>
          </w:p>
        </w:tc>
        <w:tc>
          <w:tcPr>
            <w:tcW w:w="274"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2.42</w:t>
            </w:r>
          </w:p>
        </w:tc>
        <w:tc>
          <w:tcPr>
            <w:tcW w:w="273"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1.00</w:t>
            </w:r>
          </w:p>
        </w:tc>
        <w:tc>
          <w:tcPr>
            <w:tcW w:w="273"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2.96</w:t>
            </w:r>
          </w:p>
        </w:tc>
        <w:tc>
          <w:tcPr>
            <w:tcW w:w="274"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3.80</w:t>
            </w:r>
          </w:p>
        </w:tc>
        <w:tc>
          <w:tcPr>
            <w:tcW w:w="273"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 </w:t>
            </w:r>
            <w:r>
              <w:rPr>
                <w:rFonts w:ascii="Calibri" w:hAnsi="Calibri"/>
                <w:color w:val="000000"/>
                <w:sz w:val="18"/>
                <w:szCs w:val="18"/>
              </w:rPr>
              <w:t>n/a</w:t>
            </w:r>
          </w:p>
        </w:tc>
        <w:tc>
          <w:tcPr>
            <w:tcW w:w="267"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 </w:t>
            </w:r>
            <w:r>
              <w:rPr>
                <w:rFonts w:ascii="Calibri" w:hAnsi="Calibri"/>
                <w:color w:val="000000"/>
                <w:sz w:val="18"/>
                <w:szCs w:val="18"/>
              </w:rPr>
              <w:t>n/a</w:t>
            </w:r>
          </w:p>
        </w:tc>
        <w:tc>
          <w:tcPr>
            <w:tcW w:w="280"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3.50</w:t>
            </w:r>
          </w:p>
        </w:tc>
      </w:tr>
      <w:tr w:rsidR="00666EA8" w:rsidRPr="001A1F5F" w:rsidTr="00A41FEC">
        <w:tc>
          <w:tcPr>
            <w:tcW w:w="896" w:type="pct"/>
            <w:shd w:val="clear" w:color="auto" w:fill="auto"/>
            <w:vAlign w:val="center"/>
            <w:hideMark/>
          </w:tcPr>
          <w:p w:rsidR="00666EA8" w:rsidRPr="001A1F5F" w:rsidRDefault="00666EA8" w:rsidP="00666EA8">
            <w:pPr>
              <w:spacing w:after="0"/>
              <w:rPr>
                <w:rFonts w:ascii="Calibri" w:hAnsi="Calibri"/>
                <w:color w:val="000000"/>
                <w:sz w:val="18"/>
                <w:szCs w:val="18"/>
              </w:rPr>
            </w:pPr>
            <w:r w:rsidRPr="00666EA8">
              <w:rPr>
                <w:rFonts w:ascii="Calibri" w:hAnsi="Calibri"/>
                <w:color w:val="000000"/>
                <w:sz w:val="18"/>
                <w:szCs w:val="18"/>
              </w:rPr>
              <w:t>Average People per Home (Person/Home)</w:t>
            </w:r>
          </w:p>
        </w:tc>
        <w:tc>
          <w:tcPr>
            <w:tcW w:w="274" w:type="pct"/>
            <w:shd w:val="clear" w:color="auto" w:fill="auto"/>
            <w:vAlign w:val="center"/>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 </w:t>
            </w:r>
            <w:r>
              <w:rPr>
                <w:rFonts w:ascii="Calibri" w:hAnsi="Calibri"/>
                <w:color w:val="000000"/>
                <w:sz w:val="18"/>
                <w:szCs w:val="18"/>
              </w:rPr>
              <w:t>n/a</w:t>
            </w:r>
          </w:p>
        </w:tc>
        <w:tc>
          <w:tcPr>
            <w:tcW w:w="274" w:type="pct"/>
            <w:shd w:val="clear" w:color="auto" w:fill="auto"/>
            <w:vAlign w:val="center"/>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 </w:t>
            </w:r>
            <w:r>
              <w:rPr>
                <w:rFonts w:ascii="Calibri" w:hAnsi="Calibri"/>
                <w:color w:val="000000"/>
                <w:sz w:val="18"/>
                <w:szCs w:val="18"/>
              </w:rPr>
              <w:t>n/a</w:t>
            </w:r>
          </w:p>
        </w:tc>
        <w:tc>
          <w:tcPr>
            <w:tcW w:w="274" w:type="pct"/>
            <w:shd w:val="clear" w:color="auto" w:fill="auto"/>
            <w:vAlign w:val="center"/>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 </w:t>
            </w:r>
            <w:r>
              <w:rPr>
                <w:rFonts w:ascii="Calibri" w:hAnsi="Calibri"/>
                <w:color w:val="000000"/>
                <w:sz w:val="18"/>
                <w:szCs w:val="18"/>
              </w:rPr>
              <w:t>n/a</w:t>
            </w:r>
          </w:p>
        </w:tc>
        <w:tc>
          <w:tcPr>
            <w:tcW w:w="274"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2.56</w:t>
            </w:r>
          </w:p>
        </w:tc>
        <w:tc>
          <w:tcPr>
            <w:tcW w:w="273"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2.10</w:t>
            </w:r>
          </w:p>
        </w:tc>
        <w:tc>
          <w:tcPr>
            <w:tcW w:w="274"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2.80</w:t>
            </w:r>
          </w:p>
        </w:tc>
        <w:tc>
          <w:tcPr>
            <w:tcW w:w="273"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2.80</w:t>
            </w:r>
          </w:p>
        </w:tc>
        <w:tc>
          <w:tcPr>
            <w:tcW w:w="274"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2.30</w:t>
            </w:r>
          </w:p>
        </w:tc>
        <w:tc>
          <w:tcPr>
            <w:tcW w:w="274"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2.30</w:t>
            </w:r>
          </w:p>
        </w:tc>
        <w:tc>
          <w:tcPr>
            <w:tcW w:w="273"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2.34</w:t>
            </w:r>
          </w:p>
        </w:tc>
        <w:tc>
          <w:tcPr>
            <w:tcW w:w="273"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2.34</w:t>
            </w:r>
          </w:p>
        </w:tc>
        <w:tc>
          <w:tcPr>
            <w:tcW w:w="274"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2.60</w:t>
            </w:r>
          </w:p>
        </w:tc>
        <w:tc>
          <w:tcPr>
            <w:tcW w:w="273"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 </w:t>
            </w:r>
            <w:r>
              <w:rPr>
                <w:rFonts w:ascii="Calibri" w:hAnsi="Calibri"/>
                <w:color w:val="000000"/>
                <w:sz w:val="18"/>
                <w:szCs w:val="18"/>
              </w:rPr>
              <w:t>n/a</w:t>
            </w:r>
          </w:p>
        </w:tc>
        <w:tc>
          <w:tcPr>
            <w:tcW w:w="267"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 </w:t>
            </w:r>
            <w:r>
              <w:rPr>
                <w:rFonts w:ascii="Calibri" w:hAnsi="Calibri"/>
                <w:color w:val="000000"/>
                <w:sz w:val="18"/>
                <w:szCs w:val="18"/>
              </w:rPr>
              <w:t>n/a</w:t>
            </w:r>
          </w:p>
        </w:tc>
        <w:tc>
          <w:tcPr>
            <w:tcW w:w="280"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2.56</w:t>
            </w:r>
          </w:p>
        </w:tc>
      </w:tr>
      <w:tr w:rsidR="00666EA8" w:rsidRPr="001A1F5F" w:rsidTr="00A41FEC">
        <w:tc>
          <w:tcPr>
            <w:tcW w:w="896" w:type="pct"/>
            <w:shd w:val="clear" w:color="auto" w:fill="auto"/>
            <w:vAlign w:val="center"/>
            <w:hideMark/>
          </w:tcPr>
          <w:p w:rsidR="00666EA8" w:rsidRPr="001A1F5F" w:rsidRDefault="00666EA8" w:rsidP="00666EA8">
            <w:pPr>
              <w:spacing w:after="0"/>
              <w:rPr>
                <w:rFonts w:ascii="Calibri" w:hAnsi="Calibri"/>
                <w:color w:val="000000"/>
                <w:sz w:val="18"/>
                <w:szCs w:val="18"/>
              </w:rPr>
            </w:pPr>
            <w:r w:rsidRPr="00666EA8">
              <w:rPr>
                <w:rFonts w:ascii="Calibri" w:hAnsi="Calibri"/>
                <w:color w:val="000000"/>
                <w:sz w:val="18"/>
                <w:szCs w:val="18"/>
              </w:rPr>
              <w:t>Pct. of Water Used as Flowing Water as Opposed to Filling the Sink (%)</w:t>
            </w:r>
          </w:p>
        </w:tc>
        <w:tc>
          <w:tcPr>
            <w:tcW w:w="274" w:type="pct"/>
            <w:shd w:val="clear" w:color="auto" w:fill="auto"/>
            <w:vAlign w:val="center"/>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 </w:t>
            </w:r>
            <w:r>
              <w:rPr>
                <w:rFonts w:ascii="Calibri" w:hAnsi="Calibri"/>
                <w:color w:val="000000"/>
                <w:sz w:val="18"/>
                <w:szCs w:val="18"/>
              </w:rPr>
              <w:t>n/a</w:t>
            </w:r>
          </w:p>
        </w:tc>
        <w:tc>
          <w:tcPr>
            <w:tcW w:w="274" w:type="pct"/>
            <w:shd w:val="clear" w:color="auto" w:fill="auto"/>
            <w:vAlign w:val="center"/>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 </w:t>
            </w:r>
            <w:r>
              <w:rPr>
                <w:rFonts w:ascii="Calibri" w:hAnsi="Calibri"/>
                <w:color w:val="000000"/>
                <w:sz w:val="18"/>
                <w:szCs w:val="18"/>
              </w:rPr>
              <w:t>n/a</w:t>
            </w:r>
          </w:p>
        </w:tc>
        <w:tc>
          <w:tcPr>
            <w:tcW w:w="274" w:type="pct"/>
            <w:shd w:val="clear" w:color="auto" w:fill="auto"/>
            <w:vAlign w:val="center"/>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 </w:t>
            </w:r>
            <w:r>
              <w:rPr>
                <w:rFonts w:ascii="Calibri" w:hAnsi="Calibri"/>
                <w:color w:val="000000"/>
                <w:sz w:val="18"/>
                <w:szCs w:val="18"/>
              </w:rPr>
              <w:t>n/a</w:t>
            </w:r>
          </w:p>
        </w:tc>
        <w:tc>
          <w:tcPr>
            <w:tcW w:w="274"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0.80</w:t>
            </w:r>
          </w:p>
        </w:tc>
        <w:tc>
          <w:tcPr>
            <w:tcW w:w="273"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0.80</w:t>
            </w:r>
          </w:p>
        </w:tc>
        <w:tc>
          <w:tcPr>
            <w:tcW w:w="274"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0.50</w:t>
            </w:r>
          </w:p>
        </w:tc>
        <w:tc>
          <w:tcPr>
            <w:tcW w:w="273"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0.70</w:t>
            </w:r>
          </w:p>
        </w:tc>
        <w:tc>
          <w:tcPr>
            <w:tcW w:w="274"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0.50</w:t>
            </w:r>
          </w:p>
        </w:tc>
        <w:tc>
          <w:tcPr>
            <w:tcW w:w="274"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0.70</w:t>
            </w:r>
          </w:p>
        </w:tc>
        <w:tc>
          <w:tcPr>
            <w:tcW w:w="273"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 </w:t>
            </w:r>
            <w:r>
              <w:rPr>
                <w:rFonts w:ascii="Calibri" w:hAnsi="Calibri"/>
                <w:color w:val="000000"/>
                <w:sz w:val="18"/>
                <w:szCs w:val="18"/>
              </w:rPr>
              <w:t>n/a</w:t>
            </w:r>
          </w:p>
        </w:tc>
        <w:tc>
          <w:tcPr>
            <w:tcW w:w="273"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 </w:t>
            </w:r>
            <w:r>
              <w:rPr>
                <w:rFonts w:ascii="Calibri" w:hAnsi="Calibri"/>
                <w:color w:val="000000"/>
                <w:sz w:val="18"/>
                <w:szCs w:val="18"/>
              </w:rPr>
              <w:t>n/a</w:t>
            </w:r>
          </w:p>
        </w:tc>
        <w:tc>
          <w:tcPr>
            <w:tcW w:w="274"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0.80</w:t>
            </w:r>
          </w:p>
        </w:tc>
        <w:tc>
          <w:tcPr>
            <w:tcW w:w="273"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0.63</w:t>
            </w:r>
          </w:p>
        </w:tc>
        <w:tc>
          <w:tcPr>
            <w:tcW w:w="267"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0.63</w:t>
            </w:r>
          </w:p>
        </w:tc>
        <w:tc>
          <w:tcPr>
            <w:tcW w:w="280"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0.50</w:t>
            </w:r>
          </w:p>
        </w:tc>
      </w:tr>
      <w:tr w:rsidR="00666EA8" w:rsidRPr="001A1F5F" w:rsidTr="00A41FEC">
        <w:tc>
          <w:tcPr>
            <w:tcW w:w="896" w:type="pct"/>
            <w:shd w:val="clear" w:color="auto" w:fill="auto"/>
            <w:vAlign w:val="center"/>
            <w:hideMark/>
          </w:tcPr>
          <w:p w:rsidR="00666EA8" w:rsidRPr="001A1F5F" w:rsidRDefault="00666EA8" w:rsidP="00666EA8">
            <w:pPr>
              <w:spacing w:after="0"/>
              <w:rPr>
                <w:rFonts w:ascii="Calibri" w:hAnsi="Calibri"/>
                <w:color w:val="000000"/>
                <w:sz w:val="18"/>
                <w:szCs w:val="18"/>
              </w:rPr>
            </w:pPr>
            <w:r w:rsidRPr="00666EA8">
              <w:rPr>
                <w:rFonts w:ascii="Calibri" w:hAnsi="Calibri"/>
                <w:color w:val="000000"/>
                <w:sz w:val="18"/>
                <w:szCs w:val="18"/>
              </w:rPr>
              <w:t>Minutes of Faucet Use per Day per Person (Min/day/Person)</w:t>
            </w:r>
          </w:p>
        </w:tc>
        <w:tc>
          <w:tcPr>
            <w:tcW w:w="274" w:type="pct"/>
            <w:shd w:val="clear" w:color="auto" w:fill="auto"/>
            <w:vAlign w:val="center"/>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 </w:t>
            </w:r>
            <w:r>
              <w:rPr>
                <w:rFonts w:ascii="Calibri" w:hAnsi="Calibri"/>
                <w:color w:val="000000"/>
                <w:sz w:val="18"/>
                <w:szCs w:val="18"/>
              </w:rPr>
              <w:t>n/a</w:t>
            </w:r>
          </w:p>
        </w:tc>
        <w:tc>
          <w:tcPr>
            <w:tcW w:w="274" w:type="pct"/>
            <w:shd w:val="clear" w:color="auto" w:fill="auto"/>
            <w:vAlign w:val="center"/>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 </w:t>
            </w:r>
            <w:r>
              <w:rPr>
                <w:rFonts w:ascii="Calibri" w:hAnsi="Calibri"/>
                <w:color w:val="000000"/>
                <w:sz w:val="18"/>
                <w:szCs w:val="18"/>
              </w:rPr>
              <w:t>n/a</w:t>
            </w:r>
          </w:p>
        </w:tc>
        <w:tc>
          <w:tcPr>
            <w:tcW w:w="274" w:type="pct"/>
            <w:shd w:val="clear" w:color="auto" w:fill="auto"/>
            <w:vAlign w:val="center"/>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 </w:t>
            </w:r>
            <w:r>
              <w:rPr>
                <w:rFonts w:ascii="Calibri" w:hAnsi="Calibri"/>
                <w:color w:val="000000"/>
                <w:sz w:val="18"/>
                <w:szCs w:val="18"/>
              </w:rPr>
              <w:t>n/a</w:t>
            </w:r>
          </w:p>
        </w:tc>
        <w:tc>
          <w:tcPr>
            <w:tcW w:w="274"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9.85</w:t>
            </w:r>
          </w:p>
        </w:tc>
        <w:tc>
          <w:tcPr>
            <w:tcW w:w="273"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9.85</w:t>
            </w:r>
          </w:p>
        </w:tc>
        <w:tc>
          <w:tcPr>
            <w:tcW w:w="274"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5.45</w:t>
            </w:r>
          </w:p>
        </w:tc>
        <w:tc>
          <w:tcPr>
            <w:tcW w:w="273"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2.93</w:t>
            </w:r>
          </w:p>
        </w:tc>
        <w:tc>
          <w:tcPr>
            <w:tcW w:w="274"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5.45</w:t>
            </w:r>
          </w:p>
        </w:tc>
        <w:tc>
          <w:tcPr>
            <w:tcW w:w="274"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2.93</w:t>
            </w:r>
          </w:p>
        </w:tc>
        <w:tc>
          <w:tcPr>
            <w:tcW w:w="273"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4.51</w:t>
            </w:r>
          </w:p>
        </w:tc>
        <w:tc>
          <w:tcPr>
            <w:tcW w:w="273"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1.65</w:t>
            </w:r>
          </w:p>
        </w:tc>
        <w:tc>
          <w:tcPr>
            <w:tcW w:w="274"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6.10</w:t>
            </w:r>
          </w:p>
        </w:tc>
        <w:tc>
          <w:tcPr>
            <w:tcW w:w="273"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3.00</w:t>
            </w:r>
          </w:p>
        </w:tc>
        <w:tc>
          <w:tcPr>
            <w:tcW w:w="267"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2.00</w:t>
            </w:r>
          </w:p>
        </w:tc>
        <w:tc>
          <w:tcPr>
            <w:tcW w:w="280" w:type="pct"/>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4.95</w:t>
            </w:r>
          </w:p>
        </w:tc>
      </w:tr>
      <w:tr w:rsidR="00666EA8" w:rsidRPr="001A1F5F" w:rsidTr="00A41FEC">
        <w:tc>
          <w:tcPr>
            <w:tcW w:w="896" w:type="pct"/>
            <w:shd w:val="clear" w:color="auto" w:fill="auto"/>
            <w:vAlign w:val="center"/>
            <w:hideMark/>
          </w:tcPr>
          <w:p w:rsidR="00523B88" w:rsidRPr="001A1F5F" w:rsidRDefault="00523B88" w:rsidP="00666EA8">
            <w:pPr>
              <w:spacing w:after="0"/>
              <w:rPr>
                <w:rFonts w:ascii="Calibri" w:hAnsi="Calibri"/>
                <w:color w:val="000000"/>
                <w:sz w:val="18"/>
                <w:szCs w:val="18"/>
              </w:rPr>
            </w:pPr>
            <w:r w:rsidRPr="00666EA8">
              <w:rPr>
                <w:rFonts w:ascii="Calibri" w:hAnsi="Calibri"/>
                <w:color w:val="000000"/>
                <w:sz w:val="18"/>
                <w:szCs w:val="18"/>
              </w:rPr>
              <w:t>Water Savings per Year per Faucet (Gal/Year/Faucet)</w:t>
            </w:r>
          </w:p>
        </w:tc>
        <w:tc>
          <w:tcPr>
            <w:tcW w:w="274"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1,23</w:t>
            </w:r>
            <w:r w:rsidR="00666EA8">
              <w:rPr>
                <w:rFonts w:ascii="Calibri" w:hAnsi="Calibri"/>
                <w:color w:val="000000"/>
                <w:sz w:val="18"/>
                <w:szCs w:val="18"/>
              </w:rPr>
              <w:t>9</w:t>
            </w:r>
          </w:p>
        </w:tc>
        <w:tc>
          <w:tcPr>
            <w:tcW w:w="274" w:type="pct"/>
            <w:shd w:val="clear" w:color="auto" w:fill="auto"/>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25</w:t>
            </w:r>
            <w:r w:rsidR="00666EA8">
              <w:rPr>
                <w:rFonts w:ascii="Calibri" w:hAnsi="Calibri"/>
                <w:color w:val="000000"/>
                <w:sz w:val="18"/>
                <w:szCs w:val="18"/>
              </w:rPr>
              <w:t>6</w:t>
            </w:r>
          </w:p>
        </w:tc>
        <w:tc>
          <w:tcPr>
            <w:tcW w:w="274" w:type="pct"/>
            <w:shd w:val="clear" w:color="auto" w:fill="auto"/>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332</w:t>
            </w:r>
          </w:p>
        </w:tc>
        <w:tc>
          <w:tcPr>
            <w:tcW w:w="274"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497</w:t>
            </w:r>
          </w:p>
        </w:tc>
        <w:tc>
          <w:tcPr>
            <w:tcW w:w="273"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62</w:t>
            </w:r>
            <w:r w:rsidR="00666EA8">
              <w:rPr>
                <w:rFonts w:ascii="Calibri" w:hAnsi="Calibri"/>
                <w:color w:val="000000"/>
                <w:sz w:val="18"/>
                <w:szCs w:val="18"/>
              </w:rPr>
              <w:t>5</w:t>
            </w:r>
          </w:p>
        </w:tc>
        <w:tc>
          <w:tcPr>
            <w:tcW w:w="274"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83</w:t>
            </w:r>
            <w:r w:rsidR="00666EA8">
              <w:rPr>
                <w:rFonts w:ascii="Calibri" w:hAnsi="Calibri"/>
                <w:color w:val="000000"/>
                <w:sz w:val="18"/>
                <w:szCs w:val="18"/>
              </w:rPr>
              <w:t>6</w:t>
            </w:r>
          </w:p>
        </w:tc>
        <w:tc>
          <w:tcPr>
            <w:tcW w:w="273"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39</w:t>
            </w:r>
            <w:r w:rsidR="00666EA8">
              <w:rPr>
                <w:rFonts w:ascii="Calibri" w:hAnsi="Calibri"/>
                <w:color w:val="000000"/>
                <w:sz w:val="18"/>
                <w:szCs w:val="18"/>
              </w:rPr>
              <w:t>1</w:t>
            </w:r>
          </w:p>
        </w:tc>
        <w:tc>
          <w:tcPr>
            <w:tcW w:w="274"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686</w:t>
            </w:r>
          </w:p>
        </w:tc>
        <w:tc>
          <w:tcPr>
            <w:tcW w:w="274"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32</w:t>
            </w:r>
            <w:r w:rsidR="00666EA8">
              <w:rPr>
                <w:rFonts w:ascii="Calibri" w:hAnsi="Calibri"/>
                <w:color w:val="000000"/>
                <w:sz w:val="18"/>
                <w:szCs w:val="18"/>
              </w:rPr>
              <w:t>1</w:t>
            </w:r>
          </w:p>
        </w:tc>
        <w:tc>
          <w:tcPr>
            <w:tcW w:w="273"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2,696</w:t>
            </w:r>
          </w:p>
        </w:tc>
        <w:tc>
          <w:tcPr>
            <w:tcW w:w="273"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333</w:t>
            </w:r>
          </w:p>
        </w:tc>
        <w:tc>
          <w:tcPr>
            <w:tcW w:w="274"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84</w:t>
            </w:r>
            <w:r w:rsidR="00666EA8">
              <w:rPr>
                <w:rFonts w:ascii="Calibri" w:hAnsi="Calibri"/>
                <w:color w:val="000000"/>
                <w:sz w:val="18"/>
                <w:szCs w:val="18"/>
              </w:rPr>
              <w:t>8</w:t>
            </w:r>
          </w:p>
        </w:tc>
        <w:tc>
          <w:tcPr>
            <w:tcW w:w="273"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62</w:t>
            </w:r>
            <w:r w:rsidR="00666EA8">
              <w:rPr>
                <w:rFonts w:ascii="Calibri" w:hAnsi="Calibri"/>
                <w:color w:val="000000"/>
                <w:sz w:val="18"/>
                <w:szCs w:val="18"/>
              </w:rPr>
              <w:t>1</w:t>
            </w:r>
          </w:p>
        </w:tc>
        <w:tc>
          <w:tcPr>
            <w:tcW w:w="267"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64</w:t>
            </w:r>
            <w:r w:rsidR="00666EA8">
              <w:rPr>
                <w:rFonts w:ascii="Calibri" w:hAnsi="Calibri"/>
                <w:color w:val="000000"/>
                <w:sz w:val="18"/>
                <w:szCs w:val="18"/>
              </w:rPr>
              <w:t>4</w:t>
            </w:r>
          </w:p>
        </w:tc>
        <w:tc>
          <w:tcPr>
            <w:tcW w:w="280"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1,620</w:t>
            </w:r>
          </w:p>
        </w:tc>
      </w:tr>
      <w:tr w:rsidR="00666EA8" w:rsidRPr="001A1F5F" w:rsidTr="00A41FEC">
        <w:tc>
          <w:tcPr>
            <w:tcW w:w="896" w:type="pct"/>
            <w:shd w:val="clear" w:color="auto" w:fill="auto"/>
            <w:vAlign w:val="center"/>
            <w:hideMark/>
          </w:tcPr>
          <w:p w:rsidR="00523B88" w:rsidRPr="001A1F5F" w:rsidRDefault="00523B88" w:rsidP="00666EA8">
            <w:pPr>
              <w:spacing w:after="0"/>
              <w:rPr>
                <w:rFonts w:ascii="Calibri" w:hAnsi="Calibri"/>
                <w:color w:val="000000"/>
                <w:sz w:val="18"/>
                <w:szCs w:val="18"/>
              </w:rPr>
            </w:pPr>
            <w:r w:rsidRPr="00666EA8">
              <w:rPr>
                <w:rFonts w:ascii="Calibri" w:hAnsi="Calibri"/>
                <w:color w:val="000000"/>
                <w:sz w:val="18"/>
                <w:szCs w:val="18"/>
              </w:rPr>
              <w:t>Energy Savings per Gallon (kWh/Gal)</w:t>
            </w:r>
          </w:p>
        </w:tc>
        <w:tc>
          <w:tcPr>
            <w:tcW w:w="274"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0.06</w:t>
            </w:r>
          </w:p>
        </w:tc>
        <w:tc>
          <w:tcPr>
            <w:tcW w:w="274"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0.07</w:t>
            </w:r>
          </w:p>
        </w:tc>
        <w:tc>
          <w:tcPr>
            <w:tcW w:w="274"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0.07</w:t>
            </w:r>
          </w:p>
        </w:tc>
        <w:tc>
          <w:tcPr>
            <w:tcW w:w="274"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0.09</w:t>
            </w:r>
          </w:p>
        </w:tc>
        <w:tc>
          <w:tcPr>
            <w:tcW w:w="273"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0.09</w:t>
            </w:r>
          </w:p>
        </w:tc>
        <w:tc>
          <w:tcPr>
            <w:tcW w:w="274"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0.09</w:t>
            </w:r>
          </w:p>
        </w:tc>
        <w:tc>
          <w:tcPr>
            <w:tcW w:w="273"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0.09</w:t>
            </w:r>
          </w:p>
        </w:tc>
        <w:tc>
          <w:tcPr>
            <w:tcW w:w="274"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0.09</w:t>
            </w:r>
          </w:p>
        </w:tc>
        <w:tc>
          <w:tcPr>
            <w:tcW w:w="274"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0.09</w:t>
            </w:r>
          </w:p>
        </w:tc>
        <w:tc>
          <w:tcPr>
            <w:tcW w:w="273"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0.11</w:t>
            </w:r>
          </w:p>
        </w:tc>
        <w:tc>
          <w:tcPr>
            <w:tcW w:w="273"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0.09</w:t>
            </w:r>
          </w:p>
        </w:tc>
        <w:tc>
          <w:tcPr>
            <w:tcW w:w="274"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0.08</w:t>
            </w:r>
          </w:p>
        </w:tc>
        <w:tc>
          <w:tcPr>
            <w:tcW w:w="273"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0.06</w:t>
            </w:r>
          </w:p>
        </w:tc>
        <w:tc>
          <w:tcPr>
            <w:tcW w:w="267"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0.06</w:t>
            </w:r>
          </w:p>
        </w:tc>
        <w:tc>
          <w:tcPr>
            <w:tcW w:w="280"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0.01</w:t>
            </w:r>
          </w:p>
        </w:tc>
      </w:tr>
      <w:tr w:rsidR="00666EA8" w:rsidRPr="001A1F5F" w:rsidTr="00A41FEC">
        <w:tc>
          <w:tcPr>
            <w:tcW w:w="896" w:type="pct"/>
            <w:shd w:val="clear" w:color="auto" w:fill="auto"/>
            <w:vAlign w:val="center"/>
            <w:hideMark/>
          </w:tcPr>
          <w:p w:rsidR="00523B88" w:rsidRPr="001A1F5F" w:rsidRDefault="00523B88" w:rsidP="00666EA8">
            <w:pPr>
              <w:spacing w:after="0"/>
              <w:rPr>
                <w:rFonts w:ascii="Calibri" w:hAnsi="Calibri"/>
                <w:color w:val="000000"/>
                <w:sz w:val="18"/>
                <w:szCs w:val="18"/>
              </w:rPr>
            </w:pPr>
            <w:r w:rsidRPr="00666EA8">
              <w:rPr>
                <w:rFonts w:ascii="Calibri" w:hAnsi="Calibri"/>
                <w:color w:val="000000"/>
                <w:sz w:val="18"/>
                <w:szCs w:val="18"/>
              </w:rPr>
              <w:t>Energy Savings per Faucet per Year (kWh)</w:t>
            </w:r>
          </w:p>
        </w:tc>
        <w:tc>
          <w:tcPr>
            <w:tcW w:w="274"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79.38</w:t>
            </w:r>
          </w:p>
        </w:tc>
        <w:tc>
          <w:tcPr>
            <w:tcW w:w="274"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17.26</w:t>
            </w:r>
          </w:p>
        </w:tc>
        <w:tc>
          <w:tcPr>
            <w:tcW w:w="274"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22.42</w:t>
            </w:r>
          </w:p>
        </w:tc>
        <w:tc>
          <w:tcPr>
            <w:tcW w:w="274"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44.45</w:t>
            </w:r>
          </w:p>
        </w:tc>
        <w:tc>
          <w:tcPr>
            <w:tcW w:w="273"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55.87</w:t>
            </w:r>
          </w:p>
        </w:tc>
        <w:tc>
          <w:tcPr>
            <w:tcW w:w="274"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71.15</w:t>
            </w:r>
          </w:p>
        </w:tc>
        <w:tc>
          <w:tcPr>
            <w:tcW w:w="273"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33.26</w:t>
            </w:r>
          </w:p>
        </w:tc>
        <w:tc>
          <w:tcPr>
            <w:tcW w:w="274"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58.45</w:t>
            </w:r>
          </w:p>
        </w:tc>
        <w:tc>
          <w:tcPr>
            <w:tcW w:w="274"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27.32</w:t>
            </w:r>
          </w:p>
        </w:tc>
        <w:tc>
          <w:tcPr>
            <w:tcW w:w="273"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283.39</w:t>
            </w:r>
          </w:p>
        </w:tc>
        <w:tc>
          <w:tcPr>
            <w:tcW w:w="273"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29.22</w:t>
            </w:r>
          </w:p>
        </w:tc>
        <w:tc>
          <w:tcPr>
            <w:tcW w:w="274"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69.27</w:t>
            </w:r>
          </w:p>
        </w:tc>
        <w:tc>
          <w:tcPr>
            <w:tcW w:w="273"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37.45</w:t>
            </w:r>
          </w:p>
        </w:tc>
        <w:tc>
          <w:tcPr>
            <w:tcW w:w="267"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38.84</w:t>
            </w:r>
          </w:p>
        </w:tc>
        <w:tc>
          <w:tcPr>
            <w:tcW w:w="280" w:type="pct"/>
            <w:shd w:val="clear" w:color="000000" w:fill="FFE8D2"/>
            <w:vAlign w:val="center"/>
            <w:hideMark/>
          </w:tcPr>
          <w:p w:rsidR="00523B88" w:rsidRPr="001A1F5F" w:rsidRDefault="00523B88" w:rsidP="00666EA8">
            <w:pPr>
              <w:jc w:val="right"/>
              <w:rPr>
                <w:rFonts w:ascii="Calibri" w:hAnsi="Calibri"/>
                <w:color w:val="000000"/>
                <w:sz w:val="18"/>
                <w:szCs w:val="18"/>
              </w:rPr>
            </w:pPr>
            <w:r w:rsidRPr="001A1F5F">
              <w:rPr>
                <w:rFonts w:ascii="Calibri" w:hAnsi="Calibri"/>
                <w:color w:val="000000"/>
                <w:sz w:val="18"/>
                <w:szCs w:val="18"/>
              </w:rPr>
              <w:t>12.11</w:t>
            </w:r>
          </w:p>
        </w:tc>
      </w:tr>
      <w:tr w:rsidR="00666EA8" w:rsidRPr="001A1F5F" w:rsidTr="00BD65D5">
        <w:tc>
          <w:tcPr>
            <w:tcW w:w="896" w:type="pct"/>
            <w:tcBorders>
              <w:bottom w:val="single" w:sz="4" w:space="0" w:color="BFBFBF"/>
            </w:tcBorders>
            <w:shd w:val="clear" w:color="auto" w:fill="auto"/>
            <w:vAlign w:val="center"/>
            <w:hideMark/>
          </w:tcPr>
          <w:p w:rsidR="00666EA8" w:rsidRPr="001A1F5F" w:rsidRDefault="00666EA8" w:rsidP="00666EA8">
            <w:pPr>
              <w:spacing w:after="0"/>
              <w:rPr>
                <w:rFonts w:ascii="Calibri" w:hAnsi="Calibri"/>
                <w:color w:val="000000"/>
                <w:sz w:val="18"/>
                <w:szCs w:val="18"/>
              </w:rPr>
            </w:pPr>
            <w:r w:rsidRPr="00666EA8">
              <w:rPr>
                <w:rFonts w:ascii="Calibri" w:hAnsi="Calibri"/>
                <w:color w:val="000000"/>
                <w:sz w:val="18"/>
                <w:szCs w:val="18"/>
              </w:rPr>
              <w:t>Hours of Faucet Use per Year per Faucet (Hours/Year/Faucet)</w:t>
            </w:r>
          </w:p>
        </w:tc>
        <w:tc>
          <w:tcPr>
            <w:tcW w:w="274" w:type="pct"/>
            <w:tcBorders>
              <w:bottom w:val="single" w:sz="4" w:space="0" w:color="BFBFBF"/>
            </w:tcBorders>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 </w:t>
            </w:r>
            <w:r>
              <w:rPr>
                <w:rFonts w:ascii="Calibri" w:hAnsi="Calibri"/>
                <w:color w:val="000000"/>
                <w:sz w:val="18"/>
                <w:szCs w:val="18"/>
              </w:rPr>
              <w:t>n/a</w:t>
            </w:r>
          </w:p>
        </w:tc>
        <w:tc>
          <w:tcPr>
            <w:tcW w:w="274" w:type="pct"/>
            <w:tcBorders>
              <w:bottom w:val="single" w:sz="4" w:space="0" w:color="BFBFBF"/>
            </w:tcBorders>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 </w:t>
            </w:r>
            <w:r>
              <w:rPr>
                <w:rFonts w:ascii="Calibri" w:hAnsi="Calibri"/>
                <w:color w:val="000000"/>
                <w:sz w:val="18"/>
                <w:szCs w:val="18"/>
              </w:rPr>
              <w:t>n/a</w:t>
            </w:r>
          </w:p>
        </w:tc>
        <w:tc>
          <w:tcPr>
            <w:tcW w:w="274" w:type="pct"/>
            <w:tcBorders>
              <w:bottom w:val="single" w:sz="4" w:space="0" w:color="BFBFBF"/>
            </w:tcBorders>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 </w:t>
            </w:r>
            <w:r>
              <w:rPr>
                <w:rFonts w:ascii="Calibri" w:hAnsi="Calibri"/>
                <w:color w:val="000000"/>
                <w:sz w:val="18"/>
                <w:szCs w:val="18"/>
              </w:rPr>
              <w:t>n/a</w:t>
            </w:r>
          </w:p>
        </w:tc>
        <w:tc>
          <w:tcPr>
            <w:tcW w:w="274" w:type="pct"/>
            <w:tcBorders>
              <w:bottom w:val="single" w:sz="4" w:space="0" w:color="BFBFBF"/>
            </w:tcBorders>
            <w:shd w:val="clear" w:color="000000" w:fill="FFE8D2"/>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40.10</w:t>
            </w:r>
          </w:p>
        </w:tc>
        <w:tc>
          <w:tcPr>
            <w:tcW w:w="273" w:type="pct"/>
            <w:tcBorders>
              <w:bottom w:val="single" w:sz="4" w:space="0" w:color="BFBFBF"/>
            </w:tcBorders>
            <w:shd w:val="clear" w:color="000000" w:fill="FFE8D2"/>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50.50</w:t>
            </w:r>
          </w:p>
        </w:tc>
        <w:tc>
          <w:tcPr>
            <w:tcW w:w="274" w:type="pct"/>
            <w:tcBorders>
              <w:bottom w:val="single" w:sz="4" w:space="0" w:color="BFBFBF"/>
            </w:tcBorders>
            <w:shd w:val="clear" w:color="000000" w:fill="FFE8D2"/>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90.10</w:t>
            </w:r>
          </w:p>
        </w:tc>
        <w:tc>
          <w:tcPr>
            <w:tcW w:w="273" w:type="pct"/>
            <w:tcBorders>
              <w:bottom w:val="single" w:sz="4" w:space="0" w:color="BFBFBF"/>
            </w:tcBorders>
            <w:shd w:val="clear" w:color="000000" w:fill="FFE8D2"/>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20.70</w:t>
            </w:r>
          </w:p>
        </w:tc>
        <w:tc>
          <w:tcPr>
            <w:tcW w:w="274" w:type="pct"/>
            <w:tcBorders>
              <w:bottom w:val="single" w:sz="4" w:space="0" w:color="BFBFBF"/>
            </w:tcBorders>
            <w:shd w:val="clear" w:color="000000" w:fill="FFE8D2"/>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74.20</w:t>
            </w:r>
          </w:p>
        </w:tc>
        <w:tc>
          <w:tcPr>
            <w:tcW w:w="274" w:type="pct"/>
            <w:tcBorders>
              <w:bottom w:val="single" w:sz="4" w:space="0" w:color="BFBFBF"/>
            </w:tcBorders>
            <w:shd w:val="clear" w:color="000000" w:fill="FFE8D2"/>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17.10</w:t>
            </w:r>
          </w:p>
        </w:tc>
        <w:tc>
          <w:tcPr>
            <w:tcW w:w="273" w:type="pct"/>
            <w:tcBorders>
              <w:bottom w:val="single" w:sz="4" w:space="0" w:color="BFBFBF"/>
            </w:tcBorders>
            <w:shd w:val="clear" w:color="000000" w:fill="FFE8D2"/>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64.20</w:t>
            </w:r>
          </w:p>
        </w:tc>
        <w:tc>
          <w:tcPr>
            <w:tcW w:w="273" w:type="pct"/>
            <w:tcBorders>
              <w:bottom w:val="single" w:sz="4" w:space="0" w:color="BFBFBF"/>
            </w:tcBorders>
            <w:shd w:val="clear" w:color="000000" w:fill="FFE8D2"/>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7.90</w:t>
            </w:r>
          </w:p>
        </w:tc>
        <w:tc>
          <w:tcPr>
            <w:tcW w:w="274" w:type="pct"/>
            <w:tcBorders>
              <w:bottom w:val="single" w:sz="4" w:space="0" w:color="BFBFBF"/>
            </w:tcBorders>
            <w:shd w:val="clear" w:color="000000" w:fill="FFE8D2"/>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25.40</w:t>
            </w:r>
          </w:p>
        </w:tc>
        <w:tc>
          <w:tcPr>
            <w:tcW w:w="273" w:type="pct"/>
            <w:tcBorders>
              <w:bottom w:val="single" w:sz="4" w:space="0" w:color="BFBFBF"/>
            </w:tcBorders>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 </w:t>
            </w:r>
            <w:r>
              <w:rPr>
                <w:rFonts w:ascii="Calibri" w:hAnsi="Calibri"/>
                <w:color w:val="000000"/>
                <w:sz w:val="18"/>
                <w:szCs w:val="18"/>
              </w:rPr>
              <w:t>n/a</w:t>
            </w:r>
          </w:p>
        </w:tc>
        <w:tc>
          <w:tcPr>
            <w:tcW w:w="267" w:type="pct"/>
            <w:tcBorders>
              <w:bottom w:val="single" w:sz="4" w:space="0" w:color="BFBFBF"/>
            </w:tcBorders>
            <w:shd w:val="clear" w:color="auto" w:fill="auto"/>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 </w:t>
            </w:r>
            <w:r>
              <w:rPr>
                <w:rFonts w:ascii="Calibri" w:hAnsi="Calibri"/>
                <w:color w:val="000000"/>
                <w:sz w:val="18"/>
                <w:szCs w:val="18"/>
              </w:rPr>
              <w:t>n/a</w:t>
            </w:r>
          </w:p>
        </w:tc>
        <w:tc>
          <w:tcPr>
            <w:tcW w:w="280" w:type="pct"/>
            <w:tcBorders>
              <w:bottom w:val="single" w:sz="4" w:space="0" w:color="BFBFBF"/>
            </w:tcBorders>
            <w:shd w:val="clear" w:color="000000" w:fill="FFE8D2"/>
            <w:vAlign w:val="center"/>
            <w:hideMark/>
          </w:tcPr>
          <w:p w:rsidR="00666EA8" w:rsidRPr="001A1F5F" w:rsidRDefault="00666EA8" w:rsidP="00666EA8">
            <w:pPr>
              <w:jc w:val="right"/>
              <w:rPr>
                <w:rFonts w:ascii="Calibri" w:hAnsi="Calibri"/>
                <w:color w:val="000000"/>
                <w:sz w:val="18"/>
                <w:szCs w:val="18"/>
              </w:rPr>
            </w:pPr>
            <w:r w:rsidRPr="001A1F5F">
              <w:rPr>
                <w:rFonts w:ascii="Calibri" w:hAnsi="Calibri"/>
                <w:color w:val="000000"/>
                <w:sz w:val="18"/>
                <w:szCs w:val="18"/>
              </w:rPr>
              <w:t>22.00</w:t>
            </w:r>
          </w:p>
        </w:tc>
      </w:tr>
      <w:tr w:rsidR="00523B88" w:rsidRPr="001A1F5F" w:rsidTr="00BD65D5">
        <w:tc>
          <w:tcPr>
            <w:tcW w:w="5000" w:type="pct"/>
            <w:gridSpan w:val="16"/>
            <w:tcBorders>
              <w:left w:val="nil"/>
              <w:bottom w:val="nil"/>
              <w:right w:val="nil"/>
            </w:tcBorders>
            <w:shd w:val="clear" w:color="auto" w:fill="auto"/>
            <w:vAlign w:val="center"/>
            <w:hideMark/>
          </w:tcPr>
          <w:p w:rsidR="00523B88" w:rsidRPr="001A1F5F" w:rsidRDefault="00216CA2" w:rsidP="00523B88">
            <w:pPr>
              <w:rPr>
                <w:rFonts w:ascii="Calibri" w:hAnsi="Calibri"/>
                <w:color w:val="000000"/>
                <w:sz w:val="18"/>
                <w:szCs w:val="18"/>
              </w:rPr>
            </w:pPr>
            <w:r>
              <w:rPr>
                <w:rFonts w:ascii="Calibri" w:hAnsi="Calibri"/>
                <w:color w:val="000000"/>
                <w:sz w:val="18"/>
                <w:szCs w:val="18"/>
              </w:rPr>
              <w:t>*</w:t>
            </w:r>
            <w:r w:rsidR="00523B88" w:rsidRPr="001A1F5F">
              <w:rPr>
                <w:rFonts w:ascii="Calibri" w:hAnsi="Calibri"/>
                <w:color w:val="000000"/>
                <w:sz w:val="18"/>
                <w:szCs w:val="18"/>
              </w:rPr>
              <w:t>Shaded cells indicate a calculated value</w:t>
            </w:r>
            <w:r w:rsidR="0030047B">
              <w:rPr>
                <w:rFonts w:ascii="Calibri" w:hAnsi="Calibri"/>
                <w:color w:val="000000"/>
                <w:sz w:val="18"/>
                <w:szCs w:val="18"/>
              </w:rPr>
              <w:t>.</w:t>
            </w:r>
          </w:p>
        </w:tc>
      </w:tr>
    </w:tbl>
    <w:p w:rsidR="00523B88" w:rsidRDefault="00523B88" w:rsidP="00523B88">
      <w:pPr>
        <w:sectPr w:rsidR="00523B88" w:rsidSect="00523B88">
          <w:pgSz w:w="15840" w:h="12240" w:orient="landscape" w:code="1"/>
          <w:pgMar w:top="1440" w:right="1440" w:bottom="1440" w:left="1440" w:header="720" w:footer="720" w:gutter="0"/>
          <w:cols w:space="720"/>
          <w:docGrid w:linePitch="360"/>
        </w:sectPr>
      </w:pPr>
    </w:p>
    <w:p w:rsidR="00523B88" w:rsidRDefault="00523B88" w:rsidP="00523B88">
      <w:pPr>
        <w:sectPr w:rsidR="00523B88" w:rsidSect="00523B88">
          <w:type w:val="continuous"/>
          <w:pgSz w:w="15840" w:h="12240" w:orient="landscape" w:code="1"/>
          <w:pgMar w:top="1440" w:right="1440" w:bottom="1440" w:left="1440" w:header="720" w:footer="720" w:gutter="0"/>
          <w:cols w:space="720"/>
          <w:docGrid w:linePitch="360"/>
        </w:sectPr>
      </w:pPr>
    </w:p>
    <w:p w:rsidR="00523B88" w:rsidRDefault="0030047B" w:rsidP="00523B88">
      <w:r>
        <w:lastRenderedPageBreak/>
        <w:t>Thus, t</w:t>
      </w:r>
      <w:r w:rsidR="00523B88">
        <w:t>he normalized equation for faucet aerator savings became:</w:t>
      </w:r>
    </w:p>
    <w:p w:rsidR="002C0922" w:rsidRPr="002C0922" w:rsidRDefault="002506E1" w:rsidP="00523B88">
      <w:pPr>
        <w:rPr>
          <w:rFonts w:eastAsiaTheme="minorEastAsia"/>
          <w:sz w:val="20"/>
        </w:rPr>
      </w:pPr>
      <m:oMathPara>
        <m:oMath>
          <m:sSub>
            <m:sSubPr>
              <m:ctrlPr>
                <w:rPr>
                  <w:rFonts w:ascii="Cambria Math" w:hAnsi="Cambria Math"/>
                  <w:i/>
                  <w:sz w:val="20"/>
                </w:rPr>
              </m:ctrlPr>
            </m:sSubPr>
            <m:e>
              <m:r>
                <w:rPr>
                  <w:rFonts w:ascii="Cambria Math" w:hAnsi="Cambria Math"/>
                  <w:sz w:val="20"/>
                </w:rPr>
                <m:t>kWh</m:t>
              </m:r>
            </m:e>
            <m:sub>
              <m:r>
                <w:rPr>
                  <w:rFonts w:ascii="Cambria Math" w:hAnsi="Cambria Math"/>
                  <w:sz w:val="20"/>
                </w:rPr>
                <m:t>FA</m:t>
              </m:r>
            </m:sub>
          </m:sSub>
          <m:r>
            <w:rPr>
              <w:rFonts w:ascii="Cambria Math" w:hAnsi="Cambria Math"/>
              <w:sz w:val="20"/>
            </w:rPr>
            <m:t>=</m:t>
          </m:r>
          <m:f>
            <m:fPr>
              <m:ctrlPr>
                <w:rPr>
                  <w:rFonts w:ascii="Cambria Math" w:hAnsi="Cambria Math"/>
                  <w:i/>
                  <w:sz w:val="20"/>
                </w:rPr>
              </m:ctrlPr>
            </m:fPr>
            <m:num>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Flow</m:t>
                      </m:r>
                    </m:e>
                    <m:sub>
                      <m:r>
                        <w:rPr>
                          <w:rFonts w:ascii="Cambria Math" w:hAnsi="Cambria Math"/>
                          <w:sz w:val="20"/>
                        </w:rPr>
                        <m:t>Base</m:t>
                      </m:r>
                    </m:sub>
                  </m:sSub>
                  <m:r>
                    <w:rPr>
                      <w:rFonts w:ascii="Cambria Math" w:hAnsi="Cambria Math"/>
                      <w:sz w:val="20"/>
                    </w:rPr>
                    <m:t>-</m:t>
                  </m:r>
                  <m:sSub>
                    <m:sSubPr>
                      <m:ctrlPr>
                        <w:rPr>
                          <w:rFonts w:ascii="Cambria Math" w:hAnsi="Cambria Math"/>
                          <w:i/>
                          <w:sz w:val="20"/>
                        </w:rPr>
                      </m:ctrlPr>
                    </m:sSubPr>
                    <m:e>
                      <m:r>
                        <w:rPr>
                          <w:rFonts w:ascii="Cambria Math" w:hAnsi="Cambria Math"/>
                          <w:sz w:val="20"/>
                        </w:rPr>
                        <m:t>Flow</m:t>
                      </m:r>
                    </m:e>
                    <m:sub>
                      <m:r>
                        <w:rPr>
                          <w:rFonts w:ascii="Cambria Math" w:hAnsi="Cambria Math"/>
                          <w:sz w:val="20"/>
                        </w:rPr>
                        <m:t>EE</m:t>
                      </m:r>
                    </m:sub>
                  </m:sSub>
                </m:e>
              </m:d>
              <m:r>
                <w:rPr>
                  <w:rFonts w:ascii="Cambria Math" w:hAnsi="Cambria Math"/>
                  <w:sz w:val="20"/>
                </w:rPr>
                <m:t>*</m:t>
              </m:r>
              <m:sSub>
                <m:sSubPr>
                  <m:ctrlPr>
                    <w:rPr>
                      <w:rFonts w:ascii="Cambria Math" w:hAnsi="Cambria Math"/>
                      <w:i/>
                      <w:sz w:val="20"/>
                    </w:rPr>
                  </m:ctrlPr>
                </m:sSubPr>
                <m:e>
                  <m:r>
                    <w:rPr>
                      <w:rFonts w:ascii="Cambria Math" w:hAnsi="Cambria Math"/>
                      <w:sz w:val="20"/>
                    </w:rPr>
                    <m:t>Time</m:t>
                  </m:r>
                </m:e>
                <m:sub>
                  <m:r>
                    <w:rPr>
                      <w:rFonts w:ascii="Cambria Math" w:hAnsi="Cambria Math"/>
                      <w:sz w:val="20"/>
                    </w:rPr>
                    <m:t>Fauc</m:t>
                  </m:r>
                </m:sub>
              </m:sSub>
              <m:r>
                <w:rPr>
                  <w:rFonts w:ascii="Cambria Math" w:hAnsi="Cambria Math"/>
                  <w:sz w:val="20"/>
                </w:rPr>
                <m:t>*</m:t>
              </m:r>
              <m:sSub>
                <m:sSubPr>
                  <m:ctrlPr>
                    <w:rPr>
                      <w:rFonts w:ascii="Cambria Math" w:hAnsi="Cambria Math"/>
                      <w:i/>
                      <w:sz w:val="20"/>
                    </w:rPr>
                  </m:ctrlPr>
                </m:sSubPr>
                <m:e>
                  <m:r>
                    <w:rPr>
                      <w:rFonts w:ascii="Cambria Math" w:hAnsi="Cambria Math"/>
                      <w:sz w:val="20"/>
                    </w:rPr>
                    <m:t>Days</m:t>
                  </m:r>
                </m:e>
                <m:sub>
                  <m:r>
                    <w:rPr>
                      <w:rFonts w:ascii="Cambria Math" w:hAnsi="Cambria Math"/>
                      <w:sz w:val="20"/>
                    </w:rPr>
                    <m:t>Year</m:t>
                  </m:r>
                </m:sub>
              </m:sSub>
              <m:r>
                <w:rPr>
                  <w:rFonts w:ascii="Cambria Math" w:hAnsi="Cambria Math"/>
                  <w:sz w:val="20"/>
                </w:rPr>
                <m:t>*</m:t>
              </m:r>
              <m:sSub>
                <m:sSubPr>
                  <m:ctrlPr>
                    <w:rPr>
                      <w:rFonts w:ascii="Cambria Math" w:hAnsi="Cambria Math"/>
                      <w:i/>
                      <w:sz w:val="20"/>
                    </w:rPr>
                  </m:ctrlPr>
                </m:sSubPr>
                <m:e>
                  <m:r>
                    <w:rPr>
                      <w:rFonts w:ascii="Cambria Math" w:hAnsi="Cambria Math"/>
                      <w:sz w:val="20"/>
                    </w:rPr>
                    <m:t>R</m:t>
                  </m:r>
                </m:e>
                <m:sub>
                  <m:r>
                    <w:rPr>
                      <w:rFonts w:ascii="Cambria Math" w:hAnsi="Cambria Math"/>
                      <w:sz w:val="20"/>
                    </w:rPr>
                    <m:t>g</m:t>
                  </m:r>
                </m:sub>
              </m:sSub>
              <m:r>
                <w:rPr>
                  <w:rFonts w:ascii="Cambria Math" w:hAnsi="Cambria Math"/>
                  <w:sz w:val="20"/>
                </w:rPr>
                <m:t>*%Flow</m:t>
              </m:r>
            </m:num>
            <m:den>
              <m:sSub>
                <m:sSubPr>
                  <m:ctrlPr>
                    <w:rPr>
                      <w:rFonts w:ascii="Cambria Math" w:hAnsi="Cambria Math"/>
                      <w:i/>
                      <w:sz w:val="20"/>
                    </w:rPr>
                  </m:ctrlPr>
                </m:sSubPr>
                <m:e>
                  <m:r>
                    <w:rPr>
                      <w:rFonts w:ascii="Cambria Math" w:hAnsi="Cambria Math"/>
                      <w:sz w:val="20"/>
                    </w:rPr>
                    <m:t>Fauc</m:t>
                  </m:r>
                </m:e>
                <m:sub>
                  <m:r>
                    <w:rPr>
                      <w:rFonts w:ascii="Cambria Math" w:hAnsi="Cambria Math"/>
                      <w:sz w:val="20"/>
                    </w:rPr>
                    <m:t>House</m:t>
                  </m:r>
                </m:sub>
              </m:sSub>
            </m:den>
          </m:f>
          <m:r>
            <w:rPr>
              <w:rFonts w:ascii="Cambria Math" w:hAnsi="Cambria Math"/>
              <w:sz w:val="20"/>
            </w:rPr>
            <m:t>*</m:t>
          </m:r>
          <m:sSub>
            <m:sSubPr>
              <m:ctrlPr>
                <w:rPr>
                  <w:rFonts w:ascii="Cambria Math" w:hAnsi="Cambria Math"/>
                  <w:i/>
                  <w:sz w:val="20"/>
                </w:rPr>
              </m:ctrlPr>
            </m:sSubPr>
            <m:e>
              <m:r>
                <w:rPr>
                  <w:rFonts w:ascii="Cambria Math" w:hAnsi="Cambria Math"/>
                  <w:sz w:val="20"/>
                </w:rPr>
                <m:t>Savings</m:t>
              </m:r>
            </m:e>
            <m:sub>
              <m:r>
                <w:rPr>
                  <w:rFonts w:ascii="Cambria Math" w:hAnsi="Cambria Math"/>
                  <w:sz w:val="20"/>
                </w:rPr>
                <m:t>Gal</m:t>
              </m:r>
            </m:sub>
          </m:sSub>
        </m:oMath>
      </m:oMathPara>
    </w:p>
    <w:p w:rsidR="00523B88" w:rsidRPr="0023217E" w:rsidRDefault="00523B88" w:rsidP="00523B88">
      <w:r w:rsidRPr="0023217E">
        <w:t>Where:</w:t>
      </w:r>
    </w:p>
    <w:p w:rsidR="00523B88" w:rsidRPr="0023217E" w:rsidRDefault="002506E1" w:rsidP="002C0922">
      <w:pPr>
        <w:ind w:left="720"/>
      </w:pPr>
      <m:oMath>
        <m:sSub>
          <m:sSubPr>
            <m:ctrlPr>
              <w:rPr>
                <w:rFonts w:ascii="Cambria Math" w:hAnsi="Cambria Math"/>
                <w:i/>
              </w:rPr>
            </m:ctrlPr>
          </m:sSubPr>
          <m:e>
            <m:r>
              <w:rPr>
                <w:rFonts w:ascii="Cambria Math" w:hAnsi="Cambria Math"/>
              </w:rPr>
              <m:t>Flow</m:t>
            </m:r>
          </m:e>
          <m:sub>
            <m:r>
              <w:rPr>
                <w:rFonts w:ascii="Cambria Math" w:hAnsi="Cambria Math"/>
              </w:rPr>
              <m:t>Base</m:t>
            </m:r>
          </m:sub>
        </m:sSub>
      </m:oMath>
      <w:r w:rsidR="002953AD" w:rsidRPr="0023217E">
        <w:t xml:space="preserve"> </w:t>
      </w:r>
      <w:r w:rsidR="00523B88" w:rsidRPr="0023217E">
        <w:t>= The flow rate in gallons per minute of the base faucet (GPM)</w:t>
      </w:r>
    </w:p>
    <w:p w:rsidR="00523B88" w:rsidRPr="0023217E" w:rsidRDefault="002506E1" w:rsidP="002C0922">
      <w:pPr>
        <w:ind w:left="720"/>
      </w:pPr>
      <m:oMath>
        <m:sSub>
          <m:sSubPr>
            <m:ctrlPr>
              <w:rPr>
                <w:rFonts w:ascii="Cambria Math" w:hAnsi="Cambria Math"/>
                <w:i/>
              </w:rPr>
            </m:ctrlPr>
          </m:sSubPr>
          <m:e>
            <m:r>
              <w:rPr>
                <w:rFonts w:ascii="Cambria Math" w:hAnsi="Cambria Math"/>
              </w:rPr>
              <m:t>Flow</m:t>
            </m:r>
          </m:e>
          <m:sub>
            <m:r>
              <w:rPr>
                <w:rFonts w:ascii="Cambria Math" w:hAnsi="Cambria Math"/>
              </w:rPr>
              <m:t>EE</m:t>
            </m:r>
          </m:sub>
        </m:sSub>
        <m:r>
          <w:rPr>
            <w:rFonts w:ascii="Cambria Math" w:hAnsi="Cambria Math"/>
          </w:rPr>
          <m:t xml:space="preserve"> </m:t>
        </m:r>
      </m:oMath>
      <w:r w:rsidR="00523B88" w:rsidRPr="0023217E">
        <w:t>= The flow rate in gallons per minute of the faucet aerator (GPM)</w:t>
      </w:r>
    </w:p>
    <w:p w:rsidR="00523B88" w:rsidRPr="0023217E" w:rsidRDefault="00523B88" w:rsidP="00410C58">
      <w:r w:rsidRPr="0023217E">
        <w:rPr>
          <w:rFonts w:eastAsiaTheme="minorEastAsia"/>
        </w:rPr>
        <w:t>The PSD outlined flow rates of 2.2 gallons per minute and 1.5 gallons per minute</w:t>
      </w:r>
      <w:r w:rsidR="0030047B" w:rsidRPr="0023217E">
        <w:rPr>
          <w:rFonts w:eastAsiaTheme="minorEastAsia"/>
        </w:rPr>
        <w:t>—</w:t>
      </w:r>
      <w:r w:rsidRPr="0023217E">
        <w:rPr>
          <w:rFonts w:eastAsiaTheme="minorEastAsia"/>
        </w:rPr>
        <w:t>values also used in several sources identified for comparison.</w:t>
      </w:r>
    </w:p>
    <w:p w:rsidR="00523B88" w:rsidRPr="0023217E" w:rsidRDefault="002506E1" w:rsidP="0023217E">
      <w:pPr>
        <w:ind w:left="720"/>
      </w:pPr>
      <m:oMath>
        <m:sSub>
          <m:sSubPr>
            <m:ctrlPr>
              <w:rPr>
                <w:rFonts w:ascii="Cambria Math" w:hAnsi="Cambria Math"/>
                <w:i/>
              </w:rPr>
            </m:ctrlPr>
          </m:sSubPr>
          <m:e>
            <m:r>
              <w:rPr>
                <w:rFonts w:ascii="Cambria Math" w:hAnsi="Cambria Math"/>
              </w:rPr>
              <m:t>Time</m:t>
            </m:r>
          </m:e>
          <m:sub>
            <m:r>
              <w:rPr>
                <w:rFonts w:ascii="Cambria Math" w:hAnsi="Cambria Math"/>
              </w:rPr>
              <m:t xml:space="preserve">Fauc </m:t>
            </m:r>
          </m:sub>
        </m:sSub>
      </m:oMath>
      <w:r w:rsidR="00523B88" w:rsidRPr="0023217E">
        <w:t>= Average household faucet usage (Min)</w:t>
      </w:r>
    </w:p>
    <w:p w:rsidR="00523B88" w:rsidRPr="0023217E" w:rsidRDefault="00574907" w:rsidP="00410C58">
      <w:pPr>
        <w:rPr>
          <w:rFonts w:eastAsiaTheme="minorEastAsia"/>
        </w:rPr>
      </w:pPr>
      <w:r>
        <w:rPr>
          <w:rFonts w:eastAsiaTheme="minorEastAsia"/>
        </w:rPr>
        <w:t>The 2013 PSD</w:t>
      </w:r>
      <w:r w:rsidR="0023217E" w:rsidRPr="0023217E">
        <w:rPr>
          <w:rFonts w:eastAsiaTheme="minorEastAsia"/>
        </w:rPr>
        <w:t xml:space="preserve"> indicated </w:t>
      </w:r>
      <w:r w:rsidR="00523B88" w:rsidRPr="0023217E">
        <w:rPr>
          <w:rFonts w:eastAsiaTheme="minorEastAsia"/>
        </w:rPr>
        <w:t xml:space="preserve">average household faucet usage </w:t>
      </w:r>
      <w:r w:rsidR="0023217E" w:rsidRPr="0023217E">
        <w:rPr>
          <w:rFonts w:eastAsiaTheme="minorEastAsia"/>
        </w:rPr>
        <w:t xml:space="preserve">of </w:t>
      </w:r>
      <w:r w:rsidR="00523B88" w:rsidRPr="0023217E">
        <w:rPr>
          <w:rFonts w:eastAsiaTheme="minorEastAsia"/>
        </w:rPr>
        <w:t>26.5 minutes per day</w:t>
      </w:r>
      <w:r w:rsidR="0023217E" w:rsidRPr="0023217E">
        <w:rPr>
          <w:rFonts w:eastAsiaTheme="minorEastAsia"/>
        </w:rPr>
        <w:t xml:space="preserve">, a </w:t>
      </w:r>
      <w:r w:rsidR="00523B88" w:rsidRPr="0023217E">
        <w:rPr>
          <w:rFonts w:eastAsiaTheme="minorEastAsia"/>
        </w:rPr>
        <w:t xml:space="preserve">value comparable to other sources reviewed. </w:t>
      </w:r>
    </w:p>
    <w:p w:rsidR="00523B88" w:rsidRPr="0023217E" w:rsidRDefault="002506E1" w:rsidP="0023217E">
      <w:pPr>
        <w:ind w:left="720"/>
      </w:pPr>
      <m:oMath>
        <m:sSub>
          <m:sSubPr>
            <m:ctrlPr>
              <w:rPr>
                <w:rFonts w:ascii="Cambria Math" w:hAnsi="Cambria Math"/>
                <w:i/>
              </w:rPr>
            </m:ctrlPr>
          </m:sSubPr>
          <m:e>
            <m:r>
              <w:rPr>
                <w:rFonts w:ascii="Cambria Math" w:hAnsi="Cambria Math"/>
              </w:rPr>
              <m:t>Days</m:t>
            </m:r>
          </m:e>
          <m:sub>
            <m:r>
              <w:rPr>
                <w:rFonts w:ascii="Cambria Math" w:hAnsi="Cambria Math"/>
              </w:rPr>
              <m:t>Ye</m:t>
            </m:r>
            <m:r>
              <w:rPr>
                <w:rFonts w:ascii="Cambria Math" w:hAnsi="Cambria Math"/>
              </w:rPr>
              <m:t>ar</m:t>
            </m:r>
          </m:sub>
        </m:sSub>
      </m:oMath>
      <w:r w:rsidR="00523B88" w:rsidRPr="0023217E">
        <w:t xml:space="preserve"> = The number of days per year that faucets are used (Days)</w:t>
      </w:r>
    </w:p>
    <w:p w:rsidR="00523B88" w:rsidRPr="0023217E" w:rsidRDefault="00523B88" w:rsidP="00410C58">
      <w:pPr>
        <w:rPr>
          <w:rFonts w:eastAsiaTheme="minorEastAsia"/>
        </w:rPr>
      </w:pPr>
      <w:r w:rsidRPr="0023217E">
        <w:rPr>
          <w:rFonts w:eastAsiaTheme="minorEastAsia"/>
        </w:rPr>
        <w:t xml:space="preserve">The number of days per year </w:t>
      </w:r>
      <w:r w:rsidR="0023217E" w:rsidRPr="0023217E">
        <w:rPr>
          <w:rFonts w:eastAsiaTheme="minorEastAsia"/>
        </w:rPr>
        <w:t>were</w:t>
      </w:r>
      <w:r w:rsidRPr="0023217E">
        <w:rPr>
          <w:rFonts w:eastAsiaTheme="minorEastAsia"/>
        </w:rPr>
        <w:t xml:space="preserve"> assumed to be 365 for this calculation.</w:t>
      </w:r>
    </w:p>
    <w:p w:rsidR="00523B88" w:rsidRPr="0023217E" w:rsidRDefault="002506E1" w:rsidP="0023217E">
      <w:pPr>
        <w:ind w:left="720"/>
        <w:rPr>
          <w:rFonts w:eastAsiaTheme="minorEastAsia"/>
        </w:rPr>
      </w:pP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g</m:t>
            </m:r>
          </m:sub>
        </m:sSub>
      </m:oMath>
      <w:r w:rsidR="00523B88" w:rsidRPr="0023217E">
        <w:rPr>
          <w:rFonts w:eastAsiaTheme="minorEastAsia"/>
        </w:rPr>
        <w:t>= Ratio to adjust usage for a cooler climate</w:t>
      </w:r>
    </w:p>
    <w:p w:rsidR="00523B88" w:rsidRPr="0023217E" w:rsidRDefault="00523B88" w:rsidP="00410C58">
      <w:pPr>
        <w:rPr>
          <w:rFonts w:eastAsiaTheme="minorEastAsia"/>
        </w:rPr>
      </w:pPr>
      <w:r w:rsidRPr="0023217E">
        <w:rPr>
          <w:rFonts w:eastAsiaTheme="minorEastAsia"/>
        </w:rPr>
        <w:t xml:space="preserve">The case study </w:t>
      </w:r>
      <w:r w:rsidR="0023217E" w:rsidRPr="0023217E">
        <w:rPr>
          <w:rFonts w:eastAsiaTheme="minorEastAsia"/>
        </w:rPr>
        <w:t xml:space="preserve">PSD </w:t>
      </w:r>
      <w:r w:rsidRPr="0023217E">
        <w:rPr>
          <w:rFonts w:eastAsiaTheme="minorEastAsia"/>
        </w:rPr>
        <w:t xml:space="preserve">used to estimate water usage </w:t>
      </w:r>
      <w:r w:rsidR="0023217E" w:rsidRPr="0023217E">
        <w:rPr>
          <w:rFonts w:eastAsiaTheme="minorEastAsia"/>
        </w:rPr>
        <w:t xml:space="preserve">indicated </w:t>
      </w:r>
      <w:r w:rsidRPr="0023217E">
        <w:rPr>
          <w:rFonts w:eastAsiaTheme="minorEastAsia"/>
        </w:rPr>
        <w:t xml:space="preserve">a difference in water usage for northern sites </w:t>
      </w:r>
      <w:r w:rsidR="00AA3848">
        <w:rPr>
          <w:rFonts w:eastAsiaTheme="minorEastAsia"/>
        </w:rPr>
        <w:t>than for</w:t>
      </w:r>
      <w:r w:rsidRPr="0023217E">
        <w:rPr>
          <w:rFonts w:eastAsiaTheme="minorEastAsia"/>
        </w:rPr>
        <w:t xml:space="preserve"> southern sites.</w:t>
      </w:r>
      <w:r w:rsidR="002953AD" w:rsidRPr="0023217E">
        <w:rPr>
          <w:rFonts w:eastAsiaTheme="minorEastAsia"/>
        </w:rPr>
        <w:t xml:space="preserve"> </w:t>
      </w:r>
      <w:r w:rsidR="0023217E" w:rsidRPr="0023217E">
        <w:rPr>
          <w:rFonts w:eastAsiaTheme="minorEastAsia"/>
        </w:rPr>
        <w:t xml:space="preserve">A </w:t>
      </w:r>
      <w:r w:rsidRPr="0023217E">
        <w:rPr>
          <w:rFonts w:eastAsiaTheme="minorEastAsia"/>
        </w:rPr>
        <w:t xml:space="preserve">0.9344 </w:t>
      </w:r>
      <w:r w:rsidR="0023217E" w:rsidRPr="0023217E">
        <w:rPr>
          <w:rFonts w:eastAsiaTheme="minorEastAsia"/>
        </w:rPr>
        <w:t xml:space="preserve">value was </w:t>
      </w:r>
      <w:r w:rsidRPr="0023217E">
        <w:rPr>
          <w:rFonts w:eastAsiaTheme="minorEastAsia"/>
        </w:rPr>
        <w:t>used to adjust water usage for Connecticut.</w:t>
      </w:r>
    </w:p>
    <w:p w:rsidR="00523B88" w:rsidRPr="0023217E" w:rsidRDefault="00523B88" w:rsidP="00C25C4C">
      <w:pPr>
        <w:autoSpaceDE w:val="0"/>
        <w:autoSpaceDN w:val="0"/>
        <w:adjustRightInd w:val="0"/>
        <w:ind w:left="720"/>
      </w:pPr>
      <m:oMath>
        <m:r>
          <w:rPr>
            <w:rFonts w:ascii="Cambria Math" w:hAnsi="Cambria Math"/>
          </w:rPr>
          <m:t>%Flow</m:t>
        </m:r>
      </m:oMath>
      <w:r w:rsidRPr="0023217E">
        <w:t xml:space="preserve"> = Percentage of water flowing down </w:t>
      </w:r>
      <w:r w:rsidR="0023217E">
        <w:t xml:space="preserve">a </w:t>
      </w:r>
      <w:r w:rsidRPr="0023217E">
        <w:t>drain (if water is collected in a sink, a faucet aerator will not result in saved water) (%)</w:t>
      </w:r>
    </w:p>
    <w:p w:rsidR="00523B88" w:rsidRPr="0023217E" w:rsidRDefault="00523B88" w:rsidP="00410C58">
      <w:r>
        <w:rPr>
          <w:rFonts w:eastAsiaTheme="minorEastAsia"/>
        </w:rPr>
        <w:t xml:space="preserve">Several resources reviewed used a de-rating factor to account for water usage not </w:t>
      </w:r>
      <w:r w:rsidR="0023217E">
        <w:rPr>
          <w:rFonts w:eastAsiaTheme="minorEastAsia"/>
        </w:rPr>
        <w:t xml:space="preserve">affected </w:t>
      </w:r>
      <w:r>
        <w:rPr>
          <w:rFonts w:eastAsiaTheme="minorEastAsia"/>
        </w:rPr>
        <w:t>by installation of a faucet aerator.</w:t>
      </w:r>
      <w:r w:rsidR="002953AD">
        <w:rPr>
          <w:rFonts w:eastAsiaTheme="minorEastAsia"/>
        </w:rPr>
        <w:t xml:space="preserve"> </w:t>
      </w:r>
      <w:r>
        <w:rPr>
          <w:rFonts w:eastAsiaTheme="minorEastAsia"/>
        </w:rPr>
        <w:t>This usage occurs when the end</w:t>
      </w:r>
      <w:r w:rsidR="00F6139F">
        <w:rPr>
          <w:rFonts w:eastAsiaTheme="minorEastAsia"/>
        </w:rPr>
        <w:t xml:space="preserve"> </w:t>
      </w:r>
      <w:r>
        <w:rPr>
          <w:rFonts w:eastAsiaTheme="minorEastAsia"/>
        </w:rPr>
        <w:t xml:space="preserve">user </w:t>
      </w:r>
      <w:r w:rsidR="0023217E">
        <w:rPr>
          <w:rFonts w:eastAsiaTheme="minorEastAsia"/>
        </w:rPr>
        <w:t>seeks a</w:t>
      </w:r>
      <w:r>
        <w:rPr>
          <w:rFonts w:eastAsiaTheme="minorEastAsia"/>
        </w:rPr>
        <w:t xml:space="preserve"> certain volume of water rather than use of flowing water.</w:t>
      </w:r>
      <w:r w:rsidR="002953AD">
        <w:rPr>
          <w:rFonts w:eastAsiaTheme="minorEastAsia"/>
        </w:rPr>
        <w:t xml:space="preserve"> </w:t>
      </w:r>
      <w:r w:rsidR="0023217E">
        <w:rPr>
          <w:rFonts w:eastAsiaTheme="minorEastAsia"/>
        </w:rPr>
        <w:t xml:space="preserve">Such </w:t>
      </w:r>
      <w:r>
        <w:rPr>
          <w:rFonts w:eastAsiaTheme="minorEastAsia"/>
        </w:rPr>
        <w:t xml:space="preserve">users are not necessarily concerned with time, but rather </w:t>
      </w:r>
      <w:r w:rsidR="0023217E">
        <w:rPr>
          <w:rFonts w:eastAsiaTheme="minorEastAsia"/>
        </w:rPr>
        <w:t xml:space="preserve">with </w:t>
      </w:r>
      <w:r>
        <w:rPr>
          <w:rFonts w:eastAsiaTheme="minorEastAsia"/>
        </w:rPr>
        <w:t>an amount of water</w:t>
      </w:r>
      <w:r w:rsidR="0023217E">
        <w:rPr>
          <w:rFonts w:eastAsiaTheme="minorEastAsia"/>
        </w:rPr>
        <w:t>;</w:t>
      </w:r>
      <w:r>
        <w:rPr>
          <w:rFonts w:eastAsiaTheme="minorEastAsia"/>
        </w:rPr>
        <w:t xml:space="preserve"> so the aerator </w:t>
      </w:r>
      <w:r w:rsidR="0023217E">
        <w:rPr>
          <w:rFonts w:eastAsiaTheme="minorEastAsia"/>
        </w:rPr>
        <w:t xml:space="preserve">does not affect </w:t>
      </w:r>
      <w:r>
        <w:rPr>
          <w:rFonts w:eastAsiaTheme="minorEastAsia"/>
        </w:rPr>
        <w:t xml:space="preserve">water consumption, only the time </w:t>
      </w:r>
      <w:r w:rsidR="00F6139F">
        <w:rPr>
          <w:rFonts w:eastAsiaTheme="minorEastAsia"/>
        </w:rPr>
        <w:t xml:space="preserve">required </w:t>
      </w:r>
      <w:r>
        <w:rPr>
          <w:rFonts w:eastAsiaTheme="minorEastAsia"/>
        </w:rPr>
        <w:t xml:space="preserve">to produce a given </w:t>
      </w:r>
      <w:r w:rsidR="0023217E">
        <w:rPr>
          <w:rFonts w:eastAsiaTheme="minorEastAsia"/>
        </w:rPr>
        <w:t xml:space="preserve">water </w:t>
      </w:r>
      <w:r>
        <w:rPr>
          <w:rFonts w:eastAsiaTheme="minorEastAsia"/>
        </w:rPr>
        <w:t>quantity.</w:t>
      </w:r>
      <w:r w:rsidR="0023217E">
        <w:rPr>
          <w:rFonts w:eastAsiaTheme="minorEastAsia"/>
        </w:rPr>
        <w:t xml:space="preserve"> </w:t>
      </w:r>
      <w:r>
        <w:rPr>
          <w:rFonts w:eastAsiaTheme="minorEastAsia"/>
        </w:rPr>
        <w:t xml:space="preserve">The </w:t>
      </w:r>
      <w:r w:rsidR="00666EA8">
        <w:rPr>
          <w:rFonts w:eastAsiaTheme="minorEastAsia"/>
        </w:rPr>
        <w:t>Evaluation</w:t>
      </w:r>
      <w:r>
        <w:rPr>
          <w:rFonts w:eastAsiaTheme="minorEastAsia"/>
        </w:rPr>
        <w:t xml:space="preserve"> Team agrees </w:t>
      </w:r>
      <w:r w:rsidRPr="0023217E">
        <w:rPr>
          <w:rFonts w:eastAsiaTheme="minorEastAsia"/>
        </w:rPr>
        <w:t xml:space="preserve">with </w:t>
      </w:r>
      <w:r w:rsidR="00F6139F">
        <w:rPr>
          <w:rFonts w:eastAsiaTheme="minorEastAsia"/>
        </w:rPr>
        <w:t>this</w:t>
      </w:r>
      <w:r w:rsidRPr="0023217E">
        <w:rPr>
          <w:rFonts w:eastAsiaTheme="minorEastAsia"/>
        </w:rPr>
        <w:t xml:space="preserve"> concept, and accepts the 79.5% </w:t>
      </w:r>
      <w:r w:rsidR="0023217E" w:rsidRPr="0023217E">
        <w:rPr>
          <w:rFonts w:eastAsiaTheme="minorEastAsia"/>
        </w:rPr>
        <w:t xml:space="preserve">value </w:t>
      </w:r>
      <w:r w:rsidRPr="0023217E">
        <w:rPr>
          <w:rFonts w:eastAsiaTheme="minorEastAsia"/>
        </w:rPr>
        <w:t>used by Pennsylvania and Illinois</w:t>
      </w:r>
      <w:r w:rsidR="00F46CDD">
        <w:rPr>
          <w:rFonts w:eastAsiaTheme="minorEastAsia"/>
        </w:rPr>
        <w:t>, pending further research to refine this estimate</w:t>
      </w:r>
      <w:r w:rsidRPr="0023217E">
        <w:rPr>
          <w:rFonts w:eastAsiaTheme="minorEastAsia"/>
        </w:rPr>
        <w:t xml:space="preserve">. </w:t>
      </w:r>
    </w:p>
    <w:p w:rsidR="00523B88" w:rsidRPr="0023217E" w:rsidRDefault="002506E1" w:rsidP="0023217E">
      <w:pPr>
        <w:ind w:left="720"/>
      </w:pPr>
      <m:oMath>
        <m:sSub>
          <m:sSubPr>
            <m:ctrlPr>
              <w:rPr>
                <w:rFonts w:ascii="Cambria Math" w:hAnsi="Cambria Math"/>
                <w:i/>
              </w:rPr>
            </m:ctrlPr>
          </m:sSubPr>
          <m:e>
            <m:r>
              <w:rPr>
                <w:rFonts w:ascii="Cambria Math" w:hAnsi="Cambria Math"/>
              </w:rPr>
              <m:t>Fauc</m:t>
            </m:r>
          </m:e>
          <m:sub>
            <m:r>
              <w:rPr>
                <w:rFonts w:ascii="Cambria Math" w:hAnsi="Cambria Math"/>
              </w:rPr>
              <m:t>House</m:t>
            </m:r>
          </m:sub>
        </m:sSub>
      </m:oMath>
      <w:r w:rsidR="00523B88" w:rsidRPr="0023217E">
        <w:t xml:space="preserve"> = The number of faucets per house (Faucets)</w:t>
      </w:r>
    </w:p>
    <w:p w:rsidR="00523B88" w:rsidRPr="0023217E" w:rsidRDefault="00523B88" w:rsidP="00410C58">
      <w:pPr>
        <w:rPr>
          <w:rFonts w:eastAsiaTheme="minorEastAsia"/>
        </w:rPr>
      </w:pPr>
      <w:r w:rsidRPr="0023217E">
        <w:rPr>
          <w:rFonts w:eastAsiaTheme="minorEastAsia"/>
        </w:rPr>
        <w:t>The average number of faucets per home, including kitchens and bathrooms</w:t>
      </w:r>
      <w:r w:rsidR="00F6139F">
        <w:rPr>
          <w:rFonts w:eastAsiaTheme="minorEastAsia"/>
        </w:rPr>
        <w:t xml:space="preserve">, was determined </w:t>
      </w:r>
      <w:r w:rsidRPr="0023217E">
        <w:rPr>
          <w:rFonts w:eastAsiaTheme="minorEastAsia"/>
        </w:rPr>
        <w:t xml:space="preserve">to be </w:t>
      </w:r>
      <w:r w:rsidR="00F6139F">
        <w:rPr>
          <w:rFonts w:eastAsiaTheme="minorEastAsia"/>
        </w:rPr>
        <w:br/>
      </w:r>
      <w:r w:rsidRPr="0023217E">
        <w:rPr>
          <w:rFonts w:eastAsiaTheme="minorEastAsia"/>
        </w:rPr>
        <w:t>5.1 faucets.</w:t>
      </w:r>
      <w:r w:rsidR="002953AD" w:rsidRPr="0023217E">
        <w:rPr>
          <w:rFonts w:eastAsiaTheme="minorEastAsia"/>
        </w:rPr>
        <w:t xml:space="preserve"> </w:t>
      </w:r>
    </w:p>
    <w:p w:rsidR="00523B88" w:rsidRPr="0023217E" w:rsidRDefault="002506E1" w:rsidP="001A49FC">
      <w:pPr>
        <w:ind w:left="720"/>
      </w:pPr>
      <m:oMath>
        <m:sSub>
          <m:sSubPr>
            <m:ctrlPr>
              <w:rPr>
                <w:rFonts w:ascii="Cambria Math" w:hAnsi="Cambria Math"/>
                <w:i/>
              </w:rPr>
            </m:ctrlPr>
          </m:sSubPr>
          <m:e>
            <m:r>
              <w:rPr>
                <w:rFonts w:ascii="Cambria Math" w:hAnsi="Cambria Math"/>
              </w:rPr>
              <m:t>Savings</m:t>
            </m:r>
          </m:e>
          <m:sub>
            <m:r>
              <w:rPr>
                <w:rFonts w:ascii="Cambria Math" w:hAnsi="Cambria Math"/>
              </w:rPr>
              <m:t>Gal</m:t>
            </m:r>
          </m:sub>
        </m:sSub>
      </m:oMath>
      <w:r w:rsidR="00523B88" w:rsidRPr="0023217E">
        <w:t xml:space="preserve"> = The energy savings in kWh per gallon of water flow reduced (kWh/Gal)</w:t>
      </w:r>
    </w:p>
    <w:p w:rsidR="00523B88" w:rsidRDefault="00523B88" w:rsidP="001A49FC">
      <w:pPr>
        <w:rPr>
          <w:rFonts w:eastAsiaTheme="minorEastAsia"/>
        </w:rPr>
      </w:pPr>
      <w:r>
        <w:rPr>
          <w:rFonts w:eastAsiaTheme="minorEastAsia"/>
        </w:rPr>
        <w:t xml:space="preserve">The </w:t>
      </w:r>
      <w:r w:rsidR="00666EA8">
        <w:rPr>
          <w:rFonts w:eastAsiaTheme="minorEastAsia"/>
        </w:rPr>
        <w:t>Evaluation Team</w:t>
      </w:r>
      <w:r>
        <w:rPr>
          <w:rFonts w:eastAsiaTheme="minorEastAsia"/>
        </w:rPr>
        <w:t xml:space="preserve"> arrived at 0.06206 kWh per gallon </w:t>
      </w:r>
      <w:r w:rsidR="001A49FC">
        <w:rPr>
          <w:rFonts w:eastAsiaTheme="minorEastAsia"/>
        </w:rPr>
        <w:t xml:space="preserve">using </w:t>
      </w:r>
      <w:r>
        <w:rPr>
          <w:rFonts w:eastAsiaTheme="minorEastAsia"/>
        </w:rPr>
        <w:t>the following equation</w:t>
      </w:r>
      <w:r w:rsidR="001A49FC">
        <w:rPr>
          <w:rFonts w:eastAsiaTheme="minorEastAsia"/>
        </w:rPr>
        <w:t>:</w:t>
      </w:r>
    </w:p>
    <w:p w:rsidR="00523B88" w:rsidRDefault="00523B88" w:rsidP="002C0922">
      <w:pPr>
        <w:jc w:val="center"/>
        <w:rPr>
          <w:rFonts w:eastAsiaTheme="minorEastAsia"/>
        </w:rPr>
      </w:pPr>
      <m:oMathPara>
        <m:oMath>
          <m:r>
            <w:rPr>
              <w:rFonts w:ascii="Cambria Math" w:eastAsiaTheme="minorEastAsia" w:hAnsi="Cambria Math"/>
            </w:rPr>
            <w:lastRenderedPageBreak/>
            <m:t>8.3</m:t>
          </m:r>
          <m:f>
            <m:fPr>
              <m:ctrlPr>
                <w:rPr>
                  <w:rFonts w:ascii="Cambria Math" w:eastAsiaTheme="minorEastAsia" w:hAnsi="Cambria Math"/>
                  <w:i/>
                </w:rPr>
              </m:ctrlPr>
            </m:fPr>
            <m:num>
              <m:r>
                <w:rPr>
                  <w:rFonts w:ascii="Cambria Math" w:eastAsiaTheme="minorEastAsia" w:hAnsi="Cambria Math"/>
                </w:rPr>
                <m:t>lb</m:t>
              </m:r>
            </m:num>
            <m:den>
              <m:r>
                <w:rPr>
                  <w:rFonts w:ascii="Cambria Math" w:eastAsiaTheme="minorEastAsia" w:hAnsi="Cambria Math"/>
                </w:rPr>
                <m:t>gal</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Temp</m:t>
                  </m:r>
                </m:e>
                <m:sub>
                  <m:r>
                    <w:rPr>
                      <w:rFonts w:ascii="Cambria Math" w:eastAsiaTheme="minorEastAsia" w:hAnsi="Cambria Math"/>
                    </w:rPr>
                    <m:t>Fauc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Temp</m:t>
                  </m:r>
                </m:e>
                <m:sub>
                  <m:r>
                    <w:rPr>
                      <w:rFonts w:ascii="Cambria Math" w:eastAsiaTheme="minorEastAsia" w:hAnsi="Cambria Math"/>
                    </w:rPr>
                    <m:t>Entrance</m:t>
                  </m:r>
                </m:sub>
              </m:sSub>
              <m:r>
                <w:rPr>
                  <w:rFonts w:ascii="Cambria Math" w:eastAsiaTheme="minorEastAsia" w:hAnsi="Cambria Math"/>
                </w:rPr>
                <m:t>)</m:t>
              </m:r>
            </m:num>
            <m:den>
              <m:sSub>
                <m:sSubPr>
                  <m:ctrlPr>
                    <w:rPr>
                      <w:rFonts w:ascii="Cambria Math" w:eastAsiaTheme="minorEastAsia" w:hAnsi="Cambria Math"/>
                      <w:i/>
                    </w:rPr>
                  </m:ctrlPr>
                </m:sSubPr>
                <m:e>
                  <m:r>
                    <w:rPr>
                      <w:rFonts w:ascii="Cambria Math" w:eastAsiaTheme="minorEastAsia" w:hAnsi="Cambria Math"/>
                    </w:rPr>
                    <m:t>WH</m:t>
                  </m:r>
                </m:e>
                <m:sub>
                  <m:r>
                    <w:rPr>
                      <w:rFonts w:ascii="Cambria Math" w:eastAsiaTheme="minorEastAsia" w:hAnsi="Cambria Math"/>
                    </w:rPr>
                    <m:t>Eff</m:t>
                  </m:r>
                </m:sub>
              </m:sSub>
              <m:r>
                <w:rPr>
                  <w:rFonts w:ascii="Cambria Math" w:eastAsiaTheme="minorEastAsia" w:hAnsi="Cambria Math"/>
                </w:rPr>
                <m:t>*1000000*0.003412 kWh/MMBtu</m:t>
              </m:r>
            </m:den>
          </m:f>
          <m:r>
            <w:rPr>
              <w:rFonts w:ascii="Cambria Math" w:eastAsiaTheme="minorEastAsia" w:hAnsi="Cambria Math"/>
            </w:rPr>
            <m:t>=</m:t>
          </m:r>
          <m:r>
            <m:rPr>
              <m:sty m:val="p"/>
            </m:rPr>
            <w:rPr>
              <w:rFonts w:ascii="Cambria Math" w:eastAsiaTheme="minorEastAsia" w:hAnsi="Cambria Math"/>
            </w:rPr>
            <m:t>0.06206 kWh/Gal</m:t>
          </m:r>
        </m:oMath>
      </m:oMathPara>
    </w:p>
    <w:p w:rsidR="00523B88" w:rsidRDefault="00523B88" w:rsidP="00523B88">
      <w:pPr>
        <w:rPr>
          <w:rFonts w:eastAsiaTheme="minorEastAsia"/>
        </w:rPr>
      </w:pPr>
      <w:r>
        <w:rPr>
          <w:rFonts w:eastAsiaTheme="minorEastAsia"/>
        </w:rPr>
        <w:t>Where:</w:t>
      </w:r>
    </w:p>
    <w:p w:rsidR="00523B88" w:rsidRDefault="002506E1" w:rsidP="002C0922">
      <w:pPr>
        <w:ind w:left="720"/>
        <w:rPr>
          <w:rFonts w:eastAsiaTheme="minorEastAsia"/>
        </w:rPr>
      </w:pPr>
      <m:oMath>
        <m:sSub>
          <m:sSubPr>
            <m:ctrlPr>
              <w:rPr>
                <w:rFonts w:ascii="Cambria Math" w:eastAsiaTheme="minorEastAsia" w:hAnsi="Cambria Math"/>
                <w:i/>
              </w:rPr>
            </m:ctrlPr>
          </m:sSubPr>
          <m:e>
            <m:r>
              <w:rPr>
                <w:rFonts w:ascii="Cambria Math" w:eastAsiaTheme="minorEastAsia" w:hAnsi="Cambria Math"/>
              </w:rPr>
              <m:t>Temp</m:t>
            </m:r>
          </m:e>
          <m:sub>
            <m:r>
              <w:rPr>
                <w:rFonts w:ascii="Cambria Math" w:eastAsiaTheme="minorEastAsia" w:hAnsi="Cambria Math"/>
              </w:rPr>
              <m:t>Fauc</m:t>
            </m:r>
          </m:sub>
        </m:sSub>
      </m:oMath>
      <w:r w:rsidR="00523B88">
        <w:rPr>
          <w:rFonts w:eastAsiaTheme="minorEastAsia"/>
        </w:rPr>
        <w:t xml:space="preserve"> = The temperature of water at the exit of the faucet (°F)</w:t>
      </w:r>
    </w:p>
    <w:p w:rsidR="00523B88" w:rsidRDefault="002506E1" w:rsidP="002C0922">
      <w:pPr>
        <w:ind w:left="720"/>
        <w:rPr>
          <w:rFonts w:eastAsiaTheme="minorEastAsia"/>
        </w:rPr>
      </w:pPr>
      <m:oMath>
        <m:sSub>
          <m:sSubPr>
            <m:ctrlPr>
              <w:rPr>
                <w:rFonts w:ascii="Cambria Math" w:eastAsiaTheme="minorEastAsia" w:hAnsi="Cambria Math"/>
                <w:i/>
              </w:rPr>
            </m:ctrlPr>
          </m:sSubPr>
          <m:e>
            <m:r>
              <w:rPr>
                <w:rFonts w:ascii="Cambria Math" w:eastAsiaTheme="minorEastAsia" w:hAnsi="Cambria Math"/>
              </w:rPr>
              <m:t>Temp</m:t>
            </m:r>
          </m:e>
          <m:sub>
            <m:r>
              <w:rPr>
                <w:rFonts w:ascii="Cambria Math" w:eastAsiaTheme="minorEastAsia" w:hAnsi="Cambria Math"/>
              </w:rPr>
              <m:t>Entrance</m:t>
            </m:r>
          </m:sub>
        </m:sSub>
      </m:oMath>
      <w:r w:rsidR="00523B88">
        <w:rPr>
          <w:rFonts w:eastAsiaTheme="minorEastAsia"/>
        </w:rPr>
        <w:t xml:space="preserve"> = The temperature of water entering the home (°F)</w:t>
      </w:r>
    </w:p>
    <w:p w:rsidR="00523B88" w:rsidRDefault="00523B88" w:rsidP="00410C58">
      <w:pPr>
        <w:rPr>
          <w:rFonts w:eastAsiaTheme="minorEastAsia"/>
        </w:rPr>
      </w:pPr>
      <w:r>
        <w:rPr>
          <w:rFonts w:eastAsiaTheme="minorEastAsia"/>
        </w:rPr>
        <w:t>Values of 80 and 55, respectively, were chosen</w:t>
      </w:r>
      <w:r w:rsidR="001A49FC">
        <w:rPr>
          <w:rFonts w:eastAsiaTheme="minorEastAsia"/>
        </w:rPr>
        <w:t>,</w:t>
      </w:r>
      <w:r>
        <w:rPr>
          <w:rFonts w:eastAsiaTheme="minorEastAsia"/>
        </w:rPr>
        <w:t xml:space="preserve"> as outlined in the PSD and </w:t>
      </w:r>
      <w:r w:rsidR="001A49FC">
        <w:rPr>
          <w:rFonts w:eastAsiaTheme="minorEastAsia"/>
        </w:rPr>
        <w:t xml:space="preserve">offering </w:t>
      </w:r>
      <w:r>
        <w:rPr>
          <w:rFonts w:eastAsiaTheme="minorEastAsia"/>
        </w:rPr>
        <w:t>the most predominantly used values.</w:t>
      </w:r>
      <w:r w:rsidR="002953AD">
        <w:rPr>
          <w:rFonts w:eastAsiaTheme="minorEastAsia"/>
        </w:rPr>
        <w:t xml:space="preserve"> </w:t>
      </w:r>
      <w:r>
        <w:rPr>
          <w:rFonts w:eastAsiaTheme="minorEastAsia"/>
        </w:rPr>
        <w:t>Furthermore, these values provide</w:t>
      </w:r>
      <w:r w:rsidR="001A49FC">
        <w:rPr>
          <w:rFonts w:eastAsiaTheme="minorEastAsia"/>
        </w:rPr>
        <w:t>d</w:t>
      </w:r>
      <w:r>
        <w:rPr>
          <w:rFonts w:eastAsiaTheme="minorEastAsia"/>
        </w:rPr>
        <w:t xml:space="preserve"> a more conservative estimate of water savings, compared to the other sources with higher faucet temperature</w:t>
      </w:r>
      <w:r w:rsidR="001A49FC">
        <w:rPr>
          <w:rFonts w:eastAsiaTheme="minorEastAsia"/>
        </w:rPr>
        <w:t>s</w:t>
      </w:r>
      <w:r>
        <w:rPr>
          <w:rFonts w:eastAsiaTheme="minorEastAsia"/>
        </w:rPr>
        <w:t xml:space="preserve"> or lower entering temperature</w:t>
      </w:r>
      <w:r w:rsidR="001A49FC">
        <w:rPr>
          <w:rFonts w:eastAsiaTheme="minorEastAsia"/>
        </w:rPr>
        <w:t>s</w:t>
      </w:r>
      <w:r>
        <w:rPr>
          <w:rFonts w:eastAsiaTheme="minorEastAsia"/>
        </w:rPr>
        <w:t>.</w:t>
      </w:r>
    </w:p>
    <w:p w:rsidR="00523B88" w:rsidRDefault="002506E1" w:rsidP="002C0922">
      <w:pPr>
        <w:ind w:left="720"/>
        <w:rPr>
          <w:rFonts w:eastAsiaTheme="minorEastAsia"/>
        </w:rPr>
      </w:pPr>
      <m:oMath>
        <m:sSub>
          <m:sSubPr>
            <m:ctrlPr>
              <w:rPr>
                <w:rFonts w:ascii="Cambria Math" w:eastAsiaTheme="minorEastAsia" w:hAnsi="Cambria Math"/>
                <w:i/>
              </w:rPr>
            </m:ctrlPr>
          </m:sSubPr>
          <m:e>
            <m:r>
              <w:rPr>
                <w:rFonts w:ascii="Cambria Math" w:eastAsiaTheme="minorEastAsia" w:hAnsi="Cambria Math"/>
              </w:rPr>
              <m:t>WH</m:t>
            </m:r>
          </m:e>
          <m:sub>
            <m:r>
              <w:rPr>
                <w:rFonts w:ascii="Cambria Math" w:eastAsiaTheme="minorEastAsia" w:hAnsi="Cambria Math"/>
              </w:rPr>
              <m:t>E</m:t>
            </m:r>
            <m:r>
              <w:rPr>
                <w:rFonts w:ascii="Cambria Math" w:eastAsiaTheme="minorEastAsia" w:hAnsi="Cambria Math"/>
              </w:rPr>
              <m:t>ff</m:t>
            </m:r>
          </m:sub>
        </m:sSub>
      </m:oMath>
      <w:r w:rsidR="00523B88">
        <w:rPr>
          <w:rFonts w:eastAsiaTheme="minorEastAsia"/>
        </w:rPr>
        <w:t xml:space="preserve"> = The recovery efficiency of the electric water heater (%)</w:t>
      </w:r>
    </w:p>
    <w:p w:rsidR="00523B88" w:rsidRDefault="001A49FC" w:rsidP="00410C58">
      <w:pPr>
        <w:rPr>
          <w:rFonts w:eastAsiaTheme="minorEastAsia"/>
        </w:rPr>
      </w:pPr>
      <w:r>
        <w:rPr>
          <w:rFonts w:eastAsiaTheme="minorEastAsia"/>
        </w:rPr>
        <w:t>T</w:t>
      </w:r>
      <w:r w:rsidR="00523B88">
        <w:rPr>
          <w:rFonts w:eastAsiaTheme="minorEastAsia"/>
        </w:rPr>
        <w:t xml:space="preserve">he efficiency used in the </w:t>
      </w:r>
      <w:r>
        <w:rPr>
          <w:rFonts w:eastAsiaTheme="minorEastAsia"/>
        </w:rPr>
        <w:t>PSD</w:t>
      </w:r>
      <w:r w:rsidR="00523B88">
        <w:rPr>
          <w:rFonts w:eastAsiaTheme="minorEastAsia"/>
        </w:rPr>
        <w:t xml:space="preserve"> </w:t>
      </w:r>
      <w:r>
        <w:rPr>
          <w:rFonts w:eastAsiaTheme="minorEastAsia"/>
        </w:rPr>
        <w:t xml:space="preserve">equals </w:t>
      </w:r>
      <w:r w:rsidR="00523B88">
        <w:rPr>
          <w:rFonts w:eastAsiaTheme="minorEastAsia"/>
        </w:rPr>
        <w:t xml:space="preserve">the </w:t>
      </w:r>
      <w:r>
        <w:rPr>
          <w:rFonts w:eastAsiaTheme="minorEastAsia"/>
        </w:rPr>
        <w:t xml:space="preserve">water heater’s </w:t>
      </w:r>
      <w:r w:rsidR="00523B88">
        <w:rPr>
          <w:rFonts w:eastAsiaTheme="minorEastAsia"/>
        </w:rPr>
        <w:t>energy factor.</w:t>
      </w:r>
      <w:r w:rsidR="002953AD">
        <w:rPr>
          <w:rFonts w:eastAsiaTheme="minorEastAsia"/>
        </w:rPr>
        <w:t xml:space="preserve"> </w:t>
      </w:r>
      <w:r w:rsidR="00523B88">
        <w:rPr>
          <w:rFonts w:eastAsiaTheme="minorEastAsia"/>
        </w:rPr>
        <w:t>The energy factor represents the efficiency of heating and storing water</w:t>
      </w:r>
      <w:r>
        <w:rPr>
          <w:rFonts w:eastAsiaTheme="minorEastAsia"/>
        </w:rPr>
        <w:t>;</w:t>
      </w:r>
      <w:r w:rsidR="00523B88">
        <w:rPr>
          <w:rFonts w:eastAsiaTheme="minorEastAsia"/>
        </w:rPr>
        <w:t xml:space="preserve"> however</w:t>
      </w:r>
      <w:r>
        <w:rPr>
          <w:rFonts w:eastAsiaTheme="minorEastAsia"/>
        </w:rPr>
        <w:t>,</w:t>
      </w:r>
      <w:r w:rsidR="00523B88">
        <w:rPr>
          <w:rFonts w:eastAsiaTheme="minorEastAsia"/>
        </w:rPr>
        <w:t xml:space="preserve"> the energy savings calculation for low-flow aerators should not consider water heater standby losses.</w:t>
      </w:r>
      <w:r w:rsidR="002953AD">
        <w:rPr>
          <w:rFonts w:eastAsiaTheme="minorEastAsia"/>
        </w:rPr>
        <w:t xml:space="preserve"> </w:t>
      </w:r>
      <w:r>
        <w:rPr>
          <w:rFonts w:eastAsiaTheme="minorEastAsia"/>
        </w:rPr>
        <w:t xml:space="preserve">Consequently, </w:t>
      </w:r>
      <w:r w:rsidR="00523B88">
        <w:rPr>
          <w:rFonts w:eastAsiaTheme="minorEastAsia"/>
        </w:rPr>
        <w:t xml:space="preserve">the </w:t>
      </w:r>
      <w:r w:rsidR="00666EA8">
        <w:rPr>
          <w:rFonts w:eastAsiaTheme="minorEastAsia"/>
        </w:rPr>
        <w:t>E</w:t>
      </w:r>
      <w:r w:rsidR="00523B88">
        <w:rPr>
          <w:rFonts w:eastAsiaTheme="minorEastAsia"/>
        </w:rPr>
        <w:t xml:space="preserve">valuation </w:t>
      </w:r>
      <w:r w:rsidR="00666EA8">
        <w:rPr>
          <w:rFonts w:eastAsiaTheme="minorEastAsia"/>
        </w:rPr>
        <w:t>T</w:t>
      </w:r>
      <w:r w:rsidR="00523B88">
        <w:rPr>
          <w:rFonts w:eastAsiaTheme="minorEastAsia"/>
        </w:rPr>
        <w:t>eam recommends using 98</w:t>
      </w:r>
      <w:r>
        <w:rPr>
          <w:rFonts w:eastAsiaTheme="minorEastAsia"/>
        </w:rPr>
        <w:t>%</w:t>
      </w:r>
      <w:r w:rsidR="00523B88">
        <w:rPr>
          <w:rFonts w:eastAsiaTheme="minorEastAsia"/>
        </w:rPr>
        <w:t xml:space="preserve"> as the value for water heater efficiency.</w:t>
      </w:r>
      <w:r>
        <w:rPr>
          <w:rFonts w:eastAsiaTheme="minorEastAsia"/>
        </w:rPr>
        <w:t xml:space="preserve"> </w:t>
      </w:r>
      <w:r w:rsidR="00523B88">
        <w:rPr>
          <w:rFonts w:eastAsiaTheme="minorEastAsia"/>
        </w:rPr>
        <w:t>The recovery efficiency for fossil fuel water heaters was evaluated as 67</w:t>
      </w:r>
      <w:r>
        <w:rPr>
          <w:rFonts w:eastAsiaTheme="minorEastAsia"/>
        </w:rPr>
        <w:t>%</w:t>
      </w:r>
      <w:r w:rsidR="00523B88">
        <w:rPr>
          <w:rFonts w:eastAsiaTheme="minorEastAsia"/>
        </w:rPr>
        <w:t>.</w:t>
      </w:r>
    </w:p>
    <w:p w:rsidR="00523B88" w:rsidRDefault="00523B88" w:rsidP="00523B88">
      <w:pPr>
        <w:rPr>
          <w:rFonts w:eastAsiaTheme="minorEastAsia"/>
        </w:rPr>
      </w:pPr>
      <w:r>
        <w:rPr>
          <w:rFonts w:eastAsiaTheme="minorEastAsia"/>
        </w:rPr>
        <w:t>The overall equation became:</w:t>
      </w:r>
    </w:p>
    <w:p w:rsidR="00523B88" w:rsidRDefault="00523B88" w:rsidP="00523B88">
      <w:pPr>
        <w:rPr>
          <w:rFonts w:eastAsiaTheme="minorEastAsia"/>
          <w:sz w:val="20"/>
        </w:rPr>
      </w:pPr>
      <m:oMathPara>
        <m:oMath>
          <m:r>
            <w:rPr>
              <w:rFonts w:ascii="Cambria Math" w:hAnsi="Cambria Math"/>
              <w:sz w:val="20"/>
            </w:rPr>
            <m:t>Energy Savings =*</m:t>
          </m:r>
          <m:f>
            <m:fPr>
              <m:ctrlPr>
                <w:rPr>
                  <w:rFonts w:ascii="Cambria Math" w:hAnsi="Cambria Math"/>
                  <w:i/>
                  <w:sz w:val="20"/>
                </w:rPr>
              </m:ctrlPr>
            </m:fPr>
            <m:num>
              <m:d>
                <m:dPr>
                  <m:ctrlPr>
                    <w:rPr>
                      <w:rFonts w:ascii="Cambria Math" w:hAnsi="Cambria Math"/>
                      <w:i/>
                      <w:sz w:val="20"/>
                    </w:rPr>
                  </m:ctrlPr>
                </m:dPr>
                <m:e>
                  <m:r>
                    <w:rPr>
                      <w:rFonts w:ascii="Cambria Math" w:hAnsi="Cambria Math"/>
                      <w:sz w:val="20"/>
                    </w:rPr>
                    <m:t>2.2-1.5</m:t>
                  </m:r>
                </m:e>
              </m:d>
              <m:r>
                <w:rPr>
                  <w:rFonts w:ascii="Cambria Math" w:hAnsi="Cambria Math"/>
                  <w:sz w:val="20"/>
                </w:rPr>
                <m:t>*26.5*0.9344*365*0.65</m:t>
              </m:r>
            </m:num>
            <m:den>
              <m:r>
                <w:rPr>
                  <w:rFonts w:ascii="Cambria Math" w:hAnsi="Cambria Math"/>
                  <w:sz w:val="20"/>
                </w:rPr>
                <m:t>5.1</m:t>
              </m:r>
            </m:den>
          </m:f>
          <m:r>
            <w:rPr>
              <w:rFonts w:ascii="Cambria Math" w:hAnsi="Cambria Math"/>
              <w:sz w:val="20"/>
            </w:rPr>
            <m:t>*0.06206=61.2 kWh</m:t>
          </m:r>
        </m:oMath>
      </m:oMathPara>
    </w:p>
    <w:p w:rsidR="00523B88" w:rsidRPr="00D80A1B" w:rsidRDefault="00523B88" w:rsidP="002C0922">
      <w:pPr>
        <w:keepNext/>
        <w:spacing w:before="200" w:after="0"/>
        <w:rPr>
          <w:b/>
          <w:i/>
          <w:color w:val="898A17"/>
          <w:sz w:val="29"/>
          <w:szCs w:val="29"/>
        </w:rPr>
      </w:pPr>
      <w:r w:rsidRPr="00D80A1B">
        <w:rPr>
          <w:b/>
          <w:i/>
          <w:color w:val="898A17"/>
          <w:sz w:val="29"/>
          <w:szCs w:val="29"/>
        </w:rPr>
        <w:t>Showerheads</w:t>
      </w:r>
    </w:p>
    <w:p w:rsidR="00523B88" w:rsidRDefault="00523B88" w:rsidP="00523B88">
      <w:r>
        <w:t>The engineering review for showerheads began with a review of published reports and TRMs</w:t>
      </w:r>
      <w:r w:rsidR="00643973">
        <w:t xml:space="preserve"> </w:t>
      </w:r>
      <w:r>
        <w:t>deemed relevant to the evaluation due to their regional similarities, low-income specific recommendations, or separate inputs for multifamily savings.</w:t>
      </w:r>
      <w:r w:rsidR="002953AD">
        <w:t xml:space="preserve"> </w:t>
      </w:r>
      <w:r>
        <w:t>A total of seven sources were identified.</w:t>
      </w:r>
      <w:r w:rsidR="002953AD">
        <w:t xml:space="preserve"> </w:t>
      </w:r>
      <w:r w:rsidR="005C2163">
        <w:fldChar w:fldCharType="begin"/>
      </w:r>
      <w:r w:rsidR="00643973">
        <w:instrText xml:space="preserve"> REF _Ref388525266 \h </w:instrText>
      </w:r>
      <w:r w:rsidR="005C2163">
        <w:fldChar w:fldCharType="separate"/>
      </w:r>
      <w:r w:rsidR="00CD20CF">
        <w:t xml:space="preserve">Table </w:t>
      </w:r>
      <w:r w:rsidR="00CD20CF">
        <w:rPr>
          <w:noProof/>
        </w:rPr>
        <w:t>90</w:t>
      </w:r>
      <w:r w:rsidR="005C2163">
        <w:fldChar w:fldCharType="end"/>
      </w:r>
      <w:r w:rsidR="00643973">
        <w:t xml:space="preserve"> shows the </w:t>
      </w:r>
      <w:r>
        <w:t>per-measure energy savings estimates</w:t>
      </w:r>
      <w:r w:rsidR="00643973">
        <w:t>.</w:t>
      </w:r>
      <w:r>
        <w:t xml:space="preserve"> Due to variability in per-unit savings, </w:t>
      </w:r>
      <w:r w:rsidR="00643973">
        <w:t xml:space="preserve">the Evaluation Team performed </w:t>
      </w:r>
      <w:r>
        <w:t>a more in-depth analysis of the savings algorithms and their inputs.</w:t>
      </w:r>
    </w:p>
    <w:p w:rsidR="00523B88" w:rsidRDefault="00523B88" w:rsidP="00293449">
      <w:pPr>
        <w:pStyle w:val="Caption"/>
        <w:pageBreakBefore/>
      </w:pPr>
      <w:bookmarkStart w:id="157" w:name="_Ref388525266"/>
      <w:r>
        <w:lastRenderedPageBreak/>
        <w:t xml:space="preserve">Table </w:t>
      </w:r>
      <w:r w:rsidR="002506E1">
        <w:fldChar w:fldCharType="begin"/>
      </w:r>
      <w:r w:rsidR="002506E1">
        <w:instrText xml:space="preserve"> SEQ Table \* ARABIC </w:instrText>
      </w:r>
      <w:r w:rsidR="002506E1">
        <w:fldChar w:fldCharType="separate"/>
      </w:r>
      <w:r w:rsidR="00CD20CF">
        <w:rPr>
          <w:noProof/>
        </w:rPr>
        <w:t>90</w:t>
      </w:r>
      <w:r w:rsidR="002506E1">
        <w:rPr>
          <w:noProof/>
        </w:rPr>
        <w:fldChar w:fldCharType="end"/>
      </w:r>
      <w:bookmarkEnd w:id="157"/>
      <w:r>
        <w:t>.</w:t>
      </w:r>
      <w:r w:rsidR="002953AD">
        <w:t xml:space="preserve"> </w:t>
      </w:r>
      <w:r>
        <w:t>Results of the Showerhead Literature Review</w:t>
      </w:r>
    </w:p>
    <w:tbl>
      <w:tblPr>
        <w:tblW w:w="5000" w:type="pct"/>
        <w:jc w:val="center"/>
        <w:tblBorders>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229"/>
        <w:gridCol w:w="1710"/>
        <w:gridCol w:w="1637"/>
      </w:tblGrid>
      <w:tr w:rsidR="00523B88" w:rsidRPr="00695692" w:rsidTr="003D4F09">
        <w:trPr>
          <w:jc w:val="center"/>
        </w:trPr>
        <w:tc>
          <w:tcPr>
            <w:tcW w:w="3252" w:type="pct"/>
            <w:shd w:val="clear" w:color="000000" w:fill="005DAA"/>
            <w:vAlign w:val="center"/>
            <w:hideMark/>
          </w:tcPr>
          <w:p w:rsidR="00523B88" w:rsidRPr="002C0922" w:rsidRDefault="00523B88" w:rsidP="002C0922">
            <w:pPr>
              <w:spacing w:after="0"/>
              <w:jc w:val="center"/>
              <w:rPr>
                <w:rFonts w:ascii="Calibri" w:hAnsi="Calibri"/>
                <w:b/>
                <w:bCs/>
                <w:color w:val="FFFFFF"/>
              </w:rPr>
            </w:pPr>
            <w:r w:rsidRPr="002C0922">
              <w:rPr>
                <w:rFonts w:ascii="Calibri" w:hAnsi="Calibri"/>
                <w:b/>
                <w:bCs/>
                <w:color w:val="FFFFFF"/>
              </w:rPr>
              <w:t>Source</w:t>
            </w:r>
          </w:p>
        </w:tc>
        <w:tc>
          <w:tcPr>
            <w:tcW w:w="893" w:type="pct"/>
            <w:shd w:val="clear" w:color="000000" w:fill="005DAA"/>
            <w:vAlign w:val="center"/>
            <w:hideMark/>
          </w:tcPr>
          <w:p w:rsidR="00523B88" w:rsidRPr="002C0922" w:rsidRDefault="00523B88" w:rsidP="002C0922">
            <w:pPr>
              <w:spacing w:after="0"/>
              <w:jc w:val="center"/>
              <w:rPr>
                <w:rFonts w:ascii="Calibri" w:hAnsi="Calibri"/>
                <w:b/>
                <w:bCs/>
                <w:color w:val="FFFFFF"/>
              </w:rPr>
            </w:pPr>
            <w:r w:rsidRPr="002C0922">
              <w:rPr>
                <w:rFonts w:ascii="Calibri" w:hAnsi="Calibri"/>
                <w:b/>
                <w:bCs/>
                <w:color w:val="FFFFFF"/>
              </w:rPr>
              <w:t>Additional Information</w:t>
            </w:r>
          </w:p>
        </w:tc>
        <w:tc>
          <w:tcPr>
            <w:tcW w:w="855" w:type="pct"/>
            <w:shd w:val="clear" w:color="000000" w:fill="005DAA"/>
            <w:vAlign w:val="center"/>
            <w:hideMark/>
          </w:tcPr>
          <w:p w:rsidR="00523B88" w:rsidRPr="002C0922" w:rsidRDefault="00523B88" w:rsidP="002C0922">
            <w:pPr>
              <w:spacing w:after="0"/>
              <w:jc w:val="center"/>
              <w:rPr>
                <w:rFonts w:ascii="Calibri" w:hAnsi="Calibri"/>
                <w:b/>
                <w:bCs/>
                <w:color w:val="FFFFFF"/>
              </w:rPr>
            </w:pPr>
            <w:r w:rsidRPr="002C0922">
              <w:rPr>
                <w:rFonts w:ascii="Calibri" w:hAnsi="Calibri"/>
                <w:b/>
                <w:bCs/>
                <w:color w:val="FFFFFF"/>
              </w:rPr>
              <w:t>Annual Energy Savings per Faucet (kWh)</w:t>
            </w:r>
          </w:p>
        </w:tc>
      </w:tr>
      <w:tr w:rsidR="00523B88" w:rsidRPr="00695692" w:rsidTr="003D4F09">
        <w:trPr>
          <w:jc w:val="center"/>
        </w:trPr>
        <w:tc>
          <w:tcPr>
            <w:tcW w:w="3252" w:type="pct"/>
            <w:tcBorders>
              <w:bottom w:val="single" w:sz="4" w:space="0" w:color="BFBFBF"/>
            </w:tcBorders>
            <w:shd w:val="clear" w:color="auto" w:fill="auto"/>
            <w:vAlign w:val="center"/>
            <w:hideMark/>
          </w:tcPr>
          <w:p w:rsidR="00523B88" w:rsidRPr="002C0922" w:rsidRDefault="00523B88" w:rsidP="002C0922">
            <w:pPr>
              <w:spacing w:after="0"/>
              <w:rPr>
                <w:rFonts w:ascii="Calibri" w:hAnsi="Calibri"/>
                <w:color w:val="000000"/>
                <w:sz w:val="20"/>
                <w:szCs w:val="20"/>
              </w:rPr>
            </w:pPr>
            <w:r w:rsidRPr="002C0922">
              <w:rPr>
                <w:rFonts w:ascii="Calibri" w:hAnsi="Calibri"/>
                <w:color w:val="000000"/>
                <w:sz w:val="20"/>
                <w:szCs w:val="20"/>
              </w:rPr>
              <w:t>Connecticut Program Savings Document, Eight Edition, 2013</w:t>
            </w:r>
          </w:p>
        </w:tc>
        <w:tc>
          <w:tcPr>
            <w:tcW w:w="893" w:type="pct"/>
            <w:shd w:val="clear" w:color="auto" w:fill="auto"/>
            <w:vAlign w:val="center"/>
            <w:hideMark/>
          </w:tcPr>
          <w:p w:rsidR="00523B88" w:rsidRPr="002C0922" w:rsidRDefault="00523B88" w:rsidP="00643973">
            <w:pPr>
              <w:spacing w:after="0"/>
              <w:rPr>
                <w:rFonts w:ascii="Calibri" w:hAnsi="Calibri"/>
                <w:color w:val="000000"/>
                <w:sz w:val="20"/>
                <w:szCs w:val="20"/>
              </w:rPr>
            </w:pPr>
            <w:r w:rsidRPr="002C0922">
              <w:rPr>
                <w:rFonts w:ascii="Calibri" w:hAnsi="Calibri"/>
                <w:color w:val="000000"/>
                <w:sz w:val="20"/>
                <w:szCs w:val="20"/>
              </w:rPr>
              <w:t>2013 PSD</w:t>
            </w:r>
          </w:p>
        </w:tc>
        <w:tc>
          <w:tcPr>
            <w:tcW w:w="855" w:type="pct"/>
            <w:shd w:val="clear" w:color="auto" w:fill="auto"/>
            <w:vAlign w:val="center"/>
            <w:hideMark/>
          </w:tcPr>
          <w:p w:rsidR="00523B88" w:rsidRPr="002C0922" w:rsidRDefault="00523B88" w:rsidP="002C0922">
            <w:pPr>
              <w:spacing w:after="0"/>
              <w:jc w:val="right"/>
              <w:rPr>
                <w:rFonts w:ascii="Calibri" w:hAnsi="Calibri"/>
                <w:color w:val="000000"/>
                <w:sz w:val="20"/>
                <w:szCs w:val="20"/>
              </w:rPr>
            </w:pPr>
            <w:r w:rsidRPr="002C0922">
              <w:rPr>
                <w:rFonts w:ascii="Calibri" w:hAnsi="Calibri"/>
                <w:color w:val="000000"/>
                <w:sz w:val="20"/>
                <w:szCs w:val="20"/>
              </w:rPr>
              <w:t>155.40</w:t>
            </w:r>
          </w:p>
        </w:tc>
      </w:tr>
      <w:tr w:rsidR="002C0922" w:rsidRPr="00695692" w:rsidTr="003D4F09">
        <w:trPr>
          <w:jc w:val="center"/>
        </w:trPr>
        <w:tc>
          <w:tcPr>
            <w:tcW w:w="3252" w:type="pct"/>
            <w:vMerge w:val="restart"/>
            <w:tcBorders>
              <w:top w:val="single" w:sz="4" w:space="0" w:color="BFBFBF"/>
            </w:tcBorders>
            <w:shd w:val="clear" w:color="auto" w:fill="auto"/>
            <w:vAlign w:val="center"/>
            <w:hideMark/>
          </w:tcPr>
          <w:p w:rsidR="002C0922" w:rsidRPr="002C0922" w:rsidRDefault="002C0922" w:rsidP="002C0922">
            <w:pPr>
              <w:spacing w:after="0"/>
              <w:rPr>
                <w:rFonts w:ascii="Calibri" w:hAnsi="Calibri"/>
                <w:color w:val="000000"/>
                <w:sz w:val="20"/>
                <w:szCs w:val="20"/>
              </w:rPr>
            </w:pPr>
            <w:r w:rsidRPr="002C0922">
              <w:rPr>
                <w:rFonts w:ascii="Calibri" w:hAnsi="Calibri"/>
                <w:color w:val="000000"/>
                <w:sz w:val="20"/>
                <w:szCs w:val="20"/>
              </w:rPr>
              <w:t>Connecticut Program Savings Document, 2011 </w:t>
            </w:r>
          </w:p>
        </w:tc>
        <w:tc>
          <w:tcPr>
            <w:tcW w:w="893" w:type="pct"/>
            <w:shd w:val="clear" w:color="auto" w:fill="auto"/>
            <w:vAlign w:val="center"/>
            <w:hideMark/>
          </w:tcPr>
          <w:p w:rsidR="002C0922" w:rsidRPr="002C0922" w:rsidRDefault="002C0922" w:rsidP="00643973">
            <w:pPr>
              <w:spacing w:after="0"/>
              <w:rPr>
                <w:rFonts w:ascii="Calibri" w:hAnsi="Calibri"/>
                <w:color w:val="000000"/>
                <w:sz w:val="20"/>
                <w:szCs w:val="20"/>
              </w:rPr>
            </w:pPr>
            <w:r w:rsidRPr="002C0922">
              <w:rPr>
                <w:rFonts w:ascii="Calibri" w:hAnsi="Calibri"/>
                <w:color w:val="000000"/>
                <w:sz w:val="20"/>
                <w:szCs w:val="20"/>
              </w:rPr>
              <w:t>2011 PSD</w:t>
            </w:r>
            <w:r w:rsidR="001B7FB7">
              <w:rPr>
                <w:rFonts w:ascii="Calibri" w:hAnsi="Calibri"/>
                <w:color w:val="000000"/>
                <w:sz w:val="20"/>
                <w:szCs w:val="20"/>
              </w:rPr>
              <w:t xml:space="preserve"> (</w:t>
            </w:r>
            <w:r w:rsidRPr="002C0922">
              <w:rPr>
                <w:rFonts w:ascii="Calibri" w:hAnsi="Calibri"/>
                <w:color w:val="000000"/>
                <w:sz w:val="20"/>
                <w:szCs w:val="20"/>
              </w:rPr>
              <w:t>HES</w:t>
            </w:r>
            <w:r w:rsidR="001B7FB7">
              <w:rPr>
                <w:rFonts w:ascii="Calibri" w:hAnsi="Calibri"/>
                <w:color w:val="000000"/>
                <w:sz w:val="20"/>
                <w:szCs w:val="20"/>
              </w:rPr>
              <w:t>)</w:t>
            </w:r>
          </w:p>
        </w:tc>
        <w:tc>
          <w:tcPr>
            <w:tcW w:w="855" w:type="pct"/>
            <w:shd w:val="clear" w:color="auto" w:fill="auto"/>
            <w:vAlign w:val="center"/>
            <w:hideMark/>
          </w:tcPr>
          <w:p w:rsidR="002C0922" w:rsidRPr="002C0922" w:rsidRDefault="002C0922" w:rsidP="002C0922">
            <w:pPr>
              <w:spacing w:after="0"/>
              <w:jc w:val="right"/>
              <w:rPr>
                <w:rFonts w:ascii="Calibri" w:hAnsi="Calibri"/>
                <w:color w:val="000000"/>
                <w:sz w:val="20"/>
                <w:szCs w:val="20"/>
              </w:rPr>
            </w:pPr>
            <w:r w:rsidRPr="002C0922">
              <w:rPr>
                <w:rFonts w:ascii="Calibri" w:hAnsi="Calibri"/>
                <w:color w:val="000000"/>
                <w:sz w:val="20"/>
                <w:szCs w:val="20"/>
              </w:rPr>
              <w:t>493.30</w:t>
            </w:r>
          </w:p>
        </w:tc>
      </w:tr>
      <w:tr w:rsidR="002C0922" w:rsidRPr="00695692" w:rsidTr="003D4F09">
        <w:trPr>
          <w:jc w:val="center"/>
        </w:trPr>
        <w:tc>
          <w:tcPr>
            <w:tcW w:w="3252" w:type="pct"/>
            <w:vMerge/>
            <w:shd w:val="clear" w:color="auto" w:fill="auto"/>
            <w:vAlign w:val="center"/>
            <w:hideMark/>
          </w:tcPr>
          <w:p w:rsidR="002C0922" w:rsidRPr="002C0922" w:rsidRDefault="002C0922" w:rsidP="002C0922">
            <w:pPr>
              <w:spacing w:after="0"/>
              <w:rPr>
                <w:rFonts w:ascii="Calibri" w:hAnsi="Calibri"/>
                <w:color w:val="000000"/>
                <w:sz w:val="20"/>
                <w:szCs w:val="20"/>
              </w:rPr>
            </w:pPr>
          </w:p>
        </w:tc>
        <w:tc>
          <w:tcPr>
            <w:tcW w:w="893" w:type="pct"/>
            <w:shd w:val="clear" w:color="auto" w:fill="auto"/>
            <w:vAlign w:val="center"/>
            <w:hideMark/>
          </w:tcPr>
          <w:p w:rsidR="002C0922" w:rsidRPr="002C0922" w:rsidRDefault="002C0922" w:rsidP="00643973">
            <w:pPr>
              <w:spacing w:after="0"/>
              <w:rPr>
                <w:rFonts w:ascii="Calibri" w:hAnsi="Calibri"/>
                <w:color w:val="000000"/>
                <w:sz w:val="20"/>
                <w:szCs w:val="20"/>
              </w:rPr>
            </w:pPr>
            <w:r w:rsidRPr="002C0922">
              <w:rPr>
                <w:rFonts w:ascii="Calibri" w:hAnsi="Calibri"/>
                <w:color w:val="000000"/>
                <w:sz w:val="20"/>
                <w:szCs w:val="20"/>
              </w:rPr>
              <w:t>2011 PSD</w:t>
            </w:r>
            <w:r w:rsidR="001B7FB7">
              <w:rPr>
                <w:rFonts w:ascii="Calibri" w:hAnsi="Calibri"/>
                <w:color w:val="000000"/>
                <w:sz w:val="20"/>
                <w:szCs w:val="20"/>
              </w:rPr>
              <w:t xml:space="preserve"> (HES-</w:t>
            </w:r>
            <w:r w:rsidRPr="002C0922">
              <w:rPr>
                <w:rFonts w:ascii="Calibri" w:hAnsi="Calibri"/>
                <w:color w:val="000000"/>
                <w:sz w:val="20"/>
                <w:szCs w:val="20"/>
              </w:rPr>
              <w:t>IE</w:t>
            </w:r>
            <w:r w:rsidR="001B7FB7">
              <w:rPr>
                <w:rFonts w:ascii="Calibri" w:hAnsi="Calibri"/>
                <w:color w:val="000000"/>
                <w:sz w:val="20"/>
                <w:szCs w:val="20"/>
              </w:rPr>
              <w:t>)</w:t>
            </w:r>
          </w:p>
        </w:tc>
        <w:tc>
          <w:tcPr>
            <w:tcW w:w="855" w:type="pct"/>
            <w:shd w:val="clear" w:color="auto" w:fill="auto"/>
            <w:vAlign w:val="center"/>
            <w:hideMark/>
          </w:tcPr>
          <w:p w:rsidR="002C0922" w:rsidRPr="002C0922" w:rsidRDefault="002C0922" w:rsidP="002C0922">
            <w:pPr>
              <w:spacing w:after="0"/>
              <w:jc w:val="right"/>
              <w:rPr>
                <w:rFonts w:ascii="Calibri" w:hAnsi="Calibri"/>
                <w:color w:val="000000"/>
                <w:sz w:val="20"/>
                <w:szCs w:val="20"/>
              </w:rPr>
            </w:pPr>
            <w:r w:rsidRPr="002C0922">
              <w:rPr>
                <w:rFonts w:ascii="Calibri" w:hAnsi="Calibri"/>
                <w:color w:val="000000"/>
                <w:sz w:val="20"/>
                <w:szCs w:val="20"/>
              </w:rPr>
              <w:t>832.50</w:t>
            </w:r>
          </w:p>
        </w:tc>
      </w:tr>
      <w:tr w:rsidR="002C0922" w:rsidRPr="00695692" w:rsidTr="003D4F09">
        <w:trPr>
          <w:jc w:val="center"/>
        </w:trPr>
        <w:tc>
          <w:tcPr>
            <w:tcW w:w="3252" w:type="pct"/>
            <w:vMerge w:val="restart"/>
            <w:shd w:val="clear" w:color="auto" w:fill="auto"/>
            <w:vAlign w:val="center"/>
            <w:hideMark/>
          </w:tcPr>
          <w:p w:rsidR="002C0922" w:rsidRPr="002C0922" w:rsidRDefault="002C0922" w:rsidP="002C0922">
            <w:pPr>
              <w:spacing w:after="0"/>
              <w:rPr>
                <w:rFonts w:ascii="Calibri" w:hAnsi="Calibri"/>
                <w:color w:val="000000"/>
                <w:sz w:val="20"/>
                <w:szCs w:val="20"/>
              </w:rPr>
            </w:pPr>
            <w:r w:rsidRPr="002C0922">
              <w:rPr>
                <w:rFonts w:ascii="Calibri" w:hAnsi="Calibri"/>
                <w:color w:val="000000"/>
                <w:sz w:val="20"/>
                <w:szCs w:val="20"/>
              </w:rPr>
              <w:t>Illinois Statewide Technical Reference Manual, Version 2.0, 2013 </w:t>
            </w:r>
          </w:p>
        </w:tc>
        <w:tc>
          <w:tcPr>
            <w:tcW w:w="893" w:type="pct"/>
            <w:shd w:val="clear" w:color="auto" w:fill="auto"/>
            <w:vAlign w:val="center"/>
            <w:hideMark/>
          </w:tcPr>
          <w:p w:rsidR="002C0922" w:rsidRPr="002C0922" w:rsidRDefault="002C0922" w:rsidP="00643973">
            <w:pPr>
              <w:spacing w:after="0"/>
              <w:rPr>
                <w:rFonts w:ascii="Calibri" w:hAnsi="Calibri"/>
                <w:color w:val="000000"/>
                <w:sz w:val="20"/>
                <w:szCs w:val="20"/>
              </w:rPr>
            </w:pPr>
            <w:r w:rsidRPr="002C0922">
              <w:rPr>
                <w:rFonts w:ascii="Calibri" w:hAnsi="Calibri"/>
                <w:color w:val="000000"/>
                <w:sz w:val="20"/>
                <w:szCs w:val="20"/>
              </w:rPr>
              <w:t>Illinois</w:t>
            </w:r>
            <w:r w:rsidR="001B7FB7">
              <w:rPr>
                <w:rFonts w:ascii="Calibri" w:hAnsi="Calibri"/>
                <w:color w:val="000000"/>
                <w:sz w:val="20"/>
                <w:szCs w:val="20"/>
              </w:rPr>
              <w:t xml:space="preserve"> (</w:t>
            </w:r>
            <w:r w:rsidRPr="002C0922">
              <w:rPr>
                <w:rFonts w:ascii="Calibri" w:hAnsi="Calibri"/>
                <w:color w:val="000000"/>
                <w:sz w:val="20"/>
                <w:szCs w:val="20"/>
              </w:rPr>
              <w:t>SF</w:t>
            </w:r>
            <w:r w:rsidR="001B7FB7">
              <w:rPr>
                <w:rFonts w:ascii="Calibri" w:hAnsi="Calibri"/>
                <w:color w:val="000000"/>
                <w:sz w:val="20"/>
                <w:szCs w:val="20"/>
              </w:rPr>
              <w:t>)</w:t>
            </w:r>
          </w:p>
        </w:tc>
        <w:tc>
          <w:tcPr>
            <w:tcW w:w="855" w:type="pct"/>
            <w:shd w:val="clear" w:color="auto" w:fill="auto"/>
            <w:vAlign w:val="center"/>
            <w:hideMark/>
          </w:tcPr>
          <w:p w:rsidR="002C0922" w:rsidRPr="002C0922" w:rsidRDefault="002C0922" w:rsidP="002C0922">
            <w:pPr>
              <w:spacing w:after="0"/>
              <w:jc w:val="right"/>
              <w:rPr>
                <w:rFonts w:ascii="Calibri" w:hAnsi="Calibri"/>
                <w:color w:val="000000"/>
                <w:sz w:val="20"/>
                <w:szCs w:val="20"/>
              </w:rPr>
            </w:pPr>
            <w:r w:rsidRPr="002C0922">
              <w:rPr>
                <w:rFonts w:ascii="Calibri" w:hAnsi="Calibri"/>
                <w:color w:val="000000"/>
                <w:sz w:val="20"/>
                <w:szCs w:val="20"/>
              </w:rPr>
              <w:t>272.90</w:t>
            </w:r>
          </w:p>
        </w:tc>
      </w:tr>
      <w:tr w:rsidR="002C0922" w:rsidRPr="00695692" w:rsidTr="003D4F09">
        <w:trPr>
          <w:jc w:val="center"/>
        </w:trPr>
        <w:tc>
          <w:tcPr>
            <w:tcW w:w="3252" w:type="pct"/>
            <w:vMerge/>
            <w:shd w:val="clear" w:color="auto" w:fill="auto"/>
            <w:vAlign w:val="center"/>
            <w:hideMark/>
          </w:tcPr>
          <w:p w:rsidR="002C0922" w:rsidRPr="002C0922" w:rsidRDefault="002C0922" w:rsidP="002C0922">
            <w:pPr>
              <w:spacing w:after="0"/>
              <w:rPr>
                <w:rFonts w:ascii="Calibri" w:hAnsi="Calibri"/>
                <w:color w:val="000000"/>
                <w:sz w:val="20"/>
                <w:szCs w:val="20"/>
              </w:rPr>
            </w:pPr>
          </w:p>
        </w:tc>
        <w:tc>
          <w:tcPr>
            <w:tcW w:w="893" w:type="pct"/>
            <w:shd w:val="clear" w:color="auto" w:fill="auto"/>
            <w:vAlign w:val="center"/>
            <w:hideMark/>
          </w:tcPr>
          <w:p w:rsidR="002C0922" w:rsidRPr="002C0922" w:rsidRDefault="002C0922" w:rsidP="00643973">
            <w:pPr>
              <w:spacing w:after="0"/>
              <w:rPr>
                <w:rFonts w:ascii="Calibri" w:hAnsi="Calibri"/>
                <w:color w:val="000000"/>
                <w:sz w:val="20"/>
                <w:szCs w:val="20"/>
              </w:rPr>
            </w:pPr>
            <w:r w:rsidRPr="002C0922">
              <w:rPr>
                <w:rFonts w:ascii="Calibri" w:hAnsi="Calibri"/>
                <w:color w:val="000000"/>
                <w:sz w:val="20"/>
                <w:szCs w:val="20"/>
              </w:rPr>
              <w:t>Illinois</w:t>
            </w:r>
            <w:r w:rsidR="001B7FB7">
              <w:rPr>
                <w:rFonts w:ascii="Calibri" w:hAnsi="Calibri"/>
                <w:color w:val="000000"/>
                <w:sz w:val="20"/>
                <w:szCs w:val="20"/>
              </w:rPr>
              <w:t xml:space="preserve"> (</w:t>
            </w:r>
            <w:r w:rsidRPr="002C0922">
              <w:rPr>
                <w:rFonts w:ascii="Calibri" w:hAnsi="Calibri"/>
                <w:color w:val="000000"/>
                <w:sz w:val="20"/>
                <w:szCs w:val="20"/>
              </w:rPr>
              <w:t>MF</w:t>
            </w:r>
            <w:r w:rsidR="001B7FB7">
              <w:rPr>
                <w:rFonts w:ascii="Calibri" w:hAnsi="Calibri"/>
                <w:color w:val="000000"/>
                <w:sz w:val="20"/>
                <w:szCs w:val="20"/>
              </w:rPr>
              <w:t>)</w:t>
            </w:r>
          </w:p>
        </w:tc>
        <w:tc>
          <w:tcPr>
            <w:tcW w:w="855" w:type="pct"/>
            <w:shd w:val="clear" w:color="auto" w:fill="auto"/>
            <w:vAlign w:val="center"/>
            <w:hideMark/>
          </w:tcPr>
          <w:p w:rsidR="002C0922" w:rsidRPr="002C0922" w:rsidRDefault="002C0922" w:rsidP="002C0922">
            <w:pPr>
              <w:spacing w:after="0"/>
              <w:jc w:val="right"/>
              <w:rPr>
                <w:rFonts w:ascii="Calibri" w:hAnsi="Calibri"/>
                <w:color w:val="000000"/>
                <w:sz w:val="20"/>
                <w:szCs w:val="20"/>
              </w:rPr>
            </w:pPr>
            <w:r w:rsidRPr="002C0922">
              <w:rPr>
                <w:rFonts w:ascii="Calibri" w:hAnsi="Calibri"/>
                <w:color w:val="000000"/>
                <w:sz w:val="20"/>
                <w:szCs w:val="20"/>
              </w:rPr>
              <w:t>308.30</w:t>
            </w:r>
          </w:p>
        </w:tc>
      </w:tr>
      <w:tr w:rsidR="00523B88" w:rsidRPr="00695692" w:rsidTr="003D4F09">
        <w:trPr>
          <w:jc w:val="center"/>
        </w:trPr>
        <w:tc>
          <w:tcPr>
            <w:tcW w:w="3252" w:type="pct"/>
            <w:shd w:val="clear" w:color="auto" w:fill="auto"/>
            <w:vAlign w:val="center"/>
            <w:hideMark/>
          </w:tcPr>
          <w:p w:rsidR="00523B88" w:rsidRPr="002C0922" w:rsidRDefault="00523B88" w:rsidP="002C0922">
            <w:pPr>
              <w:spacing w:after="0"/>
              <w:rPr>
                <w:rFonts w:ascii="Calibri" w:hAnsi="Calibri"/>
                <w:color w:val="000000"/>
                <w:sz w:val="20"/>
                <w:szCs w:val="20"/>
              </w:rPr>
            </w:pPr>
            <w:r w:rsidRPr="002C0922">
              <w:rPr>
                <w:rFonts w:ascii="Calibri" w:hAnsi="Calibri"/>
                <w:color w:val="000000"/>
                <w:sz w:val="20"/>
                <w:szCs w:val="20"/>
              </w:rPr>
              <w:t>Massachusetts Home Energy Services Impact Evaluation</w:t>
            </w:r>
          </w:p>
        </w:tc>
        <w:tc>
          <w:tcPr>
            <w:tcW w:w="893" w:type="pct"/>
            <w:shd w:val="clear" w:color="auto" w:fill="auto"/>
            <w:vAlign w:val="center"/>
            <w:hideMark/>
          </w:tcPr>
          <w:p w:rsidR="00523B88" w:rsidRPr="002C0922" w:rsidRDefault="00523B88" w:rsidP="00643973">
            <w:pPr>
              <w:spacing w:after="0"/>
              <w:rPr>
                <w:rFonts w:ascii="Calibri" w:hAnsi="Calibri"/>
                <w:color w:val="000000"/>
                <w:sz w:val="20"/>
                <w:szCs w:val="20"/>
              </w:rPr>
            </w:pPr>
            <w:r w:rsidRPr="002C0922">
              <w:rPr>
                <w:rFonts w:ascii="Calibri" w:hAnsi="Calibri"/>
                <w:color w:val="000000"/>
                <w:sz w:val="20"/>
                <w:szCs w:val="20"/>
              </w:rPr>
              <w:t>MA</w:t>
            </w:r>
            <w:r w:rsidR="001B7FB7">
              <w:rPr>
                <w:rFonts w:ascii="Calibri" w:hAnsi="Calibri"/>
                <w:color w:val="000000"/>
                <w:sz w:val="20"/>
                <w:szCs w:val="20"/>
              </w:rPr>
              <w:t xml:space="preserve"> (</w:t>
            </w:r>
            <w:r w:rsidRPr="002C0922">
              <w:rPr>
                <w:rFonts w:ascii="Calibri" w:hAnsi="Calibri"/>
                <w:color w:val="000000"/>
                <w:sz w:val="20"/>
                <w:szCs w:val="20"/>
              </w:rPr>
              <w:t>HES</w:t>
            </w:r>
            <w:r w:rsidR="001B7FB7">
              <w:rPr>
                <w:rFonts w:ascii="Calibri" w:hAnsi="Calibri"/>
                <w:color w:val="000000"/>
                <w:sz w:val="20"/>
                <w:szCs w:val="20"/>
              </w:rPr>
              <w:t>)</w:t>
            </w:r>
          </w:p>
        </w:tc>
        <w:tc>
          <w:tcPr>
            <w:tcW w:w="855" w:type="pct"/>
            <w:shd w:val="clear" w:color="auto" w:fill="auto"/>
            <w:vAlign w:val="center"/>
            <w:hideMark/>
          </w:tcPr>
          <w:p w:rsidR="00523B88" w:rsidRPr="002C0922" w:rsidRDefault="00523B88" w:rsidP="002C0922">
            <w:pPr>
              <w:spacing w:after="0"/>
              <w:jc w:val="right"/>
              <w:rPr>
                <w:rFonts w:ascii="Calibri" w:hAnsi="Calibri"/>
                <w:color w:val="000000"/>
                <w:sz w:val="20"/>
                <w:szCs w:val="20"/>
              </w:rPr>
            </w:pPr>
            <w:r w:rsidRPr="002C0922">
              <w:rPr>
                <w:rFonts w:ascii="Calibri" w:hAnsi="Calibri"/>
                <w:color w:val="000000"/>
                <w:sz w:val="20"/>
                <w:szCs w:val="20"/>
              </w:rPr>
              <w:t>328.60</w:t>
            </w:r>
          </w:p>
        </w:tc>
      </w:tr>
      <w:tr w:rsidR="00523B88" w:rsidRPr="00695692" w:rsidTr="003D4F09">
        <w:trPr>
          <w:jc w:val="center"/>
        </w:trPr>
        <w:tc>
          <w:tcPr>
            <w:tcW w:w="3252" w:type="pct"/>
            <w:shd w:val="clear" w:color="auto" w:fill="auto"/>
            <w:vAlign w:val="center"/>
            <w:hideMark/>
          </w:tcPr>
          <w:p w:rsidR="00523B88" w:rsidRPr="002C0922" w:rsidRDefault="00523B88" w:rsidP="002C0922">
            <w:pPr>
              <w:spacing w:after="0"/>
              <w:rPr>
                <w:rFonts w:ascii="Calibri" w:hAnsi="Calibri"/>
                <w:color w:val="000000"/>
                <w:sz w:val="20"/>
                <w:szCs w:val="20"/>
              </w:rPr>
            </w:pPr>
            <w:r w:rsidRPr="002C0922">
              <w:rPr>
                <w:rFonts w:ascii="Calibri" w:hAnsi="Calibri"/>
                <w:color w:val="000000"/>
                <w:sz w:val="20"/>
                <w:szCs w:val="20"/>
              </w:rPr>
              <w:t xml:space="preserve">Massachusetts Low Income Single Family Program Impact </w:t>
            </w:r>
            <w:r w:rsidR="00643973">
              <w:rPr>
                <w:rFonts w:ascii="Calibri" w:hAnsi="Calibri"/>
                <w:color w:val="000000"/>
                <w:sz w:val="20"/>
                <w:szCs w:val="20"/>
              </w:rPr>
              <w:br/>
            </w:r>
            <w:r w:rsidRPr="002C0922">
              <w:rPr>
                <w:rFonts w:ascii="Calibri" w:hAnsi="Calibri"/>
                <w:color w:val="000000"/>
                <w:sz w:val="20"/>
                <w:szCs w:val="20"/>
              </w:rPr>
              <w:t>Evaluation, 2012</w:t>
            </w:r>
          </w:p>
        </w:tc>
        <w:tc>
          <w:tcPr>
            <w:tcW w:w="893" w:type="pct"/>
            <w:shd w:val="clear" w:color="auto" w:fill="auto"/>
            <w:vAlign w:val="center"/>
            <w:hideMark/>
          </w:tcPr>
          <w:p w:rsidR="00523B88" w:rsidRPr="002C0922" w:rsidRDefault="00523B88" w:rsidP="001B7FB7">
            <w:pPr>
              <w:spacing w:after="0"/>
              <w:rPr>
                <w:rFonts w:ascii="Calibri" w:hAnsi="Calibri"/>
                <w:color w:val="000000"/>
                <w:sz w:val="20"/>
                <w:szCs w:val="20"/>
              </w:rPr>
            </w:pPr>
            <w:r w:rsidRPr="002C0922">
              <w:rPr>
                <w:rFonts w:ascii="Calibri" w:hAnsi="Calibri"/>
                <w:color w:val="000000"/>
                <w:sz w:val="20"/>
                <w:szCs w:val="20"/>
              </w:rPr>
              <w:t>MA</w:t>
            </w:r>
            <w:r w:rsidR="001B7FB7">
              <w:rPr>
                <w:rFonts w:ascii="Calibri" w:hAnsi="Calibri"/>
                <w:color w:val="000000"/>
                <w:sz w:val="20"/>
                <w:szCs w:val="20"/>
              </w:rPr>
              <w:t xml:space="preserve"> (LI)</w:t>
            </w:r>
          </w:p>
        </w:tc>
        <w:tc>
          <w:tcPr>
            <w:tcW w:w="855" w:type="pct"/>
            <w:shd w:val="clear" w:color="auto" w:fill="auto"/>
            <w:vAlign w:val="center"/>
            <w:hideMark/>
          </w:tcPr>
          <w:p w:rsidR="00523B88" w:rsidRPr="002C0922" w:rsidRDefault="00523B88" w:rsidP="002C0922">
            <w:pPr>
              <w:spacing w:after="0"/>
              <w:jc w:val="right"/>
              <w:rPr>
                <w:rFonts w:ascii="Calibri" w:hAnsi="Calibri"/>
                <w:color w:val="000000"/>
                <w:sz w:val="20"/>
                <w:szCs w:val="20"/>
              </w:rPr>
            </w:pPr>
            <w:r w:rsidRPr="002C0922">
              <w:rPr>
                <w:rFonts w:ascii="Calibri" w:hAnsi="Calibri"/>
                <w:color w:val="000000"/>
                <w:sz w:val="20"/>
                <w:szCs w:val="20"/>
              </w:rPr>
              <w:t>260.60</w:t>
            </w:r>
          </w:p>
        </w:tc>
      </w:tr>
      <w:tr w:rsidR="00523B88" w:rsidRPr="00695692" w:rsidTr="003D4F09">
        <w:trPr>
          <w:jc w:val="center"/>
        </w:trPr>
        <w:tc>
          <w:tcPr>
            <w:tcW w:w="3252" w:type="pct"/>
            <w:shd w:val="clear" w:color="auto" w:fill="auto"/>
            <w:vAlign w:val="center"/>
            <w:hideMark/>
          </w:tcPr>
          <w:p w:rsidR="00523B88" w:rsidRPr="002C0922" w:rsidRDefault="00523B88" w:rsidP="002C0922">
            <w:pPr>
              <w:spacing w:after="0"/>
              <w:rPr>
                <w:rFonts w:ascii="Calibri" w:hAnsi="Calibri"/>
                <w:color w:val="000000"/>
                <w:sz w:val="20"/>
                <w:szCs w:val="20"/>
              </w:rPr>
            </w:pPr>
            <w:r w:rsidRPr="002C0922">
              <w:rPr>
                <w:rFonts w:ascii="Calibri" w:hAnsi="Calibri"/>
                <w:color w:val="000000"/>
                <w:sz w:val="20"/>
                <w:szCs w:val="20"/>
              </w:rPr>
              <w:t xml:space="preserve">Efficiency Maine Residential Technical Reference Manual, </w:t>
            </w:r>
            <w:r w:rsidR="00643973">
              <w:rPr>
                <w:rFonts w:ascii="Calibri" w:hAnsi="Calibri"/>
                <w:color w:val="000000"/>
                <w:sz w:val="20"/>
                <w:szCs w:val="20"/>
              </w:rPr>
              <w:br/>
            </w:r>
            <w:r w:rsidRPr="002C0922">
              <w:rPr>
                <w:rFonts w:ascii="Calibri" w:hAnsi="Calibri"/>
                <w:color w:val="000000"/>
                <w:sz w:val="20"/>
                <w:szCs w:val="20"/>
              </w:rPr>
              <w:t>Version 2014.1, 2013</w:t>
            </w:r>
          </w:p>
        </w:tc>
        <w:tc>
          <w:tcPr>
            <w:tcW w:w="893" w:type="pct"/>
            <w:shd w:val="clear" w:color="auto" w:fill="auto"/>
            <w:vAlign w:val="center"/>
            <w:hideMark/>
          </w:tcPr>
          <w:p w:rsidR="00523B88" w:rsidRPr="002C0922" w:rsidRDefault="00523B88" w:rsidP="00643973">
            <w:pPr>
              <w:spacing w:after="0"/>
              <w:rPr>
                <w:rFonts w:ascii="Calibri" w:hAnsi="Calibri"/>
                <w:color w:val="000000"/>
                <w:sz w:val="20"/>
                <w:szCs w:val="20"/>
              </w:rPr>
            </w:pPr>
            <w:r w:rsidRPr="002C0922">
              <w:rPr>
                <w:rFonts w:ascii="Calibri" w:hAnsi="Calibri"/>
                <w:color w:val="000000"/>
                <w:sz w:val="20"/>
                <w:szCs w:val="20"/>
              </w:rPr>
              <w:t>Maine</w:t>
            </w:r>
            <w:r w:rsidR="001B7FB7">
              <w:rPr>
                <w:rFonts w:ascii="Calibri" w:hAnsi="Calibri"/>
                <w:color w:val="000000"/>
                <w:sz w:val="20"/>
                <w:szCs w:val="20"/>
              </w:rPr>
              <w:t xml:space="preserve"> (</w:t>
            </w:r>
            <w:r w:rsidRPr="002C0922">
              <w:rPr>
                <w:rFonts w:ascii="Calibri" w:hAnsi="Calibri"/>
                <w:color w:val="000000"/>
                <w:sz w:val="20"/>
                <w:szCs w:val="20"/>
              </w:rPr>
              <w:t>LI</w:t>
            </w:r>
            <w:r w:rsidR="001B7FB7">
              <w:rPr>
                <w:rFonts w:ascii="Calibri" w:hAnsi="Calibri"/>
                <w:color w:val="000000"/>
                <w:sz w:val="20"/>
                <w:szCs w:val="20"/>
              </w:rPr>
              <w:t>)</w:t>
            </w:r>
            <w:r w:rsidR="00AD4F59">
              <w:rPr>
                <w:rFonts w:ascii="Calibri" w:hAnsi="Calibri"/>
                <w:color w:val="000000"/>
                <w:sz w:val="20"/>
                <w:szCs w:val="20"/>
              </w:rPr>
              <w:t>*</w:t>
            </w:r>
          </w:p>
        </w:tc>
        <w:tc>
          <w:tcPr>
            <w:tcW w:w="855" w:type="pct"/>
            <w:shd w:val="clear" w:color="auto" w:fill="auto"/>
            <w:vAlign w:val="center"/>
            <w:hideMark/>
          </w:tcPr>
          <w:p w:rsidR="00523B88" w:rsidRPr="002C0922" w:rsidRDefault="00523B88" w:rsidP="002C0922">
            <w:pPr>
              <w:spacing w:after="0"/>
              <w:jc w:val="right"/>
              <w:rPr>
                <w:rFonts w:ascii="Calibri" w:hAnsi="Calibri"/>
                <w:color w:val="000000"/>
                <w:sz w:val="20"/>
                <w:szCs w:val="20"/>
              </w:rPr>
            </w:pPr>
            <w:r w:rsidRPr="002C0922">
              <w:rPr>
                <w:rFonts w:ascii="Calibri" w:hAnsi="Calibri"/>
                <w:color w:val="000000"/>
                <w:sz w:val="20"/>
                <w:szCs w:val="20"/>
              </w:rPr>
              <w:t>150.00</w:t>
            </w:r>
          </w:p>
        </w:tc>
      </w:tr>
      <w:tr w:rsidR="002C0922" w:rsidRPr="00695692" w:rsidTr="003D4F09">
        <w:trPr>
          <w:jc w:val="center"/>
        </w:trPr>
        <w:tc>
          <w:tcPr>
            <w:tcW w:w="3252" w:type="pct"/>
            <w:vMerge w:val="restart"/>
            <w:shd w:val="clear" w:color="auto" w:fill="auto"/>
            <w:vAlign w:val="center"/>
            <w:hideMark/>
          </w:tcPr>
          <w:p w:rsidR="002C0922" w:rsidRPr="002C0922" w:rsidRDefault="002C0922" w:rsidP="002C0922">
            <w:pPr>
              <w:spacing w:after="0"/>
              <w:rPr>
                <w:rFonts w:ascii="Calibri" w:hAnsi="Calibri"/>
                <w:color w:val="000000"/>
                <w:sz w:val="20"/>
                <w:szCs w:val="20"/>
              </w:rPr>
            </w:pPr>
            <w:r w:rsidRPr="002C0922">
              <w:rPr>
                <w:rFonts w:ascii="Calibri" w:hAnsi="Calibri"/>
                <w:color w:val="000000"/>
                <w:sz w:val="20"/>
                <w:szCs w:val="20"/>
              </w:rPr>
              <w:t>Pennsylvania PUC Technical Reference Manual, 2014 </w:t>
            </w:r>
          </w:p>
        </w:tc>
        <w:tc>
          <w:tcPr>
            <w:tcW w:w="893" w:type="pct"/>
            <w:shd w:val="clear" w:color="auto" w:fill="auto"/>
            <w:vAlign w:val="center"/>
            <w:hideMark/>
          </w:tcPr>
          <w:p w:rsidR="002C0922" w:rsidRPr="002C0922" w:rsidRDefault="002C0922" w:rsidP="00643973">
            <w:pPr>
              <w:spacing w:after="0"/>
              <w:rPr>
                <w:rFonts w:ascii="Calibri" w:hAnsi="Calibri"/>
                <w:color w:val="000000"/>
                <w:sz w:val="20"/>
                <w:szCs w:val="20"/>
              </w:rPr>
            </w:pPr>
            <w:r w:rsidRPr="002C0922">
              <w:rPr>
                <w:rFonts w:ascii="Calibri" w:hAnsi="Calibri"/>
                <w:color w:val="000000"/>
                <w:sz w:val="20"/>
                <w:szCs w:val="20"/>
              </w:rPr>
              <w:t>PA 2014</w:t>
            </w:r>
            <w:r w:rsidR="001B7FB7">
              <w:rPr>
                <w:rFonts w:ascii="Calibri" w:hAnsi="Calibri"/>
                <w:color w:val="000000"/>
                <w:sz w:val="20"/>
                <w:szCs w:val="20"/>
              </w:rPr>
              <w:t xml:space="preserve"> (</w:t>
            </w:r>
            <w:r w:rsidRPr="002C0922">
              <w:rPr>
                <w:rFonts w:ascii="Calibri" w:hAnsi="Calibri"/>
                <w:color w:val="000000"/>
                <w:sz w:val="20"/>
                <w:szCs w:val="20"/>
              </w:rPr>
              <w:t>SF</w:t>
            </w:r>
            <w:r w:rsidR="001B7FB7">
              <w:rPr>
                <w:rFonts w:ascii="Calibri" w:hAnsi="Calibri"/>
                <w:color w:val="000000"/>
                <w:sz w:val="20"/>
                <w:szCs w:val="20"/>
              </w:rPr>
              <w:t>)</w:t>
            </w:r>
          </w:p>
        </w:tc>
        <w:tc>
          <w:tcPr>
            <w:tcW w:w="855" w:type="pct"/>
            <w:shd w:val="clear" w:color="auto" w:fill="auto"/>
            <w:vAlign w:val="center"/>
            <w:hideMark/>
          </w:tcPr>
          <w:p w:rsidR="002C0922" w:rsidRPr="002C0922" w:rsidRDefault="002C0922" w:rsidP="002C0922">
            <w:pPr>
              <w:spacing w:after="0"/>
              <w:jc w:val="right"/>
              <w:rPr>
                <w:rFonts w:ascii="Calibri" w:hAnsi="Calibri"/>
                <w:color w:val="000000"/>
                <w:sz w:val="20"/>
                <w:szCs w:val="20"/>
              </w:rPr>
            </w:pPr>
            <w:r w:rsidRPr="002C0922">
              <w:rPr>
                <w:rFonts w:ascii="Calibri" w:hAnsi="Calibri"/>
                <w:color w:val="000000"/>
                <w:sz w:val="20"/>
                <w:szCs w:val="20"/>
              </w:rPr>
              <w:t>310.90</w:t>
            </w:r>
          </w:p>
        </w:tc>
      </w:tr>
      <w:tr w:rsidR="002C0922" w:rsidRPr="00695692" w:rsidTr="003D4F09">
        <w:trPr>
          <w:jc w:val="center"/>
        </w:trPr>
        <w:tc>
          <w:tcPr>
            <w:tcW w:w="3252" w:type="pct"/>
            <w:vMerge/>
            <w:shd w:val="clear" w:color="auto" w:fill="auto"/>
            <w:vAlign w:val="center"/>
            <w:hideMark/>
          </w:tcPr>
          <w:p w:rsidR="002C0922" w:rsidRPr="002C0922" w:rsidRDefault="002C0922" w:rsidP="002C0922">
            <w:pPr>
              <w:spacing w:after="0"/>
              <w:rPr>
                <w:rFonts w:ascii="Calibri" w:hAnsi="Calibri"/>
                <w:color w:val="000000"/>
                <w:sz w:val="20"/>
                <w:szCs w:val="20"/>
              </w:rPr>
            </w:pPr>
          </w:p>
        </w:tc>
        <w:tc>
          <w:tcPr>
            <w:tcW w:w="893" w:type="pct"/>
            <w:shd w:val="clear" w:color="auto" w:fill="auto"/>
            <w:vAlign w:val="center"/>
            <w:hideMark/>
          </w:tcPr>
          <w:p w:rsidR="002C0922" w:rsidRPr="002C0922" w:rsidRDefault="002C0922" w:rsidP="00643973">
            <w:pPr>
              <w:spacing w:after="0"/>
              <w:rPr>
                <w:rFonts w:ascii="Calibri" w:hAnsi="Calibri"/>
                <w:color w:val="000000"/>
                <w:sz w:val="20"/>
                <w:szCs w:val="20"/>
              </w:rPr>
            </w:pPr>
            <w:r w:rsidRPr="002C0922">
              <w:rPr>
                <w:rFonts w:ascii="Calibri" w:hAnsi="Calibri"/>
                <w:color w:val="000000"/>
                <w:sz w:val="20"/>
                <w:szCs w:val="20"/>
              </w:rPr>
              <w:t>PA 2014</w:t>
            </w:r>
            <w:r w:rsidR="001B7FB7">
              <w:rPr>
                <w:rFonts w:ascii="Calibri" w:hAnsi="Calibri"/>
                <w:color w:val="000000"/>
                <w:sz w:val="20"/>
                <w:szCs w:val="20"/>
              </w:rPr>
              <w:t xml:space="preserve"> (</w:t>
            </w:r>
            <w:r w:rsidRPr="002C0922">
              <w:rPr>
                <w:rFonts w:ascii="Calibri" w:hAnsi="Calibri"/>
                <w:color w:val="000000"/>
                <w:sz w:val="20"/>
                <w:szCs w:val="20"/>
              </w:rPr>
              <w:t>MF</w:t>
            </w:r>
            <w:r w:rsidR="001B7FB7">
              <w:rPr>
                <w:rFonts w:ascii="Calibri" w:hAnsi="Calibri"/>
                <w:color w:val="000000"/>
                <w:sz w:val="20"/>
                <w:szCs w:val="20"/>
              </w:rPr>
              <w:t>)</w:t>
            </w:r>
          </w:p>
        </w:tc>
        <w:tc>
          <w:tcPr>
            <w:tcW w:w="855" w:type="pct"/>
            <w:shd w:val="clear" w:color="auto" w:fill="auto"/>
            <w:vAlign w:val="center"/>
            <w:hideMark/>
          </w:tcPr>
          <w:p w:rsidR="002C0922" w:rsidRPr="002C0922" w:rsidRDefault="002C0922" w:rsidP="002C0922">
            <w:pPr>
              <w:spacing w:after="0"/>
              <w:jc w:val="right"/>
              <w:rPr>
                <w:rFonts w:ascii="Calibri" w:hAnsi="Calibri"/>
                <w:color w:val="000000"/>
                <w:sz w:val="20"/>
                <w:szCs w:val="20"/>
              </w:rPr>
            </w:pPr>
            <w:r w:rsidRPr="002C0922">
              <w:rPr>
                <w:rFonts w:ascii="Calibri" w:hAnsi="Calibri"/>
                <w:color w:val="000000"/>
                <w:sz w:val="20"/>
                <w:szCs w:val="20"/>
              </w:rPr>
              <w:t>271.00</w:t>
            </w:r>
          </w:p>
        </w:tc>
      </w:tr>
      <w:tr w:rsidR="00523B88" w:rsidRPr="00695692" w:rsidTr="003D4F09">
        <w:trPr>
          <w:jc w:val="center"/>
        </w:trPr>
        <w:tc>
          <w:tcPr>
            <w:tcW w:w="3252" w:type="pct"/>
            <w:shd w:val="clear" w:color="auto" w:fill="auto"/>
            <w:vAlign w:val="center"/>
            <w:hideMark/>
          </w:tcPr>
          <w:p w:rsidR="00523B88" w:rsidRPr="002C0922" w:rsidRDefault="00523B88" w:rsidP="002C0922">
            <w:pPr>
              <w:spacing w:after="0"/>
              <w:rPr>
                <w:rFonts w:ascii="Calibri" w:hAnsi="Calibri"/>
                <w:color w:val="000000"/>
                <w:sz w:val="20"/>
                <w:szCs w:val="20"/>
              </w:rPr>
            </w:pPr>
            <w:r w:rsidRPr="002C0922">
              <w:rPr>
                <w:rFonts w:ascii="Calibri" w:hAnsi="Calibri"/>
                <w:color w:val="000000"/>
                <w:sz w:val="20"/>
                <w:szCs w:val="20"/>
              </w:rPr>
              <w:t>Indiana Technical Resource Manual, Version 1.0, 2013</w:t>
            </w:r>
          </w:p>
        </w:tc>
        <w:tc>
          <w:tcPr>
            <w:tcW w:w="893" w:type="pct"/>
            <w:shd w:val="clear" w:color="auto" w:fill="auto"/>
            <w:vAlign w:val="center"/>
            <w:hideMark/>
          </w:tcPr>
          <w:p w:rsidR="00523B88" w:rsidRPr="002C0922" w:rsidRDefault="00523B88" w:rsidP="00643973">
            <w:pPr>
              <w:spacing w:after="0"/>
              <w:rPr>
                <w:rFonts w:ascii="Calibri" w:hAnsi="Calibri"/>
                <w:color w:val="000000"/>
                <w:sz w:val="20"/>
                <w:szCs w:val="20"/>
              </w:rPr>
            </w:pPr>
            <w:r w:rsidRPr="002C0922">
              <w:rPr>
                <w:rFonts w:ascii="Calibri" w:hAnsi="Calibri"/>
                <w:color w:val="000000"/>
                <w:sz w:val="20"/>
                <w:szCs w:val="20"/>
              </w:rPr>
              <w:t>Indiana</w:t>
            </w:r>
          </w:p>
        </w:tc>
        <w:tc>
          <w:tcPr>
            <w:tcW w:w="855" w:type="pct"/>
            <w:shd w:val="clear" w:color="auto" w:fill="auto"/>
            <w:vAlign w:val="center"/>
            <w:hideMark/>
          </w:tcPr>
          <w:p w:rsidR="00523B88" w:rsidRPr="002C0922" w:rsidRDefault="00523B88" w:rsidP="002C0922">
            <w:pPr>
              <w:spacing w:after="0"/>
              <w:jc w:val="right"/>
              <w:rPr>
                <w:rFonts w:ascii="Calibri" w:hAnsi="Calibri"/>
                <w:color w:val="000000"/>
                <w:sz w:val="20"/>
                <w:szCs w:val="20"/>
              </w:rPr>
            </w:pPr>
            <w:r w:rsidRPr="002C0922">
              <w:rPr>
                <w:rFonts w:ascii="Calibri" w:hAnsi="Calibri"/>
                <w:color w:val="000000"/>
                <w:sz w:val="20"/>
                <w:szCs w:val="20"/>
              </w:rPr>
              <w:t>427.80</w:t>
            </w:r>
          </w:p>
        </w:tc>
      </w:tr>
      <w:tr w:rsidR="00523B88" w:rsidRPr="00695692" w:rsidTr="003D4F09">
        <w:trPr>
          <w:jc w:val="center"/>
        </w:trPr>
        <w:tc>
          <w:tcPr>
            <w:tcW w:w="3252" w:type="pct"/>
            <w:shd w:val="clear" w:color="auto" w:fill="auto"/>
            <w:vAlign w:val="center"/>
            <w:hideMark/>
          </w:tcPr>
          <w:p w:rsidR="00523B88" w:rsidRPr="002C0922" w:rsidRDefault="00523B88" w:rsidP="002C0922">
            <w:pPr>
              <w:spacing w:after="0"/>
              <w:rPr>
                <w:rFonts w:ascii="Calibri" w:hAnsi="Calibri"/>
                <w:color w:val="000000"/>
                <w:sz w:val="20"/>
                <w:szCs w:val="20"/>
              </w:rPr>
            </w:pPr>
            <w:r w:rsidRPr="002C0922">
              <w:rPr>
                <w:rFonts w:ascii="Calibri" w:hAnsi="Calibri"/>
                <w:color w:val="000000"/>
                <w:sz w:val="20"/>
                <w:szCs w:val="20"/>
              </w:rPr>
              <w:t>Mid-Atlantic Technical Reference Manual, Version 3.0, 2013</w:t>
            </w:r>
          </w:p>
        </w:tc>
        <w:tc>
          <w:tcPr>
            <w:tcW w:w="893" w:type="pct"/>
            <w:shd w:val="clear" w:color="auto" w:fill="auto"/>
            <w:vAlign w:val="center"/>
            <w:hideMark/>
          </w:tcPr>
          <w:p w:rsidR="00523B88" w:rsidRPr="002C0922" w:rsidRDefault="00523B88" w:rsidP="00643973">
            <w:pPr>
              <w:spacing w:after="0"/>
              <w:rPr>
                <w:rFonts w:ascii="Calibri" w:hAnsi="Calibri"/>
                <w:color w:val="000000"/>
                <w:sz w:val="20"/>
                <w:szCs w:val="20"/>
              </w:rPr>
            </w:pPr>
            <w:r w:rsidRPr="002C0922">
              <w:rPr>
                <w:rFonts w:ascii="Calibri" w:hAnsi="Calibri"/>
                <w:color w:val="000000"/>
                <w:sz w:val="20"/>
                <w:szCs w:val="20"/>
              </w:rPr>
              <w:t>Mid-Atlantic 2013</w:t>
            </w:r>
          </w:p>
        </w:tc>
        <w:tc>
          <w:tcPr>
            <w:tcW w:w="855" w:type="pct"/>
            <w:shd w:val="clear" w:color="auto" w:fill="auto"/>
            <w:vAlign w:val="center"/>
            <w:hideMark/>
          </w:tcPr>
          <w:p w:rsidR="00523B88" w:rsidRPr="002C0922" w:rsidRDefault="00523B88" w:rsidP="002C0922">
            <w:pPr>
              <w:spacing w:after="0"/>
              <w:jc w:val="right"/>
              <w:rPr>
                <w:rFonts w:ascii="Calibri" w:hAnsi="Calibri"/>
                <w:color w:val="000000"/>
                <w:sz w:val="20"/>
                <w:szCs w:val="20"/>
              </w:rPr>
            </w:pPr>
            <w:r w:rsidRPr="002C0922">
              <w:rPr>
                <w:rFonts w:ascii="Calibri" w:hAnsi="Calibri"/>
                <w:color w:val="000000"/>
                <w:sz w:val="20"/>
                <w:szCs w:val="20"/>
              </w:rPr>
              <w:t>168.80</w:t>
            </w:r>
          </w:p>
        </w:tc>
      </w:tr>
    </w:tbl>
    <w:p w:rsidR="00523B88" w:rsidRDefault="00AD4F59" w:rsidP="002C0922">
      <w:pPr>
        <w:pStyle w:val="NormalAfterTablesandFigures"/>
        <w:rPr>
          <w:rFonts w:ascii="Calibri" w:eastAsia="Times New Roman" w:hAnsi="Calibri" w:cs="Times New Roman"/>
          <w:color w:val="000000"/>
          <w:sz w:val="20"/>
          <w:szCs w:val="20"/>
        </w:rPr>
      </w:pPr>
      <w:r w:rsidRPr="00C46F61">
        <w:rPr>
          <w:rFonts w:ascii="Calibri" w:eastAsia="Times New Roman" w:hAnsi="Calibri" w:cs="Times New Roman"/>
          <w:color w:val="000000"/>
          <w:sz w:val="20"/>
          <w:szCs w:val="20"/>
        </w:rPr>
        <w:t>*</w:t>
      </w:r>
      <w:r>
        <w:rPr>
          <w:rFonts w:ascii="Calibri" w:eastAsia="Times New Roman" w:hAnsi="Calibri" w:cs="Times New Roman"/>
          <w:color w:val="000000"/>
          <w:sz w:val="20"/>
          <w:szCs w:val="20"/>
        </w:rPr>
        <w:t>Specific to low-income electric heat multifamily program</w:t>
      </w:r>
      <w:r w:rsidR="00F6139F">
        <w:rPr>
          <w:rFonts w:ascii="Calibri" w:eastAsia="Times New Roman" w:hAnsi="Calibri" w:cs="Times New Roman"/>
          <w:color w:val="000000"/>
          <w:sz w:val="20"/>
          <w:szCs w:val="20"/>
        </w:rPr>
        <w:t>.</w:t>
      </w:r>
    </w:p>
    <w:p w:rsidR="00AD4F59" w:rsidRDefault="00AD4F59" w:rsidP="002C0922">
      <w:pPr>
        <w:pStyle w:val="NormalAfterTablesandFigures"/>
      </w:pPr>
    </w:p>
    <w:p w:rsidR="00523B88" w:rsidRDefault="005C2163" w:rsidP="002C0922">
      <w:r>
        <w:fldChar w:fldCharType="begin"/>
      </w:r>
      <w:r w:rsidR="00C25C4C">
        <w:instrText xml:space="preserve"> REF _Ref388525315 \h </w:instrText>
      </w:r>
      <w:r>
        <w:fldChar w:fldCharType="separate"/>
      </w:r>
      <w:r w:rsidR="00CD20CF">
        <w:t xml:space="preserve">Table </w:t>
      </w:r>
      <w:r w:rsidR="00CD20CF">
        <w:rPr>
          <w:noProof/>
        </w:rPr>
        <w:t>91</w:t>
      </w:r>
      <w:r>
        <w:fldChar w:fldCharType="end"/>
      </w:r>
      <w:r w:rsidR="00523B88">
        <w:t xml:space="preserve"> presents the various inputs for each savings value </w:t>
      </w:r>
      <w:r w:rsidR="00643973">
        <w:t xml:space="preserve">with published </w:t>
      </w:r>
      <w:r w:rsidR="00523B88">
        <w:t>inputs and algorithms.</w:t>
      </w:r>
      <w:r w:rsidR="002953AD">
        <w:t xml:space="preserve"> </w:t>
      </w:r>
      <w:r w:rsidR="00523B88">
        <w:t xml:space="preserve">This research revealed many different approaches used to </w:t>
      </w:r>
      <w:r w:rsidR="00643973">
        <w:t xml:space="preserve">determine </w:t>
      </w:r>
      <w:r w:rsidR="00F6139F">
        <w:t xml:space="preserve">energy </w:t>
      </w:r>
      <w:r w:rsidR="00523B88">
        <w:t>savings value</w:t>
      </w:r>
      <w:r w:rsidR="00F6139F">
        <w:t>s</w:t>
      </w:r>
      <w:r w:rsidR="00523B88">
        <w:t>.</w:t>
      </w:r>
      <w:r w:rsidR="002953AD">
        <w:t xml:space="preserve"> </w:t>
      </w:r>
      <w:r w:rsidR="00523B88">
        <w:t xml:space="preserve">As a result, the </w:t>
      </w:r>
      <w:r w:rsidR="00CC3E89">
        <w:t>Evaluation</w:t>
      </w:r>
      <w:r w:rsidR="00523B88">
        <w:t xml:space="preserve"> </w:t>
      </w:r>
      <w:r w:rsidR="00CC3E89">
        <w:t>T</w:t>
      </w:r>
      <w:r w:rsidR="00523B88">
        <w:t xml:space="preserve">eam </w:t>
      </w:r>
      <w:r w:rsidR="00643973">
        <w:t xml:space="preserve">chose </w:t>
      </w:r>
      <w:r w:rsidR="00523B88">
        <w:t>to normalize savings values for studies provid</w:t>
      </w:r>
      <w:r w:rsidR="00643973">
        <w:t xml:space="preserve">ing </w:t>
      </w:r>
      <w:r w:rsidR="00523B88">
        <w:t>sufficient published data.</w:t>
      </w:r>
      <w:r w:rsidR="002953AD">
        <w:t xml:space="preserve"> </w:t>
      </w:r>
      <w:r w:rsidR="00523B88">
        <w:t xml:space="preserve">All seven sources provided </w:t>
      </w:r>
      <w:r w:rsidR="00643973">
        <w:t xml:space="preserve">enough </w:t>
      </w:r>
      <w:r w:rsidR="00523B88">
        <w:t>detail to inform the normalized savings calculation.</w:t>
      </w:r>
      <w:r w:rsidR="002953AD">
        <w:t xml:space="preserve"> </w:t>
      </w:r>
      <w:r>
        <w:fldChar w:fldCharType="begin"/>
      </w:r>
      <w:r w:rsidR="00643973">
        <w:instrText xml:space="preserve"> REF _Ref388525321 \h </w:instrText>
      </w:r>
      <w:r>
        <w:fldChar w:fldCharType="separate"/>
      </w:r>
      <w:r w:rsidR="00CD20CF">
        <w:t xml:space="preserve">Table </w:t>
      </w:r>
      <w:r w:rsidR="00CD20CF">
        <w:rPr>
          <w:noProof/>
        </w:rPr>
        <w:t>92</w:t>
      </w:r>
      <w:r>
        <w:fldChar w:fldCharType="end"/>
      </w:r>
      <w:r w:rsidR="00643973">
        <w:t xml:space="preserve"> shows the </w:t>
      </w:r>
      <w:r w:rsidR="00523B88">
        <w:t xml:space="preserve">normalization </w:t>
      </w:r>
      <w:r w:rsidR="00643973">
        <w:t>results</w:t>
      </w:r>
      <w:r w:rsidR="00523B88">
        <w:t xml:space="preserve">. </w:t>
      </w:r>
    </w:p>
    <w:p w:rsidR="002C0922" w:rsidRPr="00814B1E" w:rsidRDefault="002C0922" w:rsidP="002C0922">
      <w:pPr>
        <w:rPr>
          <w:b/>
          <w:bCs/>
          <w:color w:val="993300"/>
          <w:szCs w:val="20"/>
        </w:rPr>
      </w:pPr>
    </w:p>
    <w:p w:rsidR="00523B88" w:rsidRDefault="00523B88" w:rsidP="00523B88">
      <w:pPr>
        <w:sectPr w:rsidR="00523B88" w:rsidSect="00523B88">
          <w:pgSz w:w="12240" w:h="15840" w:code="1"/>
          <w:pgMar w:top="1440" w:right="1440" w:bottom="1440" w:left="1440" w:header="720" w:footer="720" w:gutter="0"/>
          <w:cols w:space="720"/>
          <w:docGrid w:linePitch="360"/>
        </w:sectPr>
      </w:pPr>
    </w:p>
    <w:p w:rsidR="00523B88" w:rsidRPr="00040C3B" w:rsidRDefault="00523B88" w:rsidP="00523B88">
      <w:pPr>
        <w:pStyle w:val="Caption"/>
        <w:rPr>
          <w:rFonts w:cs="Arial"/>
          <w:i/>
          <w:iCs/>
          <w:kern w:val="28"/>
          <w:position w:val="6"/>
          <w:sz w:val="24"/>
          <w:szCs w:val="28"/>
        </w:rPr>
      </w:pPr>
      <w:bookmarkStart w:id="158" w:name="_Ref388525315"/>
      <w:r>
        <w:lastRenderedPageBreak/>
        <w:t xml:space="preserve">Table </w:t>
      </w:r>
      <w:r w:rsidR="002506E1">
        <w:fldChar w:fldCharType="begin"/>
      </w:r>
      <w:r w:rsidR="002506E1">
        <w:instrText xml:space="preserve"> SEQ Table \* ARABIC </w:instrText>
      </w:r>
      <w:r w:rsidR="002506E1">
        <w:fldChar w:fldCharType="separate"/>
      </w:r>
      <w:r w:rsidR="00CD20CF">
        <w:rPr>
          <w:noProof/>
        </w:rPr>
        <w:t>91</w:t>
      </w:r>
      <w:r w:rsidR="002506E1">
        <w:rPr>
          <w:noProof/>
        </w:rPr>
        <w:fldChar w:fldCharType="end"/>
      </w:r>
      <w:bookmarkEnd w:id="158"/>
      <w:r>
        <w:t>.</w:t>
      </w:r>
      <w:r w:rsidRPr="008B3FA1">
        <w:t xml:space="preserve"> </w:t>
      </w:r>
      <w:r>
        <w:t>Summary of Showerhead Assumptions and Values</w:t>
      </w:r>
      <w:r w:rsidR="001B7FB7">
        <w:t>*</w:t>
      </w:r>
    </w:p>
    <w:tbl>
      <w:tblPr>
        <w:tblW w:w="134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708"/>
        <w:gridCol w:w="810"/>
        <w:gridCol w:w="810"/>
        <w:gridCol w:w="810"/>
        <w:gridCol w:w="810"/>
        <w:gridCol w:w="810"/>
        <w:gridCol w:w="810"/>
        <w:gridCol w:w="810"/>
        <w:gridCol w:w="810"/>
        <w:gridCol w:w="810"/>
        <w:gridCol w:w="810"/>
        <w:gridCol w:w="810"/>
        <w:gridCol w:w="797"/>
      </w:tblGrid>
      <w:tr w:rsidR="00523B88" w:rsidRPr="00B30112" w:rsidTr="001B7FB7">
        <w:trPr>
          <w:tblHeader/>
        </w:trPr>
        <w:tc>
          <w:tcPr>
            <w:tcW w:w="3708" w:type="dxa"/>
            <w:shd w:val="clear" w:color="000000" w:fill="005DAA"/>
            <w:vAlign w:val="center"/>
            <w:hideMark/>
          </w:tcPr>
          <w:p w:rsidR="00523B88" w:rsidRPr="002953AD" w:rsidRDefault="00523B88" w:rsidP="002C0922">
            <w:pPr>
              <w:spacing w:after="0"/>
              <w:jc w:val="center"/>
              <w:rPr>
                <w:b/>
                <w:bCs/>
                <w:color w:val="FFFFFF"/>
                <w:sz w:val="20"/>
                <w:szCs w:val="20"/>
              </w:rPr>
            </w:pPr>
            <w:r w:rsidRPr="002953AD">
              <w:rPr>
                <w:b/>
                <w:bCs/>
                <w:color w:val="FFFFFF"/>
                <w:sz w:val="20"/>
                <w:szCs w:val="20"/>
              </w:rPr>
              <w:t xml:space="preserve">Inputs </w:t>
            </w:r>
            <w:r w:rsidR="002953AD" w:rsidRPr="002953AD">
              <w:rPr>
                <w:b/>
                <w:bCs/>
                <w:color w:val="FFFFFF"/>
                <w:sz w:val="20"/>
                <w:szCs w:val="20"/>
              </w:rPr>
              <w:t>Description</w:t>
            </w:r>
          </w:p>
        </w:tc>
        <w:tc>
          <w:tcPr>
            <w:tcW w:w="810" w:type="dxa"/>
            <w:shd w:val="clear" w:color="000000" w:fill="005DAA"/>
            <w:vAlign w:val="center"/>
            <w:hideMark/>
          </w:tcPr>
          <w:p w:rsidR="00523B88" w:rsidRPr="002953AD" w:rsidRDefault="00523B88" w:rsidP="002C0922">
            <w:pPr>
              <w:spacing w:after="0"/>
              <w:jc w:val="center"/>
              <w:rPr>
                <w:b/>
                <w:bCs/>
                <w:color w:val="FFFFFF"/>
                <w:sz w:val="20"/>
                <w:szCs w:val="20"/>
              </w:rPr>
            </w:pPr>
            <w:r w:rsidRPr="002953AD">
              <w:rPr>
                <w:b/>
                <w:bCs/>
                <w:color w:val="FFFFFF"/>
                <w:sz w:val="20"/>
                <w:szCs w:val="20"/>
              </w:rPr>
              <w:t>2013 PSD</w:t>
            </w:r>
          </w:p>
        </w:tc>
        <w:tc>
          <w:tcPr>
            <w:tcW w:w="810" w:type="dxa"/>
            <w:shd w:val="clear" w:color="000000" w:fill="005DAA"/>
            <w:vAlign w:val="center"/>
            <w:hideMark/>
          </w:tcPr>
          <w:p w:rsidR="00523B88" w:rsidRPr="002953AD" w:rsidRDefault="00523B88" w:rsidP="002C0922">
            <w:pPr>
              <w:spacing w:after="0"/>
              <w:jc w:val="center"/>
              <w:rPr>
                <w:b/>
                <w:bCs/>
                <w:color w:val="FFFFFF"/>
                <w:sz w:val="20"/>
                <w:szCs w:val="20"/>
              </w:rPr>
            </w:pPr>
            <w:r w:rsidRPr="002953AD">
              <w:rPr>
                <w:b/>
                <w:bCs/>
                <w:color w:val="FFFFFF"/>
                <w:sz w:val="20"/>
                <w:szCs w:val="20"/>
              </w:rPr>
              <w:t>2011 PSD</w:t>
            </w:r>
            <w:r w:rsidR="00CC3E89">
              <w:rPr>
                <w:b/>
                <w:bCs/>
                <w:color w:val="FFFFFF"/>
                <w:sz w:val="20"/>
                <w:szCs w:val="20"/>
              </w:rPr>
              <w:t xml:space="preserve"> (</w:t>
            </w:r>
            <w:r w:rsidRPr="002953AD">
              <w:rPr>
                <w:b/>
                <w:bCs/>
                <w:color w:val="FFFFFF"/>
                <w:sz w:val="20"/>
                <w:szCs w:val="20"/>
              </w:rPr>
              <w:t>HES</w:t>
            </w:r>
            <w:r w:rsidR="00CC3E89">
              <w:rPr>
                <w:b/>
                <w:bCs/>
                <w:color w:val="FFFFFF"/>
                <w:sz w:val="20"/>
                <w:szCs w:val="20"/>
              </w:rPr>
              <w:t>)</w:t>
            </w:r>
          </w:p>
        </w:tc>
        <w:tc>
          <w:tcPr>
            <w:tcW w:w="810" w:type="dxa"/>
            <w:shd w:val="clear" w:color="000000" w:fill="005DAA"/>
            <w:vAlign w:val="center"/>
            <w:hideMark/>
          </w:tcPr>
          <w:p w:rsidR="00523B88" w:rsidRPr="002953AD" w:rsidRDefault="00523B88" w:rsidP="00CC3E89">
            <w:pPr>
              <w:spacing w:after="0"/>
              <w:jc w:val="center"/>
              <w:rPr>
                <w:b/>
                <w:bCs/>
                <w:color w:val="FFFFFF"/>
                <w:sz w:val="20"/>
                <w:szCs w:val="20"/>
              </w:rPr>
            </w:pPr>
            <w:r w:rsidRPr="002953AD">
              <w:rPr>
                <w:b/>
                <w:bCs/>
                <w:color w:val="FFFFFF"/>
                <w:sz w:val="20"/>
                <w:szCs w:val="20"/>
              </w:rPr>
              <w:t>2011 PSD</w:t>
            </w:r>
            <w:r w:rsidR="00CC3E89">
              <w:rPr>
                <w:b/>
                <w:bCs/>
                <w:color w:val="FFFFFF"/>
                <w:sz w:val="20"/>
                <w:szCs w:val="20"/>
              </w:rPr>
              <w:t xml:space="preserve"> (HES-</w:t>
            </w:r>
            <w:r w:rsidRPr="002953AD">
              <w:rPr>
                <w:b/>
                <w:bCs/>
                <w:color w:val="FFFFFF"/>
                <w:sz w:val="20"/>
                <w:szCs w:val="20"/>
              </w:rPr>
              <w:t>IE</w:t>
            </w:r>
            <w:r w:rsidR="00CC3E89">
              <w:rPr>
                <w:b/>
                <w:bCs/>
                <w:color w:val="FFFFFF"/>
                <w:sz w:val="20"/>
                <w:szCs w:val="20"/>
              </w:rPr>
              <w:t>)</w:t>
            </w:r>
          </w:p>
        </w:tc>
        <w:tc>
          <w:tcPr>
            <w:tcW w:w="810" w:type="dxa"/>
            <w:shd w:val="clear" w:color="000000" w:fill="005DAA"/>
            <w:vAlign w:val="center"/>
            <w:hideMark/>
          </w:tcPr>
          <w:p w:rsidR="00523B88" w:rsidRPr="002953AD" w:rsidRDefault="00523B88" w:rsidP="00CC3E89">
            <w:pPr>
              <w:spacing w:after="0"/>
              <w:jc w:val="center"/>
              <w:rPr>
                <w:b/>
                <w:bCs/>
                <w:color w:val="FFFFFF"/>
                <w:sz w:val="20"/>
                <w:szCs w:val="20"/>
              </w:rPr>
            </w:pPr>
            <w:r w:rsidRPr="002953AD">
              <w:rPr>
                <w:b/>
                <w:bCs/>
                <w:color w:val="FFFFFF"/>
                <w:sz w:val="20"/>
                <w:szCs w:val="20"/>
              </w:rPr>
              <w:t>Illinois</w:t>
            </w:r>
            <w:r w:rsidR="00CC3E89">
              <w:rPr>
                <w:b/>
                <w:bCs/>
                <w:color w:val="FFFFFF"/>
                <w:sz w:val="20"/>
                <w:szCs w:val="20"/>
              </w:rPr>
              <w:t xml:space="preserve"> (</w:t>
            </w:r>
            <w:r w:rsidRPr="002953AD">
              <w:rPr>
                <w:b/>
                <w:bCs/>
                <w:color w:val="FFFFFF"/>
                <w:sz w:val="20"/>
                <w:szCs w:val="20"/>
              </w:rPr>
              <w:t>SF</w:t>
            </w:r>
            <w:r w:rsidR="00CC3E89">
              <w:rPr>
                <w:b/>
                <w:bCs/>
                <w:color w:val="FFFFFF"/>
                <w:sz w:val="20"/>
                <w:szCs w:val="20"/>
              </w:rPr>
              <w:t>)</w:t>
            </w:r>
          </w:p>
        </w:tc>
        <w:tc>
          <w:tcPr>
            <w:tcW w:w="810" w:type="dxa"/>
            <w:shd w:val="clear" w:color="000000" w:fill="005DAA"/>
            <w:vAlign w:val="center"/>
            <w:hideMark/>
          </w:tcPr>
          <w:p w:rsidR="00523B88" w:rsidRPr="002953AD" w:rsidRDefault="00523B88" w:rsidP="00CC3E89">
            <w:pPr>
              <w:spacing w:after="0"/>
              <w:jc w:val="center"/>
              <w:rPr>
                <w:b/>
                <w:bCs/>
                <w:color w:val="FFFFFF"/>
                <w:sz w:val="20"/>
                <w:szCs w:val="20"/>
              </w:rPr>
            </w:pPr>
            <w:r w:rsidRPr="002953AD">
              <w:rPr>
                <w:b/>
                <w:bCs/>
                <w:color w:val="FFFFFF"/>
                <w:sz w:val="20"/>
                <w:szCs w:val="20"/>
              </w:rPr>
              <w:t>Illinois</w:t>
            </w:r>
            <w:r w:rsidR="00CC3E89">
              <w:rPr>
                <w:b/>
                <w:bCs/>
                <w:color w:val="FFFFFF"/>
                <w:sz w:val="20"/>
                <w:szCs w:val="20"/>
              </w:rPr>
              <w:t xml:space="preserve"> (</w:t>
            </w:r>
            <w:r w:rsidRPr="002953AD">
              <w:rPr>
                <w:b/>
                <w:bCs/>
                <w:color w:val="FFFFFF"/>
                <w:sz w:val="20"/>
                <w:szCs w:val="20"/>
              </w:rPr>
              <w:t>MF</w:t>
            </w:r>
            <w:r w:rsidR="00CC3E89">
              <w:rPr>
                <w:b/>
                <w:bCs/>
                <w:color w:val="FFFFFF"/>
                <w:sz w:val="20"/>
                <w:szCs w:val="20"/>
              </w:rPr>
              <w:t>)</w:t>
            </w:r>
          </w:p>
        </w:tc>
        <w:tc>
          <w:tcPr>
            <w:tcW w:w="810" w:type="dxa"/>
            <w:shd w:val="clear" w:color="000000" w:fill="005DAA"/>
            <w:vAlign w:val="center"/>
            <w:hideMark/>
          </w:tcPr>
          <w:p w:rsidR="00523B88" w:rsidRPr="002953AD" w:rsidRDefault="00523B88" w:rsidP="00CC3E89">
            <w:pPr>
              <w:spacing w:after="0"/>
              <w:jc w:val="center"/>
              <w:rPr>
                <w:b/>
                <w:bCs/>
                <w:color w:val="FFFFFF"/>
                <w:sz w:val="20"/>
                <w:szCs w:val="20"/>
              </w:rPr>
            </w:pPr>
            <w:r w:rsidRPr="002953AD">
              <w:rPr>
                <w:b/>
                <w:bCs/>
                <w:color w:val="FFFFFF"/>
                <w:sz w:val="20"/>
                <w:szCs w:val="20"/>
              </w:rPr>
              <w:t>MA</w:t>
            </w:r>
            <w:r w:rsidR="00CC3E89">
              <w:rPr>
                <w:b/>
                <w:bCs/>
                <w:color w:val="FFFFFF"/>
                <w:sz w:val="20"/>
                <w:szCs w:val="20"/>
              </w:rPr>
              <w:t xml:space="preserve"> (</w:t>
            </w:r>
            <w:r w:rsidRPr="002953AD">
              <w:rPr>
                <w:b/>
                <w:bCs/>
                <w:color w:val="FFFFFF"/>
                <w:sz w:val="20"/>
                <w:szCs w:val="20"/>
              </w:rPr>
              <w:t>HES</w:t>
            </w:r>
            <w:r w:rsidR="00CC3E89">
              <w:rPr>
                <w:b/>
                <w:bCs/>
                <w:color w:val="FFFFFF"/>
                <w:sz w:val="20"/>
                <w:szCs w:val="20"/>
              </w:rPr>
              <w:t>)</w:t>
            </w:r>
          </w:p>
        </w:tc>
        <w:tc>
          <w:tcPr>
            <w:tcW w:w="810" w:type="dxa"/>
            <w:shd w:val="clear" w:color="000000" w:fill="005DAA"/>
            <w:vAlign w:val="center"/>
            <w:hideMark/>
          </w:tcPr>
          <w:p w:rsidR="00CC3E89" w:rsidRDefault="00523B88" w:rsidP="00CC3E89">
            <w:pPr>
              <w:spacing w:after="0"/>
              <w:jc w:val="center"/>
              <w:rPr>
                <w:b/>
                <w:bCs/>
                <w:color w:val="FFFFFF"/>
                <w:sz w:val="20"/>
                <w:szCs w:val="20"/>
              </w:rPr>
            </w:pPr>
            <w:r w:rsidRPr="002953AD">
              <w:rPr>
                <w:b/>
                <w:bCs/>
                <w:color w:val="FFFFFF"/>
                <w:sz w:val="20"/>
                <w:szCs w:val="20"/>
              </w:rPr>
              <w:t>MA</w:t>
            </w:r>
          </w:p>
          <w:p w:rsidR="00523B88" w:rsidRPr="002953AD" w:rsidRDefault="00CC3E89" w:rsidP="00CC3E89">
            <w:pPr>
              <w:spacing w:after="0"/>
              <w:jc w:val="center"/>
              <w:rPr>
                <w:b/>
                <w:bCs/>
                <w:color w:val="FFFFFF"/>
                <w:sz w:val="20"/>
                <w:szCs w:val="20"/>
              </w:rPr>
            </w:pPr>
            <w:r>
              <w:rPr>
                <w:b/>
                <w:bCs/>
                <w:color w:val="FFFFFF"/>
                <w:sz w:val="20"/>
                <w:szCs w:val="20"/>
              </w:rPr>
              <w:t>(LI)</w:t>
            </w:r>
          </w:p>
        </w:tc>
        <w:tc>
          <w:tcPr>
            <w:tcW w:w="810" w:type="dxa"/>
            <w:shd w:val="clear" w:color="000000" w:fill="005DAA"/>
            <w:vAlign w:val="center"/>
            <w:hideMark/>
          </w:tcPr>
          <w:p w:rsidR="00523B88" w:rsidRPr="002953AD" w:rsidRDefault="00523B88" w:rsidP="00CC3E89">
            <w:pPr>
              <w:spacing w:after="0"/>
              <w:jc w:val="center"/>
              <w:rPr>
                <w:b/>
                <w:bCs/>
                <w:color w:val="FFFFFF"/>
                <w:sz w:val="20"/>
                <w:szCs w:val="20"/>
              </w:rPr>
            </w:pPr>
            <w:r w:rsidRPr="002953AD">
              <w:rPr>
                <w:b/>
                <w:bCs/>
                <w:color w:val="FFFFFF"/>
                <w:sz w:val="20"/>
                <w:szCs w:val="20"/>
              </w:rPr>
              <w:t>Maine</w:t>
            </w:r>
            <w:r w:rsidR="00CC3E89">
              <w:rPr>
                <w:b/>
                <w:bCs/>
                <w:color w:val="FFFFFF"/>
                <w:sz w:val="20"/>
                <w:szCs w:val="20"/>
              </w:rPr>
              <w:t xml:space="preserve"> (</w:t>
            </w:r>
            <w:r w:rsidRPr="002953AD">
              <w:rPr>
                <w:b/>
                <w:bCs/>
                <w:color w:val="FFFFFF"/>
                <w:sz w:val="20"/>
                <w:szCs w:val="20"/>
              </w:rPr>
              <w:t>LI</w:t>
            </w:r>
            <w:r w:rsidR="00CC3E89">
              <w:rPr>
                <w:b/>
                <w:bCs/>
                <w:color w:val="FFFFFF"/>
                <w:sz w:val="20"/>
                <w:szCs w:val="20"/>
              </w:rPr>
              <w:t>)</w:t>
            </w:r>
          </w:p>
        </w:tc>
        <w:tc>
          <w:tcPr>
            <w:tcW w:w="810" w:type="dxa"/>
            <w:shd w:val="clear" w:color="000000" w:fill="005DAA"/>
            <w:vAlign w:val="center"/>
            <w:hideMark/>
          </w:tcPr>
          <w:p w:rsidR="00523B88" w:rsidRPr="002953AD" w:rsidRDefault="00523B88" w:rsidP="002C0922">
            <w:pPr>
              <w:spacing w:after="0"/>
              <w:jc w:val="center"/>
              <w:rPr>
                <w:b/>
                <w:bCs/>
                <w:color w:val="FFFFFF"/>
                <w:sz w:val="20"/>
                <w:szCs w:val="20"/>
              </w:rPr>
            </w:pPr>
            <w:r w:rsidRPr="002953AD">
              <w:rPr>
                <w:b/>
                <w:bCs/>
                <w:color w:val="FFFFFF"/>
                <w:sz w:val="20"/>
                <w:szCs w:val="20"/>
              </w:rPr>
              <w:t>PA 2014</w:t>
            </w:r>
            <w:r w:rsidR="00CC3E89">
              <w:rPr>
                <w:b/>
                <w:bCs/>
                <w:color w:val="FFFFFF"/>
                <w:sz w:val="20"/>
                <w:szCs w:val="20"/>
              </w:rPr>
              <w:t xml:space="preserve"> (</w:t>
            </w:r>
            <w:r w:rsidRPr="002953AD">
              <w:rPr>
                <w:b/>
                <w:bCs/>
                <w:color w:val="FFFFFF"/>
                <w:sz w:val="20"/>
                <w:szCs w:val="20"/>
              </w:rPr>
              <w:t>SF</w:t>
            </w:r>
            <w:r w:rsidR="00CC3E89">
              <w:rPr>
                <w:b/>
                <w:bCs/>
                <w:color w:val="FFFFFF"/>
                <w:sz w:val="20"/>
                <w:szCs w:val="20"/>
              </w:rPr>
              <w:t>)</w:t>
            </w:r>
          </w:p>
        </w:tc>
        <w:tc>
          <w:tcPr>
            <w:tcW w:w="810" w:type="dxa"/>
            <w:shd w:val="clear" w:color="000000" w:fill="005DAA"/>
            <w:vAlign w:val="center"/>
            <w:hideMark/>
          </w:tcPr>
          <w:p w:rsidR="00523B88" w:rsidRPr="002953AD" w:rsidRDefault="00523B88" w:rsidP="00CC3E89">
            <w:pPr>
              <w:spacing w:after="0"/>
              <w:jc w:val="center"/>
              <w:rPr>
                <w:b/>
                <w:bCs/>
                <w:color w:val="FFFFFF"/>
                <w:sz w:val="20"/>
                <w:szCs w:val="20"/>
              </w:rPr>
            </w:pPr>
            <w:r w:rsidRPr="002953AD">
              <w:rPr>
                <w:b/>
                <w:bCs/>
                <w:color w:val="FFFFFF"/>
                <w:sz w:val="20"/>
                <w:szCs w:val="20"/>
              </w:rPr>
              <w:t>PA 2014</w:t>
            </w:r>
            <w:r w:rsidR="00CC3E89">
              <w:rPr>
                <w:b/>
                <w:bCs/>
                <w:color w:val="FFFFFF"/>
                <w:sz w:val="20"/>
                <w:szCs w:val="20"/>
              </w:rPr>
              <w:t xml:space="preserve"> (</w:t>
            </w:r>
            <w:r w:rsidRPr="002953AD">
              <w:rPr>
                <w:b/>
                <w:bCs/>
                <w:color w:val="FFFFFF"/>
                <w:sz w:val="20"/>
                <w:szCs w:val="20"/>
              </w:rPr>
              <w:t>MF</w:t>
            </w:r>
            <w:r w:rsidR="00CC3E89">
              <w:rPr>
                <w:b/>
                <w:bCs/>
                <w:color w:val="FFFFFF"/>
                <w:sz w:val="20"/>
                <w:szCs w:val="20"/>
              </w:rPr>
              <w:t>)</w:t>
            </w:r>
          </w:p>
        </w:tc>
        <w:tc>
          <w:tcPr>
            <w:tcW w:w="810" w:type="dxa"/>
            <w:shd w:val="clear" w:color="000000" w:fill="005DAA"/>
            <w:vAlign w:val="center"/>
            <w:hideMark/>
          </w:tcPr>
          <w:p w:rsidR="00523B88" w:rsidRPr="002953AD" w:rsidRDefault="00523B88" w:rsidP="002C0922">
            <w:pPr>
              <w:spacing w:after="0"/>
              <w:jc w:val="center"/>
              <w:rPr>
                <w:b/>
                <w:bCs/>
                <w:color w:val="FFFFFF"/>
                <w:sz w:val="20"/>
                <w:szCs w:val="20"/>
              </w:rPr>
            </w:pPr>
            <w:r w:rsidRPr="002953AD">
              <w:rPr>
                <w:b/>
                <w:bCs/>
                <w:color w:val="FFFFFF"/>
                <w:sz w:val="20"/>
                <w:szCs w:val="20"/>
              </w:rPr>
              <w:t>Indiana</w:t>
            </w:r>
          </w:p>
        </w:tc>
        <w:tc>
          <w:tcPr>
            <w:tcW w:w="797" w:type="dxa"/>
            <w:shd w:val="clear" w:color="000000" w:fill="005DAA"/>
            <w:vAlign w:val="center"/>
            <w:hideMark/>
          </w:tcPr>
          <w:p w:rsidR="00523B88" w:rsidRPr="002953AD" w:rsidRDefault="00523B88" w:rsidP="002C0922">
            <w:pPr>
              <w:spacing w:after="0"/>
              <w:jc w:val="center"/>
              <w:rPr>
                <w:b/>
                <w:bCs/>
                <w:color w:val="FFFFFF"/>
                <w:sz w:val="20"/>
                <w:szCs w:val="20"/>
              </w:rPr>
            </w:pPr>
            <w:r w:rsidRPr="002953AD">
              <w:rPr>
                <w:b/>
                <w:bCs/>
                <w:color w:val="FFFFFF"/>
                <w:sz w:val="20"/>
                <w:szCs w:val="20"/>
              </w:rPr>
              <w:t>Mid-Atlantic 2013</w:t>
            </w:r>
          </w:p>
        </w:tc>
      </w:tr>
      <w:tr w:rsidR="00523B88" w:rsidRPr="00B30112" w:rsidTr="001B7FB7">
        <w:tc>
          <w:tcPr>
            <w:tcW w:w="3708" w:type="dxa"/>
            <w:shd w:val="clear" w:color="auto" w:fill="auto"/>
            <w:vAlign w:val="center"/>
            <w:hideMark/>
          </w:tcPr>
          <w:p w:rsidR="00523B88" w:rsidRPr="00B30112" w:rsidRDefault="00523B88" w:rsidP="00F6139F">
            <w:pPr>
              <w:spacing w:after="0"/>
              <w:rPr>
                <w:color w:val="000000"/>
                <w:sz w:val="20"/>
                <w:szCs w:val="20"/>
              </w:rPr>
            </w:pPr>
            <w:r w:rsidRPr="00B30112">
              <w:rPr>
                <w:color w:val="000000"/>
                <w:sz w:val="20"/>
                <w:szCs w:val="20"/>
              </w:rPr>
              <w:t xml:space="preserve">Density of </w:t>
            </w:r>
            <w:r w:rsidR="00F6139F">
              <w:rPr>
                <w:color w:val="000000"/>
                <w:sz w:val="20"/>
                <w:szCs w:val="20"/>
              </w:rPr>
              <w:t>W</w:t>
            </w:r>
            <w:r w:rsidRPr="00B30112">
              <w:rPr>
                <w:color w:val="000000"/>
                <w:sz w:val="20"/>
                <w:szCs w:val="20"/>
              </w:rPr>
              <w:t>ater</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8.31</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8.30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8.30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8.33</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8.33</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8.31</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8.31</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8.33</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8.33</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8.33</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8.33</w:t>
            </w:r>
          </w:p>
        </w:tc>
        <w:tc>
          <w:tcPr>
            <w:tcW w:w="797"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8.33</w:t>
            </w:r>
          </w:p>
        </w:tc>
      </w:tr>
      <w:tr w:rsidR="00523B88" w:rsidRPr="00B30112" w:rsidTr="001B7FB7">
        <w:tc>
          <w:tcPr>
            <w:tcW w:w="3708" w:type="dxa"/>
            <w:shd w:val="clear" w:color="auto" w:fill="auto"/>
            <w:vAlign w:val="center"/>
            <w:hideMark/>
          </w:tcPr>
          <w:p w:rsidR="00523B88" w:rsidRPr="00B30112" w:rsidRDefault="00523B88" w:rsidP="002C0922">
            <w:pPr>
              <w:spacing w:after="0"/>
              <w:rPr>
                <w:color w:val="000000"/>
                <w:sz w:val="20"/>
                <w:szCs w:val="20"/>
              </w:rPr>
            </w:pPr>
            <w:r w:rsidRPr="00B30112">
              <w:rPr>
                <w:color w:val="000000"/>
                <w:sz w:val="20"/>
                <w:szCs w:val="20"/>
              </w:rPr>
              <w:t>Energy Factor of Electric Water Heater</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0.95</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0.90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0.90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797"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r>
      <w:tr w:rsidR="00523B88" w:rsidRPr="00B30112" w:rsidTr="001B7FB7">
        <w:tc>
          <w:tcPr>
            <w:tcW w:w="3708" w:type="dxa"/>
            <w:shd w:val="clear" w:color="auto" w:fill="auto"/>
            <w:vAlign w:val="center"/>
            <w:hideMark/>
          </w:tcPr>
          <w:p w:rsidR="00523B88" w:rsidRPr="00B30112" w:rsidRDefault="00523B88" w:rsidP="002C0922">
            <w:pPr>
              <w:spacing w:after="0"/>
              <w:rPr>
                <w:color w:val="000000"/>
                <w:sz w:val="20"/>
                <w:szCs w:val="20"/>
              </w:rPr>
            </w:pPr>
            <w:r w:rsidRPr="00B30112">
              <w:rPr>
                <w:color w:val="000000"/>
                <w:sz w:val="20"/>
                <w:szCs w:val="20"/>
              </w:rPr>
              <w:t>GPM Base (Gal/min)</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2.50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2.50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2.50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2.67</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2.67</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2.05</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2.05</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2.50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2.50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2.50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2.80</w:t>
            </w:r>
          </w:p>
        </w:tc>
        <w:tc>
          <w:tcPr>
            <w:tcW w:w="797"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2.50</w:t>
            </w:r>
          </w:p>
        </w:tc>
      </w:tr>
      <w:tr w:rsidR="00523B88" w:rsidRPr="00B30112" w:rsidTr="001B7FB7">
        <w:tc>
          <w:tcPr>
            <w:tcW w:w="3708" w:type="dxa"/>
            <w:shd w:val="clear" w:color="auto" w:fill="auto"/>
            <w:vAlign w:val="center"/>
            <w:hideMark/>
          </w:tcPr>
          <w:p w:rsidR="00523B88" w:rsidRPr="00B30112" w:rsidRDefault="00523B88" w:rsidP="00F6139F">
            <w:pPr>
              <w:spacing w:after="0"/>
              <w:rPr>
                <w:color w:val="000000"/>
                <w:sz w:val="20"/>
                <w:szCs w:val="20"/>
              </w:rPr>
            </w:pPr>
            <w:r w:rsidRPr="00B30112">
              <w:rPr>
                <w:color w:val="000000"/>
                <w:sz w:val="20"/>
                <w:szCs w:val="20"/>
              </w:rPr>
              <w:t>GPM Low (Gal/min)</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2.00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2.00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2.00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2.00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2.00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1.61</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1.61</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2.00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1.50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1.50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2.00</w:t>
            </w:r>
          </w:p>
        </w:tc>
        <w:tc>
          <w:tcPr>
            <w:tcW w:w="797"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2.00</w:t>
            </w:r>
          </w:p>
        </w:tc>
      </w:tr>
      <w:tr w:rsidR="00523B88" w:rsidRPr="00B30112" w:rsidTr="001B7FB7">
        <w:tc>
          <w:tcPr>
            <w:tcW w:w="3708" w:type="dxa"/>
            <w:shd w:val="clear" w:color="auto" w:fill="auto"/>
            <w:vAlign w:val="center"/>
            <w:hideMark/>
          </w:tcPr>
          <w:p w:rsidR="00523B88" w:rsidRPr="00B30112" w:rsidRDefault="00523B88" w:rsidP="00F6139F">
            <w:pPr>
              <w:spacing w:after="0"/>
              <w:rPr>
                <w:color w:val="000000"/>
                <w:sz w:val="20"/>
                <w:szCs w:val="20"/>
              </w:rPr>
            </w:pPr>
            <w:r w:rsidRPr="00B30112">
              <w:rPr>
                <w:color w:val="000000"/>
                <w:sz w:val="20"/>
                <w:szCs w:val="20"/>
              </w:rPr>
              <w:t xml:space="preserve">Average </w:t>
            </w:r>
            <w:r w:rsidR="00F6139F">
              <w:rPr>
                <w:color w:val="000000"/>
                <w:sz w:val="20"/>
                <w:szCs w:val="20"/>
              </w:rPr>
              <w:t>T</w:t>
            </w:r>
            <w:r w:rsidRPr="00B30112">
              <w:rPr>
                <w:color w:val="000000"/>
                <w:sz w:val="20"/>
                <w:szCs w:val="20"/>
              </w:rPr>
              <w:t xml:space="preserve">otal </w:t>
            </w:r>
            <w:r w:rsidR="00F6139F">
              <w:rPr>
                <w:color w:val="000000"/>
                <w:sz w:val="20"/>
                <w:szCs w:val="20"/>
              </w:rPr>
              <w:t>N</w:t>
            </w:r>
            <w:r w:rsidRPr="00B30112">
              <w:rPr>
                <w:color w:val="000000"/>
                <w:sz w:val="20"/>
                <w:szCs w:val="20"/>
              </w:rPr>
              <w:t xml:space="preserve">umber </w:t>
            </w:r>
            <w:r w:rsidR="00F6139F">
              <w:rPr>
                <w:color w:val="000000"/>
                <w:sz w:val="20"/>
                <w:szCs w:val="20"/>
              </w:rPr>
              <w:t>S</w:t>
            </w:r>
            <w:r w:rsidRPr="00B30112">
              <w:rPr>
                <w:color w:val="000000"/>
                <w:sz w:val="20"/>
                <w:szCs w:val="20"/>
              </w:rPr>
              <w:t xml:space="preserve">howerheads per </w:t>
            </w:r>
            <w:r w:rsidR="00F6139F">
              <w:rPr>
                <w:color w:val="000000"/>
                <w:sz w:val="20"/>
                <w:szCs w:val="20"/>
              </w:rPr>
              <w:t>H</w:t>
            </w:r>
            <w:r w:rsidRPr="00B30112">
              <w:rPr>
                <w:color w:val="000000"/>
                <w:sz w:val="20"/>
                <w:szCs w:val="20"/>
              </w:rPr>
              <w:t>ousehold</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2.30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2.00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1.10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1.80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1.30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1.70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1.70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1.30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797"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1.60</w:t>
            </w:r>
          </w:p>
        </w:tc>
      </w:tr>
      <w:tr w:rsidR="00523B88" w:rsidRPr="00B30112" w:rsidTr="001B7FB7">
        <w:tc>
          <w:tcPr>
            <w:tcW w:w="3708" w:type="dxa"/>
            <w:shd w:val="clear" w:color="auto" w:fill="auto"/>
            <w:vAlign w:val="center"/>
            <w:hideMark/>
          </w:tcPr>
          <w:p w:rsidR="00523B88" w:rsidRPr="00B30112" w:rsidRDefault="00523B88" w:rsidP="00F6139F">
            <w:pPr>
              <w:spacing w:after="0"/>
              <w:rPr>
                <w:color w:val="000000"/>
                <w:sz w:val="20"/>
                <w:szCs w:val="20"/>
              </w:rPr>
            </w:pPr>
            <w:r w:rsidRPr="00B30112">
              <w:rPr>
                <w:color w:val="000000"/>
                <w:sz w:val="20"/>
                <w:szCs w:val="20"/>
              </w:rPr>
              <w:t xml:space="preserve">Average </w:t>
            </w:r>
            <w:r w:rsidR="00F6139F">
              <w:rPr>
                <w:color w:val="000000"/>
                <w:sz w:val="20"/>
                <w:szCs w:val="20"/>
              </w:rPr>
              <w:t>N</w:t>
            </w:r>
            <w:r w:rsidRPr="00B30112">
              <w:rPr>
                <w:color w:val="000000"/>
                <w:sz w:val="20"/>
                <w:szCs w:val="20"/>
              </w:rPr>
              <w:t xml:space="preserve">umber of </w:t>
            </w:r>
            <w:r w:rsidR="00F6139F">
              <w:rPr>
                <w:color w:val="000000"/>
                <w:sz w:val="20"/>
                <w:szCs w:val="20"/>
              </w:rPr>
              <w:t>S</w:t>
            </w:r>
            <w:r w:rsidRPr="00B30112">
              <w:rPr>
                <w:color w:val="000000"/>
                <w:sz w:val="20"/>
                <w:szCs w:val="20"/>
              </w:rPr>
              <w:t xml:space="preserve">hower </w:t>
            </w:r>
            <w:r w:rsidR="00F6139F">
              <w:rPr>
                <w:color w:val="000000"/>
                <w:sz w:val="20"/>
                <w:szCs w:val="20"/>
              </w:rPr>
              <w:t>E</w:t>
            </w:r>
            <w:r w:rsidRPr="00B30112">
              <w:rPr>
                <w:color w:val="000000"/>
                <w:sz w:val="20"/>
                <w:szCs w:val="20"/>
              </w:rPr>
              <w:t xml:space="preserve">vents per </w:t>
            </w:r>
            <w:r w:rsidR="00F6139F">
              <w:rPr>
                <w:color w:val="000000"/>
                <w:sz w:val="20"/>
                <w:szCs w:val="20"/>
              </w:rPr>
              <w:t>D</w:t>
            </w:r>
            <w:r w:rsidRPr="00B30112">
              <w:rPr>
                <w:color w:val="000000"/>
                <w:sz w:val="20"/>
                <w:szCs w:val="20"/>
              </w:rPr>
              <w:t xml:space="preserve">ay per </w:t>
            </w:r>
            <w:r w:rsidR="00F6139F">
              <w:rPr>
                <w:color w:val="000000"/>
                <w:sz w:val="20"/>
                <w:szCs w:val="20"/>
              </w:rPr>
              <w:t>H</w:t>
            </w:r>
            <w:r w:rsidRPr="00B30112">
              <w:rPr>
                <w:color w:val="000000"/>
                <w:sz w:val="20"/>
                <w:szCs w:val="20"/>
              </w:rPr>
              <w:t>ousehold</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1.97</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1.92</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1.58</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2.03</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1.61</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1.43</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1.62</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1.08</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1.43</w:t>
            </w:r>
          </w:p>
        </w:tc>
        <w:tc>
          <w:tcPr>
            <w:tcW w:w="797"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2.56</w:t>
            </w:r>
          </w:p>
        </w:tc>
      </w:tr>
      <w:tr w:rsidR="00523B88" w:rsidRPr="00B30112" w:rsidTr="001B7FB7">
        <w:tc>
          <w:tcPr>
            <w:tcW w:w="3708" w:type="dxa"/>
            <w:shd w:val="clear" w:color="auto" w:fill="auto"/>
            <w:vAlign w:val="center"/>
            <w:hideMark/>
          </w:tcPr>
          <w:p w:rsidR="00523B88" w:rsidRPr="00B30112" w:rsidRDefault="00523B88" w:rsidP="00F6139F">
            <w:pPr>
              <w:spacing w:after="0"/>
              <w:rPr>
                <w:color w:val="000000"/>
                <w:sz w:val="20"/>
                <w:szCs w:val="20"/>
              </w:rPr>
            </w:pPr>
            <w:r w:rsidRPr="00B30112">
              <w:rPr>
                <w:color w:val="000000"/>
                <w:sz w:val="20"/>
                <w:szCs w:val="20"/>
              </w:rPr>
              <w:t xml:space="preserve">Annual Water Savings per </w:t>
            </w:r>
            <w:r w:rsidR="00F6139F">
              <w:rPr>
                <w:color w:val="000000"/>
                <w:sz w:val="20"/>
                <w:szCs w:val="20"/>
              </w:rPr>
              <w:t>S</w:t>
            </w:r>
            <w:r w:rsidRPr="00B30112">
              <w:rPr>
                <w:color w:val="000000"/>
                <w:sz w:val="20"/>
                <w:szCs w:val="20"/>
              </w:rPr>
              <w:t>howerhead (Gal)</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1,212.30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3,650.00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6,160.00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797"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r>
      <w:tr w:rsidR="00523B88" w:rsidRPr="00B30112" w:rsidTr="001B7FB7">
        <w:tc>
          <w:tcPr>
            <w:tcW w:w="3708" w:type="dxa"/>
            <w:shd w:val="clear" w:color="auto" w:fill="auto"/>
            <w:vAlign w:val="center"/>
            <w:hideMark/>
          </w:tcPr>
          <w:p w:rsidR="00523B88" w:rsidRPr="00B30112" w:rsidRDefault="00523B88" w:rsidP="00F6139F">
            <w:pPr>
              <w:spacing w:after="0"/>
              <w:rPr>
                <w:color w:val="000000"/>
                <w:sz w:val="20"/>
                <w:szCs w:val="20"/>
              </w:rPr>
            </w:pPr>
            <w:r w:rsidRPr="00B30112">
              <w:rPr>
                <w:color w:val="000000"/>
                <w:sz w:val="20"/>
                <w:szCs w:val="20"/>
              </w:rPr>
              <w:t xml:space="preserve">Temperature of </w:t>
            </w:r>
            <w:r w:rsidR="00F6139F">
              <w:rPr>
                <w:color w:val="000000"/>
                <w:sz w:val="20"/>
                <w:szCs w:val="20"/>
              </w:rPr>
              <w:t>W</w:t>
            </w:r>
            <w:r w:rsidRPr="00B30112">
              <w:rPr>
                <w:color w:val="000000"/>
                <w:sz w:val="20"/>
                <w:szCs w:val="20"/>
              </w:rPr>
              <w:t xml:space="preserve">ater from </w:t>
            </w:r>
            <w:r w:rsidR="00F6139F">
              <w:rPr>
                <w:color w:val="000000"/>
                <w:sz w:val="20"/>
                <w:szCs w:val="20"/>
              </w:rPr>
              <w:t>S</w:t>
            </w:r>
            <w:r w:rsidRPr="00B30112">
              <w:rPr>
                <w:color w:val="000000"/>
                <w:sz w:val="20"/>
                <w:szCs w:val="20"/>
              </w:rPr>
              <w:t>hower (F)</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105.00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105.00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105.00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105.00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105.00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105.00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105.00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101.00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101.00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101.00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105.00</w:t>
            </w:r>
          </w:p>
        </w:tc>
        <w:tc>
          <w:tcPr>
            <w:tcW w:w="797"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105.00</w:t>
            </w:r>
          </w:p>
        </w:tc>
      </w:tr>
      <w:tr w:rsidR="00523B88" w:rsidRPr="00B30112" w:rsidTr="001B7FB7">
        <w:tc>
          <w:tcPr>
            <w:tcW w:w="3708" w:type="dxa"/>
            <w:shd w:val="clear" w:color="auto" w:fill="auto"/>
            <w:vAlign w:val="center"/>
            <w:hideMark/>
          </w:tcPr>
          <w:p w:rsidR="00523B88" w:rsidRPr="00B30112" w:rsidRDefault="00523B88" w:rsidP="00F6139F">
            <w:pPr>
              <w:spacing w:after="0"/>
              <w:rPr>
                <w:color w:val="000000"/>
                <w:sz w:val="20"/>
                <w:szCs w:val="20"/>
              </w:rPr>
            </w:pPr>
            <w:r w:rsidRPr="00B30112">
              <w:rPr>
                <w:color w:val="000000"/>
                <w:sz w:val="20"/>
                <w:szCs w:val="20"/>
              </w:rPr>
              <w:t xml:space="preserve">Temperature of </w:t>
            </w:r>
            <w:r w:rsidR="00F6139F">
              <w:rPr>
                <w:color w:val="000000"/>
                <w:sz w:val="20"/>
                <w:szCs w:val="20"/>
              </w:rPr>
              <w:t>W</w:t>
            </w:r>
            <w:r w:rsidRPr="00B30112">
              <w:rPr>
                <w:color w:val="000000"/>
                <w:sz w:val="20"/>
                <w:szCs w:val="20"/>
              </w:rPr>
              <w:t xml:space="preserve">ater into </w:t>
            </w:r>
            <w:r w:rsidR="00F6139F">
              <w:rPr>
                <w:color w:val="000000"/>
                <w:sz w:val="20"/>
                <w:szCs w:val="20"/>
              </w:rPr>
              <w:t>H</w:t>
            </w:r>
            <w:r w:rsidRPr="00B30112">
              <w:rPr>
                <w:color w:val="000000"/>
                <w:sz w:val="20"/>
                <w:szCs w:val="20"/>
              </w:rPr>
              <w:t>ouse (F)</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55.00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55.00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55.00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54.10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54.10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56.00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56.00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50.80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55.00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55.00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55.70</w:t>
            </w:r>
          </w:p>
        </w:tc>
        <w:tc>
          <w:tcPr>
            <w:tcW w:w="797"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55.00</w:t>
            </w:r>
          </w:p>
        </w:tc>
      </w:tr>
      <w:tr w:rsidR="00523B88" w:rsidRPr="00B30112" w:rsidTr="001B7FB7">
        <w:tc>
          <w:tcPr>
            <w:tcW w:w="3708" w:type="dxa"/>
            <w:shd w:val="clear" w:color="auto" w:fill="auto"/>
            <w:vAlign w:val="center"/>
            <w:hideMark/>
          </w:tcPr>
          <w:p w:rsidR="00523B88" w:rsidRPr="00B30112" w:rsidRDefault="00523B88" w:rsidP="002C0922">
            <w:pPr>
              <w:spacing w:after="0"/>
              <w:rPr>
                <w:color w:val="000000"/>
                <w:sz w:val="20"/>
                <w:szCs w:val="20"/>
              </w:rPr>
            </w:pPr>
            <w:r w:rsidRPr="00B30112">
              <w:rPr>
                <w:color w:val="000000"/>
                <w:sz w:val="20"/>
                <w:szCs w:val="20"/>
              </w:rPr>
              <w:t>Days/Year</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365.00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365.00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365.00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365.25</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365.25</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365.00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365.00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365.00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365.00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365.00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365.00</w:t>
            </w:r>
          </w:p>
        </w:tc>
        <w:tc>
          <w:tcPr>
            <w:tcW w:w="797"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365.00</w:t>
            </w:r>
          </w:p>
        </w:tc>
      </w:tr>
      <w:tr w:rsidR="00523B88" w:rsidRPr="00B30112" w:rsidTr="001B7FB7">
        <w:tc>
          <w:tcPr>
            <w:tcW w:w="3708" w:type="dxa"/>
            <w:shd w:val="clear" w:color="auto" w:fill="auto"/>
            <w:vAlign w:val="center"/>
            <w:hideMark/>
          </w:tcPr>
          <w:p w:rsidR="00523B88" w:rsidRPr="00B30112" w:rsidRDefault="00523B88" w:rsidP="002C0922">
            <w:pPr>
              <w:spacing w:after="0"/>
              <w:rPr>
                <w:color w:val="000000"/>
                <w:sz w:val="20"/>
                <w:szCs w:val="20"/>
              </w:rPr>
            </w:pPr>
            <w:r w:rsidRPr="00B30112">
              <w:rPr>
                <w:color w:val="000000"/>
                <w:sz w:val="20"/>
                <w:szCs w:val="20"/>
              </w:rPr>
              <w:t>RE of Electric Water Heater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0.98</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0.98</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0.97</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0.97</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0.98</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0.98</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0.98</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0.98</w:t>
            </w:r>
          </w:p>
        </w:tc>
        <w:tc>
          <w:tcPr>
            <w:tcW w:w="797"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0.98</w:t>
            </w:r>
          </w:p>
        </w:tc>
      </w:tr>
      <w:tr w:rsidR="00523B88" w:rsidRPr="00B30112" w:rsidTr="001B7FB7">
        <w:tc>
          <w:tcPr>
            <w:tcW w:w="3708" w:type="dxa"/>
            <w:shd w:val="clear" w:color="auto" w:fill="auto"/>
            <w:vAlign w:val="center"/>
            <w:hideMark/>
          </w:tcPr>
          <w:p w:rsidR="00523B88" w:rsidRPr="00B30112" w:rsidRDefault="00523B88" w:rsidP="00F6139F">
            <w:pPr>
              <w:spacing w:after="0"/>
              <w:rPr>
                <w:color w:val="000000"/>
                <w:sz w:val="20"/>
                <w:szCs w:val="20"/>
              </w:rPr>
            </w:pPr>
            <w:r w:rsidRPr="00B30112">
              <w:rPr>
                <w:color w:val="000000"/>
                <w:sz w:val="20"/>
                <w:szCs w:val="20"/>
              </w:rPr>
              <w:t xml:space="preserve">Electric Energy per </w:t>
            </w:r>
            <w:r w:rsidR="00F6139F">
              <w:rPr>
                <w:color w:val="000000"/>
                <w:sz w:val="20"/>
                <w:szCs w:val="20"/>
              </w:rPr>
              <w:t>G</w:t>
            </w:r>
            <w:r w:rsidRPr="00B30112">
              <w:rPr>
                <w:color w:val="000000"/>
                <w:sz w:val="20"/>
                <w:szCs w:val="20"/>
              </w:rPr>
              <w:t xml:space="preserve">allon of </w:t>
            </w:r>
            <w:r w:rsidR="00F6139F">
              <w:rPr>
                <w:color w:val="000000"/>
                <w:sz w:val="20"/>
                <w:szCs w:val="20"/>
              </w:rPr>
              <w:t>W</w:t>
            </w:r>
            <w:r w:rsidRPr="00B30112">
              <w:rPr>
                <w:color w:val="000000"/>
                <w:sz w:val="20"/>
                <w:szCs w:val="20"/>
              </w:rPr>
              <w:t>ater (kW/Gal)</w:t>
            </w:r>
          </w:p>
        </w:tc>
        <w:tc>
          <w:tcPr>
            <w:tcW w:w="810" w:type="dxa"/>
            <w:shd w:val="clear" w:color="000000" w:fill="FFE8D2"/>
            <w:vAlign w:val="center"/>
            <w:hideMark/>
          </w:tcPr>
          <w:p w:rsidR="00523B88" w:rsidRPr="00B30112" w:rsidRDefault="00523B88" w:rsidP="00B30112">
            <w:pPr>
              <w:spacing w:after="0"/>
              <w:jc w:val="right"/>
              <w:rPr>
                <w:color w:val="000000"/>
                <w:sz w:val="20"/>
                <w:szCs w:val="20"/>
              </w:rPr>
            </w:pPr>
            <w:r w:rsidRPr="00B30112">
              <w:rPr>
                <w:color w:val="000000"/>
                <w:sz w:val="20"/>
                <w:szCs w:val="20"/>
              </w:rPr>
              <w:t>0.13</w:t>
            </w:r>
          </w:p>
        </w:tc>
        <w:tc>
          <w:tcPr>
            <w:tcW w:w="810" w:type="dxa"/>
            <w:shd w:val="clear" w:color="000000" w:fill="FFE8D2"/>
            <w:vAlign w:val="center"/>
            <w:hideMark/>
          </w:tcPr>
          <w:p w:rsidR="00523B88" w:rsidRPr="00B30112" w:rsidRDefault="00523B88" w:rsidP="00B30112">
            <w:pPr>
              <w:spacing w:after="0"/>
              <w:jc w:val="right"/>
              <w:rPr>
                <w:color w:val="000000"/>
                <w:sz w:val="20"/>
                <w:szCs w:val="20"/>
              </w:rPr>
            </w:pPr>
            <w:r w:rsidRPr="00B30112">
              <w:rPr>
                <w:color w:val="000000"/>
                <w:sz w:val="20"/>
                <w:szCs w:val="20"/>
              </w:rPr>
              <w:t>0.14</w:t>
            </w:r>
          </w:p>
        </w:tc>
        <w:tc>
          <w:tcPr>
            <w:tcW w:w="810" w:type="dxa"/>
            <w:shd w:val="clear" w:color="000000" w:fill="FFE8D2"/>
            <w:vAlign w:val="center"/>
            <w:hideMark/>
          </w:tcPr>
          <w:p w:rsidR="00523B88" w:rsidRPr="00B30112" w:rsidRDefault="00523B88" w:rsidP="00B30112">
            <w:pPr>
              <w:spacing w:after="0"/>
              <w:jc w:val="right"/>
              <w:rPr>
                <w:color w:val="000000"/>
                <w:sz w:val="20"/>
                <w:szCs w:val="20"/>
              </w:rPr>
            </w:pPr>
            <w:r w:rsidRPr="00B30112">
              <w:rPr>
                <w:color w:val="000000"/>
                <w:sz w:val="20"/>
                <w:szCs w:val="20"/>
              </w:rPr>
              <w:t>0.14</w:t>
            </w:r>
          </w:p>
        </w:tc>
        <w:tc>
          <w:tcPr>
            <w:tcW w:w="810" w:type="dxa"/>
            <w:shd w:val="clear" w:color="000000" w:fill="FFE8D2"/>
            <w:vAlign w:val="center"/>
            <w:hideMark/>
          </w:tcPr>
          <w:p w:rsidR="00523B88" w:rsidRPr="00B30112" w:rsidRDefault="00523B88" w:rsidP="00B30112">
            <w:pPr>
              <w:spacing w:after="0"/>
              <w:jc w:val="right"/>
              <w:rPr>
                <w:color w:val="000000"/>
                <w:sz w:val="20"/>
                <w:szCs w:val="20"/>
              </w:rPr>
            </w:pPr>
            <w:r w:rsidRPr="00B30112">
              <w:rPr>
                <w:color w:val="000000"/>
                <w:sz w:val="20"/>
                <w:szCs w:val="20"/>
              </w:rPr>
              <w:t>0.13</w:t>
            </w:r>
          </w:p>
        </w:tc>
        <w:tc>
          <w:tcPr>
            <w:tcW w:w="810" w:type="dxa"/>
            <w:shd w:val="clear" w:color="000000" w:fill="FFE8D2"/>
            <w:vAlign w:val="center"/>
            <w:hideMark/>
          </w:tcPr>
          <w:p w:rsidR="00523B88" w:rsidRPr="00B30112" w:rsidRDefault="00523B88" w:rsidP="00B30112">
            <w:pPr>
              <w:spacing w:after="0"/>
              <w:jc w:val="right"/>
              <w:rPr>
                <w:color w:val="000000"/>
                <w:sz w:val="20"/>
                <w:szCs w:val="20"/>
              </w:rPr>
            </w:pPr>
            <w:r w:rsidRPr="00B30112">
              <w:rPr>
                <w:color w:val="000000"/>
                <w:sz w:val="20"/>
                <w:szCs w:val="20"/>
              </w:rPr>
              <w:t>0.13</w:t>
            </w:r>
          </w:p>
        </w:tc>
        <w:tc>
          <w:tcPr>
            <w:tcW w:w="810" w:type="dxa"/>
            <w:shd w:val="clear" w:color="000000" w:fill="FFE8D2"/>
            <w:vAlign w:val="center"/>
            <w:hideMark/>
          </w:tcPr>
          <w:p w:rsidR="00523B88" w:rsidRPr="00B30112" w:rsidRDefault="00523B88" w:rsidP="00B30112">
            <w:pPr>
              <w:spacing w:after="0"/>
              <w:jc w:val="right"/>
              <w:rPr>
                <w:color w:val="000000"/>
                <w:sz w:val="20"/>
                <w:szCs w:val="20"/>
              </w:rPr>
            </w:pPr>
            <w:r w:rsidRPr="00B30112">
              <w:rPr>
                <w:color w:val="000000"/>
                <w:sz w:val="20"/>
                <w:szCs w:val="20"/>
              </w:rPr>
              <w:t>0.12</w:t>
            </w:r>
          </w:p>
        </w:tc>
        <w:tc>
          <w:tcPr>
            <w:tcW w:w="810" w:type="dxa"/>
            <w:shd w:val="clear" w:color="000000" w:fill="FFE8D2"/>
            <w:vAlign w:val="center"/>
            <w:hideMark/>
          </w:tcPr>
          <w:p w:rsidR="00523B88" w:rsidRPr="00B30112" w:rsidRDefault="00523B88" w:rsidP="00B30112">
            <w:pPr>
              <w:spacing w:after="0"/>
              <w:jc w:val="right"/>
              <w:rPr>
                <w:color w:val="000000"/>
                <w:sz w:val="20"/>
                <w:szCs w:val="20"/>
              </w:rPr>
            </w:pPr>
            <w:r w:rsidRPr="00B30112">
              <w:rPr>
                <w:color w:val="000000"/>
                <w:sz w:val="20"/>
                <w:szCs w:val="20"/>
              </w:rPr>
              <w:t>0.12</w:t>
            </w:r>
          </w:p>
        </w:tc>
        <w:tc>
          <w:tcPr>
            <w:tcW w:w="810" w:type="dxa"/>
            <w:shd w:val="clear" w:color="000000" w:fill="FFE8D2"/>
            <w:vAlign w:val="center"/>
            <w:hideMark/>
          </w:tcPr>
          <w:p w:rsidR="00523B88" w:rsidRPr="00B30112" w:rsidRDefault="00523B88" w:rsidP="00B30112">
            <w:pPr>
              <w:spacing w:after="0"/>
              <w:jc w:val="right"/>
              <w:rPr>
                <w:color w:val="000000"/>
                <w:sz w:val="20"/>
                <w:szCs w:val="20"/>
              </w:rPr>
            </w:pPr>
            <w:r w:rsidRPr="00B30112">
              <w:rPr>
                <w:color w:val="000000"/>
                <w:sz w:val="20"/>
                <w:szCs w:val="20"/>
              </w:rPr>
              <w:t>0.13</w:t>
            </w:r>
          </w:p>
        </w:tc>
        <w:tc>
          <w:tcPr>
            <w:tcW w:w="810" w:type="dxa"/>
            <w:shd w:val="clear" w:color="000000" w:fill="FFE8D2"/>
            <w:vAlign w:val="center"/>
            <w:hideMark/>
          </w:tcPr>
          <w:p w:rsidR="00523B88" w:rsidRPr="00B30112" w:rsidRDefault="00523B88" w:rsidP="00B30112">
            <w:pPr>
              <w:spacing w:after="0"/>
              <w:jc w:val="right"/>
              <w:rPr>
                <w:color w:val="000000"/>
                <w:sz w:val="20"/>
                <w:szCs w:val="20"/>
              </w:rPr>
            </w:pPr>
            <w:r w:rsidRPr="00B30112">
              <w:rPr>
                <w:color w:val="000000"/>
                <w:sz w:val="20"/>
                <w:szCs w:val="20"/>
              </w:rPr>
              <w:t>0.12</w:t>
            </w:r>
          </w:p>
        </w:tc>
        <w:tc>
          <w:tcPr>
            <w:tcW w:w="810" w:type="dxa"/>
            <w:shd w:val="clear" w:color="000000" w:fill="FFE8D2"/>
            <w:vAlign w:val="center"/>
            <w:hideMark/>
          </w:tcPr>
          <w:p w:rsidR="00523B88" w:rsidRPr="00B30112" w:rsidRDefault="00523B88" w:rsidP="00B30112">
            <w:pPr>
              <w:spacing w:after="0"/>
              <w:jc w:val="right"/>
              <w:rPr>
                <w:color w:val="000000"/>
                <w:sz w:val="20"/>
                <w:szCs w:val="20"/>
              </w:rPr>
            </w:pPr>
            <w:r w:rsidRPr="00B30112">
              <w:rPr>
                <w:color w:val="000000"/>
                <w:sz w:val="20"/>
                <w:szCs w:val="20"/>
              </w:rPr>
              <w:t>0.12</w:t>
            </w:r>
          </w:p>
        </w:tc>
        <w:tc>
          <w:tcPr>
            <w:tcW w:w="810" w:type="dxa"/>
            <w:shd w:val="clear" w:color="000000" w:fill="FFE8D2"/>
            <w:vAlign w:val="center"/>
            <w:hideMark/>
          </w:tcPr>
          <w:p w:rsidR="00523B88" w:rsidRPr="00B30112" w:rsidRDefault="00523B88" w:rsidP="00B30112">
            <w:pPr>
              <w:spacing w:after="0"/>
              <w:jc w:val="right"/>
              <w:rPr>
                <w:color w:val="000000"/>
                <w:sz w:val="20"/>
                <w:szCs w:val="20"/>
              </w:rPr>
            </w:pPr>
            <w:r w:rsidRPr="00B30112">
              <w:rPr>
                <w:color w:val="000000"/>
                <w:sz w:val="20"/>
                <w:szCs w:val="20"/>
              </w:rPr>
              <w:t>0.12</w:t>
            </w:r>
          </w:p>
        </w:tc>
        <w:tc>
          <w:tcPr>
            <w:tcW w:w="797" w:type="dxa"/>
            <w:shd w:val="clear" w:color="000000" w:fill="FFE8D2"/>
            <w:vAlign w:val="center"/>
            <w:hideMark/>
          </w:tcPr>
          <w:p w:rsidR="00523B88" w:rsidRPr="00B30112" w:rsidRDefault="00523B88" w:rsidP="00B30112">
            <w:pPr>
              <w:spacing w:after="0"/>
              <w:jc w:val="right"/>
              <w:rPr>
                <w:color w:val="000000"/>
                <w:sz w:val="20"/>
                <w:szCs w:val="20"/>
              </w:rPr>
            </w:pPr>
            <w:r w:rsidRPr="00B30112">
              <w:rPr>
                <w:color w:val="000000"/>
                <w:sz w:val="20"/>
                <w:szCs w:val="20"/>
              </w:rPr>
              <w:t>0.13</w:t>
            </w:r>
          </w:p>
        </w:tc>
      </w:tr>
      <w:tr w:rsidR="00523B88" w:rsidRPr="00B30112" w:rsidTr="001B7FB7">
        <w:tc>
          <w:tcPr>
            <w:tcW w:w="3708" w:type="dxa"/>
            <w:shd w:val="clear" w:color="auto" w:fill="auto"/>
            <w:vAlign w:val="center"/>
            <w:hideMark/>
          </w:tcPr>
          <w:p w:rsidR="00523B88" w:rsidRPr="00B30112" w:rsidRDefault="00523B88" w:rsidP="00F6139F">
            <w:pPr>
              <w:spacing w:after="0"/>
              <w:rPr>
                <w:color w:val="000000"/>
                <w:sz w:val="20"/>
                <w:szCs w:val="20"/>
              </w:rPr>
            </w:pPr>
            <w:r w:rsidRPr="00B30112">
              <w:rPr>
                <w:color w:val="000000"/>
                <w:sz w:val="20"/>
                <w:szCs w:val="20"/>
              </w:rPr>
              <w:t xml:space="preserve">Showers per </w:t>
            </w:r>
            <w:r w:rsidR="00F6139F">
              <w:rPr>
                <w:color w:val="000000"/>
                <w:sz w:val="20"/>
                <w:szCs w:val="20"/>
              </w:rPr>
              <w:t>P</w:t>
            </w:r>
            <w:r w:rsidRPr="00B30112">
              <w:rPr>
                <w:color w:val="000000"/>
                <w:sz w:val="20"/>
                <w:szCs w:val="20"/>
              </w:rPr>
              <w:t xml:space="preserve">erson per </w:t>
            </w:r>
            <w:r w:rsidR="00F6139F">
              <w:rPr>
                <w:color w:val="000000"/>
                <w:sz w:val="20"/>
                <w:szCs w:val="20"/>
              </w:rPr>
              <w:t>D</w:t>
            </w:r>
            <w:r w:rsidRPr="00B30112">
              <w:rPr>
                <w:color w:val="000000"/>
                <w:sz w:val="20"/>
                <w:szCs w:val="20"/>
              </w:rPr>
              <w:t>ay</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0.75</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0.75</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0.70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0.70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0.61</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0.60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0.60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0.58</w:t>
            </w:r>
          </w:p>
        </w:tc>
        <w:tc>
          <w:tcPr>
            <w:tcW w:w="797"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1.00</w:t>
            </w:r>
          </w:p>
        </w:tc>
      </w:tr>
      <w:tr w:rsidR="00523B88" w:rsidRPr="00B30112" w:rsidTr="001B7FB7">
        <w:tc>
          <w:tcPr>
            <w:tcW w:w="3708" w:type="dxa"/>
            <w:shd w:val="clear" w:color="auto" w:fill="auto"/>
            <w:vAlign w:val="center"/>
            <w:hideMark/>
          </w:tcPr>
          <w:p w:rsidR="00523B88" w:rsidRPr="00B30112" w:rsidRDefault="00523B88" w:rsidP="00F6139F">
            <w:pPr>
              <w:spacing w:after="0"/>
              <w:rPr>
                <w:color w:val="000000"/>
                <w:sz w:val="20"/>
                <w:szCs w:val="20"/>
              </w:rPr>
            </w:pPr>
            <w:r w:rsidRPr="00B30112">
              <w:rPr>
                <w:color w:val="000000"/>
                <w:sz w:val="20"/>
                <w:szCs w:val="20"/>
              </w:rPr>
              <w:t xml:space="preserve">Number of </w:t>
            </w:r>
            <w:r w:rsidR="00F6139F">
              <w:rPr>
                <w:color w:val="000000"/>
                <w:sz w:val="20"/>
                <w:szCs w:val="20"/>
              </w:rPr>
              <w:t>P</w:t>
            </w:r>
            <w:r w:rsidRPr="00B30112">
              <w:rPr>
                <w:color w:val="000000"/>
                <w:sz w:val="20"/>
                <w:szCs w:val="20"/>
              </w:rPr>
              <w:t xml:space="preserve">eople per </w:t>
            </w:r>
            <w:r w:rsidR="00F6139F">
              <w:rPr>
                <w:color w:val="000000"/>
                <w:sz w:val="20"/>
                <w:szCs w:val="20"/>
              </w:rPr>
              <w:t>H</w:t>
            </w:r>
            <w:r w:rsidRPr="00B30112">
              <w:rPr>
                <w:color w:val="000000"/>
                <w:sz w:val="20"/>
                <w:szCs w:val="20"/>
              </w:rPr>
              <w:t>ome</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2.56</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2.10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2.90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2.30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2.34</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2.70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1.80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2.46</w:t>
            </w:r>
          </w:p>
        </w:tc>
        <w:tc>
          <w:tcPr>
            <w:tcW w:w="797"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2.56</w:t>
            </w:r>
          </w:p>
        </w:tc>
      </w:tr>
      <w:tr w:rsidR="00523B88" w:rsidRPr="00B30112" w:rsidTr="001B7FB7">
        <w:tc>
          <w:tcPr>
            <w:tcW w:w="3708" w:type="dxa"/>
            <w:shd w:val="clear" w:color="auto" w:fill="auto"/>
            <w:vAlign w:val="center"/>
            <w:hideMark/>
          </w:tcPr>
          <w:p w:rsidR="00523B88" w:rsidRPr="00B30112" w:rsidRDefault="00523B88" w:rsidP="00F6139F">
            <w:pPr>
              <w:spacing w:after="0"/>
              <w:rPr>
                <w:color w:val="000000"/>
                <w:sz w:val="20"/>
                <w:szCs w:val="20"/>
              </w:rPr>
            </w:pPr>
            <w:r w:rsidRPr="00B30112">
              <w:rPr>
                <w:color w:val="000000"/>
                <w:sz w:val="20"/>
                <w:szCs w:val="20"/>
              </w:rPr>
              <w:t xml:space="preserve">Average </w:t>
            </w:r>
            <w:r w:rsidR="00F6139F">
              <w:rPr>
                <w:color w:val="000000"/>
                <w:sz w:val="20"/>
                <w:szCs w:val="20"/>
              </w:rPr>
              <w:t>L</w:t>
            </w:r>
            <w:r w:rsidRPr="00B30112">
              <w:rPr>
                <w:color w:val="000000"/>
                <w:sz w:val="20"/>
                <w:szCs w:val="20"/>
              </w:rPr>
              <w:t xml:space="preserve">ength of </w:t>
            </w:r>
            <w:r w:rsidR="00F6139F">
              <w:rPr>
                <w:color w:val="000000"/>
                <w:sz w:val="20"/>
                <w:szCs w:val="20"/>
              </w:rPr>
              <w:t>S</w:t>
            </w:r>
            <w:r w:rsidRPr="00B30112">
              <w:rPr>
                <w:color w:val="000000"/>
                <w:sz w:val="20"/>
                <w:szCs w:val="20"/>
              </w:rPr>
              <w:t>hower (</w:t>
            </w:r>
            <w:r w:rsidR="00F6139F">
              <w:rPr>
                <w:color w:val="000000"/>
                <w:sz w:val="20"/>
                <w:szCs w:val="20"/>
              </w:rPr>
              <w:t>M</w:t>
            </w:r>
            <w:r w:rsidRPr="00B30112">
              <w:rPr>
                <w:color w:val="000000"/>
                <w:sz w:val="20"/>
                <w:szCs w:val="20"/>
              </w:rPr>
              <w:t>inutes)</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8.20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8.20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8.20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8.20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7.83</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7.80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7.80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8.36</w:t>
            </w:r>
          </w:p>
        </w:tc>
        <w:tc>
          <w:tcPr>
            <w:tcW w:w="797"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4.64</w:t>
            </w:r>
          </w:p>
        </w:tc>
      </w:tr>
      <w:tr w:rsidR="00523B88" w:rsidRPr="00B30112" w:rsidTr="001B7FB7">
        <w:tc>
          <w:tcPr>
            <w:tcW w:w="3708" w:type="dxa"/>
            <w:shd w:val="clear" w:color="auto" w:fill="auto"/>
            <w:vAlign w:val="center"/>
            <w:hideMark/>
          </w:tcPr>
          <w:p w:rsidR="00523B88" w:rsidRPr="00B30112" w:rsidRDefault="00523B88" w:rsidP="00F6139F">
            <w:pPr>
              <w:spacing w:after="0"/>
              <w:rPr>
                <w:color w:val="000000"/>
                <w:sz w:val="20"/>
                <w:szCs w:val="20"/>
              </w:rPr>
            </w:pPr>
            <w:r w:rsidRPr="00B30112">
              <w:rPr>
                <w:color w:val="000000"/>
                <w:sz w:val="20"/>
                <w:szCs w:val="20"/>
              </w:rPr>
              <w:t xml:space="preserve">Average </w:t>
            </w:r>
            <w:r w:rsidR="00F6139F">
              <w:rPr>
                <w:color w:val="000000"/>
                <w:sz w:val="20"/>
                <w:szCs w:val="20"/>
              </w:rPr>
              <w:t>G</w:t>
            </w:r>
            <w:r w:rsidRPr="00B30112">
              <w:rPr>
                <w:color w:val="000000"/>
                <w:sz w:val="20"/>
                <w:szCs w:val="20"/>
              </w:rPr>
              <w:t xml:space="preserve">allons per </w:t>
            </w:r>
            <w:r w:rsidR="00F6139F">
              <w:rPr>
                <w:color w:val="000000"/>
                <w:sz w:val="20"/>
                <w:szCs w:val="20"/>
              </w:rPr>
              <w:t>S</w:t>
            </w:r>
            <w:r w:rsidRPr="00B30112">
              <w:rPr>
                <w:color w:val="000000"/>
                <w:sz w:val="20"/>
                <w:szCs w:val="20"/>
              </w:rPr>
              <w:t>hower (Gal)</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797"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11.60</w:t>
            </w:r>
          </w:p>
        </w:tc>
      </w:tr>
      <w:tr w:rsidR="00523B88" w:rsidRPr="00B30112" w:rsidTr="001B7FB7">
        <w:tc>
          <w:tcPr>
            <w:tcW w:w="3708" w:type="dxa"/>
            <w:shd w:val="clear" w:color="auto" w:fill="auto"/>
            <w:vAlign w:val="center"/>
            <w:hideMark/>
          </w:tcPr>
          <w:p w:rsidR="00523B88" w:rsidRPr="00B30112" w:rsidRDefault="00523B88" w:rsidP="00F6139F">
            <w:pPr>
              <w:spacing w:after="0"/>
              <w:rPr>
                <w:color w:val="000000"/>
                <w:sz w:val="20"/>
                <w:szCs w:val="20"/>
              </w:rPr>
            </w:pPr>
            <w:r w:rsidRPr="00B30112">
              <w:rPr>
                <w:color w:val="000000"/>
                <w:sz w:val="20"/>
                <w:szCs w:val="20"/>
              </w:rPr>
              <w:t xml:space="preserve">Usage per </w:t>
            </w:r>
            <w:r w:rsidR="00F6139F">
              <w:rPr>
                <w:color w:val="000000"/>
                <w:sz w:val="20"/>
                <w:szCs w:val="20"/>
              </w:rPr>
              <w:t>H</w:t>
            </w:r>
            <w:r w:rsidRPr="00B30112">
              <w:rPr>
                <w:color w:val="000000"/>
                <w:sz w:val="20"/>
                <w:szCs w:val="20"/>
              </w:rPr>
              <w:t xml:space="preserve">ousehold per </w:t>
            </w:r>
            <w:r w:rsidR="00F6139F">
              <w:rPr>
                <w:color w:val="000000"/>
                <w:sz w:val="20"/>
                <w:szCs w:val="20"/>
              </w:rPr>
              <w:t>D</w:t>
            </w:r>
            <w:r w:rsidRPr="00B30112">
              <w:rPr>
                <w:color w:val="000000"/>
                <w:sz w:val="20"/>
                <w:szCs w:val="20"/>
              </w:rPr>
              <w:t>ay (</w:t>
            </w:r>
            <w:r w:rsidR="00F6139F">
              <w:rPr>
                <w:color w:val="000000"/>
                <w:sz w:val="20"/>
                <w:szCs w:val="20"/>
              </w:rPr>
              <w:t>M</w:t>
            </w:r>
            <w:r w:rsidRPr="00B30112">
              <w:rPr>
                <w:color w:val="000000"/>
                <w:sz w:val="20"/>
                <w:szCs w:val="20"/>
              </w:rPr>
              <w:t>inutes)</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40.00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35.00</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810"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c>
          <w:tcPr>
            <w:tcW w:w="797" w:type="dxa"/>
            <w:shd w:val="clear" w:color="auto" w:fill="auto"/>
            <w:vAlign w:val="center"/>
            <w:hideMark/>
          </w:tcPr>
          <w:p w:rsidR="00523B88" w:rsidRPr="00B30112" w:rsidRDefault="00523B88" w:rsidP="00B30112">
            <w:pPr>
              <w:spacing w:after="0"/>
              <w:jc w:val="right"/>
              <w:rPr>
                <w:color w:val="000000"/>
                <w:sz w:val="20"/>
                <w:szCs w:val="20"/>
              </w:rPr>
            </w:pPr>
            <w:r w:rsidRPr="00B30112">
              <w:rPr>
                <w:color w:val="000000"/>
                <w:sz w:val="20"/>
                <w:szCs w:val="20"/>
              </w:rPr>
              <w:t> </w:t>
            </w:r>
          </w:p>
        </w:tc>
      </w:tr>
      <w:tr w:rsidR="00523B88" w:rsidRPr="00B30112" w:rsidTr="001B7FB7">
        <w:tc>
          <w:tcPr>
            <w:tcW w:w="3708" w:type="dxa"/>
            <w:shd w:val="clear" w:color="auto" w:fill="auto"/>
            <w:vAlign w:val="center"/>
            <w:hideMark/>
          </w:tcPr>
          <w:p w:rsidR="00523B88" w:rsidRPr="00B30112" w:rsidRDefault="00523B88" w:rsidP="002C0922">
            <w:pPr>
              <w:spacing w:after="0"/>
              <w:rPr>
                <w:color w:val="000000"/>
                <w:sz w:val="20"/>
                <w:szCs w:val="20"/>
              </w:rPr>
            </w:pPr>
            <w:r w:rsidRPr="00B30112">
              <w:rPr>
                <w:color w:val="000000"/>
                <w:sz w:val="20"/>
                <w:szCs w:val="20"/>
              </w:rPr>
              <w:t>Annual Household Water Consumption (Gal)</w:t>
            </w:r>
          </w:p>
        </w:tc>
        <w:tc>
          <w:tcPr>
            <w:tcW w:w="810" w:type="dxa"/>
            <w:shd w:val="clear" w:color="000000" w:fill="FFE8D2"/>
            <w:vAlign w:val="center"/>
            <w:hideMark/>
          </w:tcPr>
          <w:p w:rsidR="00523B88" w:rsidRPr="00B30112" w:rsidRDefault="001B7FB7" w:rsidP="00B30112">
            <w:pPr>
              <w:spacing w:after="0"/>
              <w:jc w:val="right"/>
              <w:rPr>
                <w:color w:val="000000"/>
                <w:sz w:val="20"/>
                <w:szCs w:val="20"/>
              </w:rPr>
            </w:pPr>
            <w:r>
              <w:rPr>
                <w:color w:val="000000"/>
                <w:sz w:val="20"/>
                <w:szCs w:val="20"/>
              </w:rPr>
              <w:t>14,920</w:t>
            </w:r>
          </w:p>
        </w:tc>
        <w:tc>
          <w:tcPr>
            <w:tcW w:w="810" w:type="dxa"/>
            <w:shd w:val="clear" w:color="000000" w:fill="FFE8D2"/>
            <w:vAlign w:val="center"/>
            <w:hideMark/>
          </w:tcPr>
          <w:p w:rsidR="00523B88" w:rsidRPr="00B30112" w:rsidRDefault="00523B88" w:rsidP="001B7FB7">
            <w:pPr>
              <w:spacing w:after="0"/>
              <w:jc w:val="right"/>
              <w:rPr>
                <w:color w:val="000000"/>
                <w:sz w:val="20"/>
                <w:szCs w:val="20"/>
              </w:rPr>
            </w:pPr>
            <w:r w:rsidRPr="00B30112">
              <w:rPr>
                <w:color w:val="000000"/>
                <w:sz w:val="20"/>
                <w:szCs w:val="20"/>
              </w:rPr>
              <w:t>36,500</w:t>
            </w:r>
          </w:p>
        </w:tc>
        <w:tc>
          <w:tcPr>
            <w:tcW w:w="810" w:type="dxa"/>
            <w:shd w:val="clear" w:color="000000" w:fill="FFE8D2"/>
            <w:vAlign w:val="center"/>
            <w:hideMark/>
          </w:tcPr>
          <w:p w:rsidR="00523B88" w:rsidRPr="00B30112" w:rsidRDefault="00523B88" w:rsidP="001B7FB7">
            <w:pPr>
              <w:spacing w:after="0"/>
              <w:jc w:val="right"/>
              <w:rPr>
                <w:color w:val="000000"/>
                <w:sz w:val="20"/>
                <w:szCs w:val="20"/>
              </w:rPr>
            </w:pPr>
            <w:r w:rsidRPr="00B30112">
              <w:rPr>
                <w:color w:val="000000"/>
                <w:sz w:val="20"/>
                <w:szCs w:val="20"/>
              </w:rPr>
              <w:t>32,303</w:t>
            </w:r>
          </w:p>
        </w:tc>
        <w:tc>
          <w:tcPr>
            <w:tcW w:w="810" w:type="dxa"/>
            <w:shd w:val="clear" w:color="000000" w:fill="FFE8D2"/>
            <w:vAlign w:val="center"/>
            <w:hideMark/>
          </w:tcPr>
          <w:p w:rsidR="00523B88" w:rsidRPr="00B30112" w:rsidRDefault="00523B88" w:rsidP="001B7FB7">
            <w:pPr>
              <w:spacing w:after="0"/>
              <w:jc w:val="right"/>
              <w:rPr>
                <w:color w:val="000000"/>
                <w:sz w:val="20"/>
                <w:szCs w:val="20"/>
              </w:rPr>
            </w:pPr>
            <w:r w:rsidRPr="00B30112">
              <w:rPr>
                <w:color w:val="000000"/>
                <w:sz w:val="20"/>
                <w:szCs w:val="20"/>
              </w:rPr>
              <w:t>15,354</w:t>
            </w:r>
          </w:p>
        </w:tc>
        <w:tc>
          <w:tcPr>
            <w:tcW w:w="810" w:type="dxa"/>
            <w:shd w:val="clear" w:color="000000" w:fill="FFE8D2"/>
            <w:vAlign w:val="center"/>
            <w:hideMark/>
          </w:tcPr>
          <w:p w:rsidR="00523B88" w:rsidRPr="00B30112" w:rsidRDefault="00523B88" w:rsidP="001B7FB7">
            <w:pPr>
              <w:spacing w:after="0"/>
              <w:jc w:val="right"/>
              <w:rPr>
                <w:color w:val="000000"/>
                <w:sz w:val="20"/>
                <w:szCs w:val="20"/>
              </w:rPr>
            </w:pPr>
            <w:r w:rsidRPr="00B30112">
              <w:rPr>
                <w:color w:val="000000"/>
                <w:sz w:val="20"/>
                <w:szCs w:val="20"/>
              </w:rPr>
              <w:t>12,595</w:t>
            </w:r>
          </w:p>
        </w:tc>
        <w:tc>
          <w:tcPr>
            <w:tcW w:w="810" w:type="dxa"/>
            <w:shd w:val="clear" w:color="000000" w:fill="FFE8D2"/>
            <w:vAlign w:val="center"/>
            <w:hideMark/>
          </w:tcPr>
          <w:p w:rsidR="00523B88" w:rsidRPr="00B30112" w:rsidRDefault="00523B88" w:rsidP="001B7FB7">
            <w:pPr>
              <w:spacing w:after="0"/>
              <w:jc w:val="right"/>
              <w:rPr>
                <w:color w:val="000000"/>
                <w:sz w:val="20"/>
                <w:szCs w:val="20"/>
              </w:rPr>
            </w:pPr>
            <w:r w:rsidRPr="00B30112">
              <w:rPr>
                <w:color w:val="000000"/>
                <w:sz w:val="20"/>
                <w:szCs w:val="20"/>
              </w:rPr>
              <w:t>12,455</w:t>
            </w:r>
          </w:p>
        </w:tc>
        <w:tc>
          <w:tcPr>
            <w:tcW w:w="810" w:type="dxa"/>
            <w:shd w:val="clear" w:color="000000" w:fill="FFE8D2"/>
            <w:vAlign w:val="center"/>
            <w:hideMark/>
          </w:tcPr>
          <w:p w:rsidR="00523B88" w:rsidRPr="00B30112" w:rsidRDefault="001B7FB7" w:rsidP="001B7FB7">
            <w:pPr>
              <w:spacing w:after="0"/>
              <w:jc w:val="right"/>
              <w:rPr>
                <w:color w:val="000000"/>
                <w:sz w:val="20"/>
                <w:szCs w:val="20"/>
              </w:rPr>
            </w:pPr>
            <w:r>
              <w:rPr>
                <w:color w:val="000000"/>
                <w:sz w:val="20"/>
                <w:szCs w:val="20"/>
              </w:rPr>
              <w:t>9,878</w:t>
            </w:r>
          </w:p>
        </w:tc>
        <w:tc>
          <w:tcPr>
            <w:tcW w:w="810" w:type="dxa"/>
            <w:shd w:val="clear" w:color="000000" w:fill="FFE8D2"/>
            <w:vAlign w:val="center"/>
            <w:hideMark/>
          </w:tcPr>
          <w:p w:rsidR="00523B88" w:rsidRPr="00B30112" w:rsidRDefault="00523B88" w:rsidP="001B7FB7">
            <w:pPr>
              <w:spacing w:after="0"/>
              <w:jc w:val="right"/>
              <w:rPr>
                <w:color w:val="000000"/>
                <w:sz w:val="20"/>
                <w:szCs w:val="20"/>
              </w:rPr>
            </w:pPr>
            <w:r w:rsidRPr="00B30112">
              <w:rPr>
                <w:color w:val="000000"/>
                <w:sz w:val="20"/>
                <w:szCs w:val="20"/>
              </w:rPr>
              <w:t>10,199</w:t>
            </w:r>
          </w:p>
        </w:tc>
        <w:tc>
          <w:tcPr>
            <w:tcW w:w="810" w:type="dxa"/>
            <w:shd w:val="clear" w:color="000000" w:fill="FFE8D2"/>
            <w:vAlign w:val="center"/>
            <w:hideMark/>
          </w:tcPr>
          <w:p w:rsidR="00523B88" w:rsidRPr="00B30112" w:rsidRDefault="00523B88" w:rsidP="001B7FB7">
            <w:pPr>
              <w:spacing w:after="0"/>
              <w:jc w:val="right"/>
              <w:rPr>
                <w:color w:val="000000"/>
                <w:sz w:val="20"/>
                <w:szCs w:val="20"/>
              </w:rPr>
            </w:pPr>
            <w:r w:rsidRPr="00B30112">
              <w:rPr>
                <w:color w:val="000000"/>
                <w:sz w:val="20"/>
                <w:szCs w:val="20"/>
              </w:rPr>
              <w:t>11,530</w:t>
            </w:r>
          </w:p>
        </w:tc>
        <w:tc>
          <w:tcPr>
            <w:tcW w:w="810" w:type="dxa"/>
            <w:shd w:val="clear" w:color="000000" w:fill="FFE8D2"/>
            <w:vAlign w:val="center"/>
            <w:hideMark/>
          </w:tcPr>
          <w:p w:rsidR="00523B88" w:rsidRPr="00B30112" w:rsidRDefault="001B7FB7" w:rsidP="001B7FB7">
            <w:pPr>
              <w:spacing w:after="0"/>
              <w:jc w:val="right"/>
              <w:rPr>
                <w:color w:val="000000"/>
                <w:sz w:val="20"/>
                <w:szCs w:val="20"/>
              </w:rPr>
            </w:pPr>
            <w:r>
              <w:rPr>
                <w:color w:val="000000"/>
                <w:sz w:val="20"/>
                <w:szCs w:val="20"/>
              </w:rPr>
              <w:t>7,687</w:t>
            </w:r>
          </w:p>
        </w:tc>
        <w:tc>
          <w:tcPr>
            <w:tcW w:w="810" w:type="dxa"/>
            <w:shd w:val="clear" w:color="000000" w:fill="FFE8D2"/>
            <w:vAlign w:val="center"/>
            <w:hideMark/>
          </w:tcPr>
          <w:p w:rsidR="00523B88" w:rsidRPr="00B30112" w:rsidRDefault="00523B88" w:rsidP="001B7FB7">
            <w:pPr>
              <w:spacing w:after="0"/>
              <w:jc w:val="right"/>
              <w:rPr>
                <w:color w:val="000000"/>
                <w:sz w:val="20"/>
                <w:szCs w:val="20"/>
              </w:rPr>
            </w:pPr>
            <w:r w:rsidRPr="00B30112">
              <w:rPr>
                <w:color w:val="000000"/>
                <w:sz w:val="20"/>
                <w:szCs w:val="20"/>
              </w:rPr>
              <w:t>12,190</w:t>
            </w:r>
          </w:p>
        </w:tc>
        <w:tc>
          <w:tcPr>
            <w:tcW w:w="797" w:type="dxa"/>
            <w:shd w:val="clear" w:color="000000" w:fill="FFE8D2"/>
            <w:vAlign w:val="center"/>
            <w:hideMark/>
          </w:tcPr>
          <w:p w:rsidR="00523B88" w:rsidRPr="00B30112" w:rsidRDefault="00523B88" w:rsidP="001B7FB7">
            <w:pPr>
              <w:spacing w:after="0"/>
              <w:jc w:val="right"/>
              <w:rPr>
                <w:color w:val="000000"/>
                <w:sz w:val="20"/>
                <w:szCs w:val="20"/>
              </w:rPr>
            </w:pPr>
            <w:r w:rsidRPr="00B30112">
              <w:rPr>
                <w:color w:val="000000"/>
                <w:sz w:val="20"/>
                <w:szCs w:val="20"/>
              </w:rPr>
              <w:t>10,839</w:t>
            </w:r>
          </w:p>
        </w:tc>
      </w:tr>
      <w:tr w:rsidR="00523B88" w:rsidRPr="00B30112" w:rsidTr="001B7FB7">
        <w:tc>
          <w:tcPr>
            <w:tcW w:w="3708" w:type="dxa"/>
            <w:tcBorders>
              <w:bottom w:val="single" w:sz="4" w:space="0" w:color="BFBFBF"/>
            </w:tcBorders>
            <w:shd w:val="clear" w:color="auto" w:fill="auto"/>
            <w:vAlign w:val="center"/>
            <w:hideMark/>
          </w:tcPr>
          <w:p w:rsidR="00523B88" w:rsidRPr="00B30112" w:rsidRDefault="00523B88" w:rsidP="002C0922">
            <w:pPr>
              <w:spacing w:after="0"/>
              <w:rPr>
                <w:color w:val="000000"/>
                <w:sz w:val="20"/>
                <w:szCs w:val="20"/>
              </w:rPr>
            </w:pPr>
            <w:r w:rsidRPr="00B30112">
              <w:rPr>
                <w:color w:val="000000"/>
                <w:sz w:val="20"/>
                <w:szCs w:val="20"/>
              </w:rPr>
              <w:t>Annual Water Savings per Showerhead (Gal)</w:t>
            </w:r>
          </w:p>
        </w:tc>
        <w:tc>
          <w:tcPr>
            <w:tcW w:w="810" w:type="dxa"/>
            <w:tcBorders>
              <w:bottom w:val="single" w:sz="4" w:space="0" w:color="BFBFBF"/>
            </w:tcBorders>
            <w:shd w:val="clear" w:color="000000" w:fill="FFE8D2"/>
            <w:vAlign w:val="center"/>
            <w:hideMark/>
          </w:tcPr>
          <w:p w:rsidR="00523B88" w:rsidRPr="00B30112" w:rsidRDefault="00523B88" w:rsidP="001B7FB7">
            <w:pPr>
              <w:spacing w:after="0"/>
              <w:jc w:val="right"/>
              <w:rPr>
                <w:color w:val="000000"/>
                <w:sz w:val="20"/>
                <w:szCs w:val="20"/>
              </w:rPr>
            </w:pPr>
            <w:r w:rsidRPr="00B30112">
              <w:rPr>
                <w:color w:val="000000"/>
                <w:sz w:val="20"/>
                <w:szCs w:val="20"/>
              </w:rPr>
              <w:t>1,212</w:t>
            </w:r>
          </w:p>
        </w:tc>
        <w:tc>
          <w:tcPr>
            <w:tcW w:w="810" w:type="dxa"/>
            <w:tcBorders>
              <w:bottom w:val="single" w:sz="4" w:space="0" w:color="BFBFBF"/>
            </w:tcBorders>
            <w:shd w:val="clear" w:color="000000" w:fill="FFE8D2"/>
            <w:vAlign w:val="center"/>
            <w:hideMark/>
          </w:tcPr>
          <w:p w:rsidR="00523B88" w:rsidRPr="00B30112" w:rsidRDefault="00523B88" w:rsidP="001B7FB7">
            <w:pPr>
              <w:spacing w:after="0"/>
              <w:jc w:val="right"/>
              <w:rPr>
                <w:color w:val="000000"/>
                <w:sz w:val="20"/>
                <w:szCs w:val="20"/>
              </w:rPr>
            </w:pPr>
            <w:r w:rsidRPr="00B30112">
              <w:rPr>
                <w:color w:val="000000"/>
                <w:sz w:val="20"/>
                <w:szCs w:val="20"/>
              </w:rPr>
              <w:t>3,650</w:t>
            </w:r>
          </w:p>
        </w:tc>
        <w:tc>
          <w:tcPr>
            <w:tcW w:w="810" w:type="dxa"/>
            <w:tcBorders>
              <w:bottom w:val="single" w:sz="4" w:space="0" w:color="BFBFBF"/>
            </w:tcBorders>
            <w:shd w:val="clear" w:color="000000" w:fill="FFE8D2"/>
            <w:vAlign w:val="center"/>
            <w:hideMark/>
          </w:tcPr>
          <w:p w:rsidR="00523B88" w:rsidRPr="00B30112" w:rsidRDefault="00523B88" w:rsidP="001B7FB7">
            <w:pPr>
              <w:spacing w:after="0"/>
              <w:jc w:val="right"/>
              <w:rPr>
                <w:color w:val="000000"/>
                <w:sz w:val="20"/>
                <w:szCs w:val="20"/>
              </w:rPr>
            </w:pPr>
            <w:r w:rsidRPr="00B30112">
              <w:rPr>
                <w:color w:val="000000"/>
                <w:sz w:val="20"/>
                <w:szCs w:val="20"/>
              </w:rPr>
              <w:t>6,160</w:t>
            </w:r>
          </w:p>
        </w:tc>
        <w:tc>
          <w:tcPr>
            <w:tcW w:w="810" w:type="dxa"/>
            <w:tcBorders>
              <w:bottom w:val="single" w:sz="4" w:space="0" w:color="BFBFBF"/>
            </w:tcBorders>
            <w:shd w:val="clear" w:color="000000" w:fill="FFE8D2"/>
            <w:vAlign w:val="center"/>
            <w:hideMark/>
          </w:tcPr>
          <w:p w:rsidR="00523B88" w:rsidRPr="00B30112" w:rsidRDefault="00523B88" w:rsidP="001B7FB7">
            <w:pPr>
              <w:spacing w:after="0"/>
              <w:jc w:val="right"/>
              <w:rPr>
                <w:color w:val="000000"/>
                <w:sz w:val="20"/>
                <w:szCs w:val="20"/>
              </w:rPr>
            </w:pPr>
            <w:r w:rsidRPr="00B30112">
              <w:rPr>
                <w:color w:val="000000"/>
                <w:sz w:val="20"/>
                <w:szCs w:val="20"/>
              </w:rPr>
              <w:t>2,152</w:t>
            </w:r>
          </w:p>
        </w:tc>
        <w:tc>
          <w:tcPr>
            <w:tcW w:w="810" w:type="dxa"/>
            <w:tcBorders>
              <w:bottom w:val="single" w:sz="4" w:space="0" w:color="BFBFBF"/>
            </w:tcBorders>
            <w:shd w:val="clear" w:color="000000" w:fill="FFE8D2"/>
            <w:vAlign w:val="center"/>
            <w:hideMark/>
          </w:tcPr>
          <w:p w:rsidR="00523B88" w:rsidRPr="00B30112" w:rsidRDefault="00523B88" w:rsidP="001B7FB7">
            <w:pPr>
              <w:spacing w:after="0"/>
              <w:jc w:val="right"/>
              <w:rPr>
                <w:color w:val="000000"/>
                <w:sz w:val="20"/>
                <w:szCs w:val="20"/>
              </w:rPr>
            </w:pPr>
            <w:r w:rsidRPr="00B30112">
              <w:rPr>
                <w:color w:val="000000"/>
                <w:sz w:val="20"/>
                <w:szCs w:val="20"/>
              </w:rPr>
              <w:t>2,431</w:t>
            </w:r>
          </w:p>
        </w:tc>
        <w:tc>
          <w:tcPr>
            <w:tcW w:w="810" w:type="dxa"/>
            <w:tcBorders>
              <w:bottom w:val="single" w:sz="4" w:space="0" w:color="BFBFBF"/>
            </w:tcBorders>
            <w:shd w:val="clear" w:color="000000" w:fill="FFE8D2"/>
            <w:vAlign w:val="center"/>
            <w:hideMark/>
          </w:tcPr>
          <w:p w:rsidR="00523B88" w:rsidRPr="00B30112" w:rsidRDefault="00523B88" w:rsidP="001B7FB7">
            <w:pPr>
              <w:spacing w:after="0"/>
              <w:jc w:val="right"/>
              <w:rPr>
                <w:color w:val="000000"/>
                <w:sz w:val="20"/>
                <w:szCs w:val="20"/>
              </w:rPr>
            </w:pPr>
            <w:r w:rsidRPr="00B30112">
              <w:rPr>
                <w:color w:val="000000"/>
                <w:sz w:val="20"/>
                <w:szCs w:val="20"/>
              </w:rPr>
              <w:t>2,673</w:t>
            </w:r>
          </w:p>
        </w:tc>
        <w:tc>
          <w:tcPr>
            <w:tcW w:w="810" w:type="dxa"/>
            <w:tcBorders>
              <w:bottom w:val="single" w:sz="4" w:space="0" w:color="BFBFBF"/>
            </w:tcBorders>
            <w:shd w:val="clear" w:color="000000" w:fill="FFE8D2"/>
            <w:vAlign w:val="center"/>
            <w:hideMark/>
          </w:tcPr>
          <w:p w:rsidR="00523B88" w:rsidRPr="00B30112" w:rsidRDefault="00523B88" w:rsidP="001B7FB7">
            <w:pPr>
              <w:spacing w:after="0"/>
              <w:jc w:val="right"/>
              <w:rPr>
                <w:color w:val="000000"/>
                <w:sz w:val="20"/>
                <w:szCs w:val="20"/>
              </w:rPr>
            </w:pPr>
            <w:r w:rsidRPr="00B30112">
              <w:rPr>
                <w:color w:val="000000"/>
                <w:sz w:val="20"/>
                <w:szCs w:val="20"/>
              </w:rPr>
              <w:t>2,120</w:t>
            </w:r>
          </w:p>
        </w:tc>
        <w:tc>
          <w:tcPr>
            <w:tcW w:w="810" w:type="dxa"/>
            <w:tcBorders>
              <w:bottom w:val="single" w:sz="4" w:space="0" w:color="BFBFBF"/>
            </w:tcBorders>
            <w:shd w:val="clear" w:color="000000" w:fill="FFE8D2"/>
            <w:vAlign w:val="center"/>
            <w:hideMark/>
          </w:tcPr>
          <w:p w:rsidR="00523B88" w:rsidRPr="00B30112" w:rsidRDefault="00523B88" w:rsidP="001B7FB7">
            <w:pPr>
              <w:spacing w:after="0"/>
              <w:jc w:val="right"/>
              <w:rPr>
                <w:color w:val="000000"/>
                <w:sz w:val="20"/>
                <w:szCs w:val="20"/>
              </w:rPr>
            </w:pPr>
            <w:r w:rsidRPr="00B30112">
              <w:rPr>
                <w:color w:val="000000"/>
                <w:sz w:val="20"/>
                <w:szCs w:val="20"/>
              </w:rPr>
              <w:t>1,200</w:t>
            </w:r>
          </w:p>
        </w:tc>
        <w:tc>
          <w:tcPr>
            <w:tcW w:w="810" w:type="dxa"/>
            <w:tcBorders>
              <w:bottom w:val="single" w:sz="4" w:space="0" w:color="BFBFBF"/>
            </w:tcBorders>
            <w:shd w:val="clear" w:color="000000" w:fill="FFE8D2"/>
            <w:vAlign w:val="center"/>
            <w:hideMark/>
          </w:tcPr>
          <w:p w:rsidR="00523B88" w:rsidRPr="00B30112" w:rsidRDefault="00523B88" w:rsidP="001B7FB7">
            <w:pPr>
              <w:spacing w:after="0"/>
              <w:jc w:val="right"/>
              <w:rPr>
                <w:color w:val="000000"/>
                <w:sz w:val="20"/>
                <w:szCs w:val="20"/>
              </w:rPr>
            </w:pPr>
            <w:r w:rsidRPr="00B30112">
              <w:rPr>
                <w:color w:val="000000"/>
                <w:sz w:val="20"/>
                <w:szCs w:val="20"/>
              </w:rPr>
              <w:t>2,713</w:t>
            </w:r>
          </w:p>
        </w:tc>
        <w:tc>
          <w:tcPr>
            <w:tcW w:w="810" w:type="dxa"/>
            <w:tcBorders>
              <w:bottom w:val="single" w:sz="4" w:space="0" w:color="BFBFBF"/>
            </w:tcBorders>
            <w:shd w:val="clear" w:color="000000" w:fill="FFE8D2"/>
            <w:vAlign w:val="center"/>
            <w:hideMark/>
          </w:tcPr>
          <w:p w:rsidR="00523B88" w:rsidRPr="00B30112" w:rsidRDefault="00523B88" w:rsidP="001B7FB7">
            <w:pPr>
              <w:spacing w:after="0"/>
              <w:jc w:val="right"/>
              <w:rPr>
                <w:color w:val="000000"/>
                <w:sz w:val="20"/>
                <w:szCs w:val="20"/>
              </w:rPr>
            </w:pPr>
            <w:r w:rsidRPr="00B30112">
              <w:rPr>
                <w:color w:val="000000"/>
                <w:sz w:val="20"/>
                <w:szCs w:val="20"/>
              </w:rPr>
              <w:t>2,365</w:t>
            </w:r>
          </w:p>
        </w:tc>
        <w:tc>
          <w:tcPr>
            <w:tcW w:w="810" w:type="dxa"/>
            <w:tcBorders>
              <w:bottom w:val="single" w:sz="4" w:space="0" w:color="BFBFBF"/>
            </w:tcBorders>
            <w:shd w:val="clear" w:color="000000" w:fill="FFE8D2"/>
            <w:vAlign w:val="center"/>
            <w:hideMark/>
          </w:tcPr>
          <w:p w:rsidR="00523B88" w:rsidRPr="00B30112" w:rsidRDefault="00523B88" w:rsidP="001B7FB7">
            <w:pPr>
              <w:spacing w:after="0"/>
              <w:jc w:val="right"/>
              <w:rPr>
                <w:color w:val="000000"/>
                <w:sz w:val="20"/>
                <w:szCs w:val="20"/>
              </w:rPr>
            </w:pPr>
            <w:r w:rsidRPr="00B30112">
              <w:rPr>
                <w:color w:val="000000"/>
                <w:sz w:val="20"/>
                <w:szCs w:val="20"/>
              </w:rPr>
              <w:t>3,483</w:t>
            </w:r>
          </w:p>
        </w:tc>
        <w:tc>
          <w:tcPr>
            <w:tcW w:w="797" w:type="dxa"/>
            <w:tcBorders>
              <w:bottom w:val="single" w:sz="4" w:space="0" w:color="BFBFBF"/>
            </w:tcBorders>
            <w:shd w:val="clear" w:color="000000" w:fill="FFE8D2"/>
            <w:vAlign w:val="center"/>
            <w:hideMark/>
          </w:tcPr>
          <w:p w:rsidR="00523B88" w:rsidRPr="00B30112" w:rsidRDefault="00523B88" w:rsidP="001B7FB7">
            <w:pPr>
              <w:spacing w:after="0"/>
              <w:jc w:val="right"/>
              <w:rPr>
                <w:color w:val="000000"/>
                <w:sz w:val="20"/>
                <w:szCs w:val="20"/>
              </w:rPr>
            </w:pPr>
            <w:r w:rsidRPr="00B30112">
              <w:rPr>
                <w:color w:val="000000"/>
                <w:sz w:val="20"/>
                <w:szCs w:val="20"/>
              </w:rPr>
              <w:t>1,355</w:t>
            </w:r>
          </w:p>
        </w:tc>
      </w:tr>
      <w:tr w:rsidR="00523B88" w:rsidRPr="00B30112" w:rsidTr="001B7FB7">
        <w:tc>
          <w:tcPr>
            <w:tcW w:w="13415" w:type="dxa"/>
            <w:gridSpan w:val="13"/>
            <w:tcBorders>
              <w:left w:val="nil"/>
              <w:bottom w:val="nil"/>
              <w:right w:val="nil"/>
            </w:tcBorders>
            <w:shd w:val="clear" w:color="auto" w:fill="auto"/>
            <w:noWrap/>
            <w:vAlign w:val="center"/>
            <w:hideMark/>
          </w:tcPr>
          <w:p w:rsidR="00523B88" w:rsidRPr="00B30112" w:rsidRDefault="00523B88" w:rsidP="002C0922">
            <w:pPr>
              <w:spacing w:after="0"/>
              <w:rPr>
                <w:color w:val="000000"/>
                <w:sz w:val="20"/>
                <w:szCs w:val="20"/>
              </w:rPr>
            </w:pPr>
            <w:r w:rsidRPr="00B30112">
              <w:rPr>
                <w:color w:val="000000"/>
                <w:sz w:val="20"/>
                <w:szCs w:val="20"/>
              </w:rPr>
              <w:t>*Shaded cells represent a calculated value</w:t>
            </w:r>
            <w:r w:rsidR="0015332E">
              <w:rPr>
                <w:color w:val="000000"/>
                <w:sz w:val="20"/>
                <w:szCs w:val="20"/>
              </w:rPr>
              <w:t>.</w:t>
            </w:r>
          </w:p>
        </w:tc>
      </w:tr>
    </w:tbl>
    <w:p w:rsidR="00523B88" w:rsidRDefault="00523B88" w:rsidP="00523B88">
      <w:pPr>
        <w:rPr>
          <w:rFonts w:cs="Arial"/>
          <w:b/>
          <w:bCs/>
          <w:i/>
          <w:iCs/>
          <w:kern w:val="28"/>
          <w:position w:val="6"/>
          <w:sz w:val="24"/>
          <w:szCs w:val="28"/>
        </w:rPr>
        <w:sectPr w:rsidR="00523B88" w:rsidSect="00523B88">
          <w:pgSz w:w="15840" w:h="12240" w:orient="landscape" w:code="1"/>
          <w:pgMar w:top="1440" w:right="1440" w:bottom="1440" w:left="1440" w:header="720" w:footer="720" w:gutter="0"/>
          <w:cols w:space="720"/>
          <w:docGrid w:linePitch="360"/>
        </w:sectPr>
      </w:pPr>
    </w:p>
    <w:p w:rsidR="00523B88" w:rsidRDefault="00523B88" w:rsidP="00523B88">
      <w:pPr>
        <w:pStyle w:val="Caption"/>
      </w:pPr>
      <w:bookmarkStart w:id="159" w:name="_Ref388525321"/>
      <w:r>
        <w:lastRenderedPageBreak/>
        <w:t xml:space="preserve">Table </w:t>
      </w:r>
      <w:r w:rsidR="002506E1">
        <w:fldChar w:fldCharType="begin"/>
      </w:r>
      <w:r w:rsidR="002506E1">
        <w:instrText xml:space="preserve"> SEQ Table \* ARABIC </w:instrText>
      </w:r>
      <w:r w:rsidR="002506E1">
        <w:fldChar w:fldCharType="separate"/>
      </w:r>
      <w:r w:rsidR="00CD20CF">
        <w:rPr>
          <w:noProof/>
        </w:rPr>
        <w:t>92</w:t>
      </w:r>
      <w:r w:rsidR="002506E1">
        <w:rPr>
          <w:noProof/>
        </w:rPr>
        <w:fldChar w:fldCharType="end"/>
      </w:r>
      <w:bookmarkEnd w:id="159"/>
      <w:r>
        <w:t>. Normalized Assumptions for Showerhead Energy Savings Calculations</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078"/>
        <w:gridCol w:w="901"/>
        <w:gridCol w:w="901"/>
        <w:gridCol w:w="899"/>
        <w:gridCol w:w="812"/>
        <w:gridCol w:w="809"/>
        <w:gridCol w:w="809"/>
        <w:gridCol w:w="809"/>
        <w:gridCol w:w="809"/>
        <w:gridCol w:w="809"/>
        <w:gridCol w:w="809"/>
        <w:gridCol w:w="798"/>
        <w:gridCol w:w="933"/>
      </w:tblGrid>
      <w:tr w:rsidR="001B7FB7" w:rsidRPr="000F761E" w:rsidTr="001B7FB7">
        <w:trPr>
          <w:tblHeader/>
        </w:trPr>
        <w:tc>
          <w:tcPr>
            <w:tcW w:w="1168" w:type="pct"/>
            <w:shd w:val="clear" w:color="000000" w:fill="005DAA"/>
            <w:vAlign w:val="center"/>
            <w:hideMark/>
          </w:tcPr>
          <w:p w:rsidR="001B7FB7" w:rsidRPr="002953AD" w:rsidRDefault="001B7FB7" w:rsidP="001B7FB7">
            <w:pPr>
              <w:spacing w:after="0"/>
              <w:jc w:val="center"/>
              <w:rPr>
                <w:b/>
                <w:bCs/>
                <w:color w:val="FFFFFF"/>
                <w:sz w:val="20"/>
                <w:szCs w:val="20"/>
              </w:rPr>
            </w:pPr>
            <w:r w:rsidRPr="002953AD">
              <w:rPr>
                <w:b/>
                <w:bCs/>
                <w:color w:val="FFFFFF"/>
                <w:sz w:val="20"/>
                <w:szCs w:val="20"/>
              </w:rPr>
              <w:t>Inputs Description</w:t>
            </w:r>
          </w:p>
        </w:tc>
        <w:tc>
          <w:tcPr>
            <w:tcW w:w="342" w:type="pct"/>
            <w:shd w:val="clear" w:color="000000" w:fill="005DAA"/>
            <w:vAlign w:val="center"/>
            <w:hideMark/>
          </w:tcPr>
          <w:p w:rsidR="001B7FB7" w:rsidRPr="002953AD" w:rsidRDefault="001B7FB7" w:rsidP="001B7FB7">
            <w:pPr>
              <w:spacing w:after="0"/>
              <w:jc w:val="center"/>
              <w:rPr>
                <w:b/>
                <w:bCs/>
                <w:color w:val="FFFFFF"/>
                <w:sz w:val="20"/>
                <w:szCs w:val="20"/>
              </w:rPr>
            </w:pPr>
            <w:r w:rsidRPr="002953AD">
              <w:rPr>
                <w:b/>
                <w:bCs/>
                <w:color w:val="FFFFFF"/>
                <w:sz w:val="20"/>
                <w:szCs w:val="20"/>
              </w:rPr>
              <w:t>2013 PSD</w:t>
            </w:r>
          </w:p>
        </w:tc>
        <w:tc>
          <w:tcPr>
            <w:tcW w:w="342" w:type="pct"/>
            <w:shd w:val="clear" w:color="000000" w:fill="005DAA"/>
            <w:vAlign w:val="center"/>
            <w:hideMark/>
          </w:tcPr>
          <w:p w:rsidR="001B7FB7" w:rsidRPr="002953AD" w:rsidRDefault="001B7FB7" w:rsidP="001B7FB7">
            <w:pPr>
              <w:spacing w:after="0"/>
              <w:jc w:val="center"/>
              <w:rPr>
                <w:b/>
                <w:bCs/>
                <w:color w:val="FFFFFF"/>
                <w:sz w:val="20"/>
                <w:szCs w:val="20"/>
              </w:rPr>
            </w:pPr>
            <w:r w:rsidRPr="002953AD">
              <w:rPr>
                <w:b/>
                <w:bCs/>
                <w:color w:val="FFFFFF"/>
                <w:sz w:val="20"/>
                <w:szCs w:val="20"/>
              </w:rPr>
              <w:t>2011 PSD</w:t>
            </w:r>
            <w:r>
              <w:rPr>
                <w:b/>
                <w:bCs/>
                <w:color w:val="FFFFFF"/>
                <w:sz w:val="20"/>
                <w:szCs w:val="20"/>
              </w:rPr>
              <w:t xml:space="preserve"> (</w:t>
            </w:r>
            <w:r w:rsidRPr="002953AD">
              <w:rPr>
                <w:b/>
                <w:bCs/>
                <w:color w:val="FFFFFF"/>
                <w:sz w:val="20"/>
                <w:szCs w:val="20"/>
              </w:rPr>
              <w:t>HES</w:t>
            </w:r>
            <w:r>
              <w:rPr>
                <w:b/>
                <w:bCs/>
                <w:color w:val="FFFFFF"/>
                <w:sz w:val="20"/>
                <w:szCs w:val="20"/>
              </w:rPr>
              <w:t>)</w:t>
            </w:r>
          </w:p>
        </w:tc>
        <w:tc>
          <w:tcPr>
            <w:tcW w:w="341" w:type="pct"/>
            <w:shd w:val="clear" w:color="000000" w:fill="005DAA"/>
            <w:vAlign w:val="center"/>
            <w:hideMark/>
          </w:tcPr>
          <w:p w:rsidR="001B7FB7" w:rsidRPr="002953AD" w:rsidRDefault="001B7FB7" w:rsidP="001B7FB7">
            <w:pPr>
              <w:spacing w:after="0"/>
              <w:jc w:val="center"/>
              <w:rPr>
                <w:b/>
                <w:bCs/>
                <w:color w:val="FFFFFF"/>
                <w:sz w:val="20"/>
                <w:szCs w:val="20"/>
              </w:rPr>
            </w:pPr>
            <w:r w:rsidRPr="002953AD">
              <w:rPr>
                <w:b/>
                <w:bCs/>
                <w:color w:val="FFFFFF"/>
                <w:sz w:val="20"/>
                <w:szCs w:val="20"/>
              </w:rPr>
              <w:t>2011 PSD</w:t>
            </w:r>
            <w:r>
              <w:rPr>
                <w:b/>
                <w:bCs/>
                <w:color w:val="FFFFFF"/>
                <w:sz w:val="20"/>
                <w:szCs w:val="20"/>
              </w:rPr>
              <w:t xml:space="preserve"> (HES-</w:t>
            </w:r>
            <w:r w:rsidRPr="002953AD">
              <w:rPr>
                <w:b/>
                <w:bCs/>
                <w:color w:val="FFFFFF"/>
                <w:sz w:val="20"/>
                <w:szCs w:val="20"/>
              </w:rPr>
              <w:t>IE</w:t>
            </w:r>
            <w:r>
              <w:rPr>
                <w:b/>
                <w:bCs/>
                <w:color w:val="FFFFFF"/>
                <w:sz w:val="20"/>
                <w:szCs w:val="20"/>
              </w:rPr>
              <w:t>)</w:t>
            </w:r>
          </w:p>
        </w:tc>
        <w:tc>
          <w:tcPr>
            <w:tcW w:w="308" w:type="pct"/>
            <w:shd w:val="clear" w:color="000000" w:fill="005DAA"/>
            <w:vAlign w:val="center"/>
            <w:hideMark/>
          </w:tcPr>
          <w:p w:rsidR="001B7FB7" w:rsidRPr="002953AD" w:rsidRDefault="001B7FB7" w:rsidP="001B7FB7">
            <w:pPr>
              <w:spacing w:after="0"/>
              <w:jc w:val="center"/>
              <w:rPr>
                <w:b/>
                <w:bCs/>
                <w:color w:val="FFFFFF"/>
                <w:sz w:val="20"/>
                <w:szCs w:val="20"/>
              </w:rPr>
            </w:pPr>
            <w:r w:rsidRPr="002953AD">
              <w:rPr>
                <w:b/>
                <w:bCs/>
                <w:color w:val="FFFFFF"/>
                <w:sz w:val="20"/>
                <w:szCs w:val="20"/>
              </w:rPr>
              <w:t>Illinois</w:t>
            </w:r>
            <w:r>
              <w:rPr>
                <w:b/>
                <w:bCs/>
                <w:color w:val="FFFFFF"/>
                <w:sz w:val="20"/>
                <w:szCs w:val="20"/>
              </w:rPr>
              <w:t xml:space="preserve"> (</w:t>
            </w:r>
            <w:r w:rsidRPr="002953AD">
              <w:rPr>
                <w:b/>
                <w:bCs/>
                <w:color w:val="FFFFFF"/>
                <w:sz w:val="20"/>
                <w:szCs w:val="20"/>
              </w:rPr>
              <w:t>SF</w:t>
            </w:r>
            <w:r>
              <w:rPr>
                <w:b/>
                <w:bCs/>
                <w:color w:val="FFFFFF"/>
                <w:sz w:val="20"/>
                <w:szCs w:val="20"/>
              </w:rPr>
              <w:t>)</w:t>
            </w:r>
          </w:p>
        </w:tc>
        <w:tc>
          <w:tcPr>
            <w:tcW w:w="307" w:type="pct"/>
            <w:shd w:val="clear" w:color="000000" w:fill="005DAA"/>
            <w:vAlign w:val="center"/>
            <w:hideMark/>
          </w:tcPr>
          <w:p w:rsidR="001B7FB7" w:rsidRPr="002953AD" w:rsidRDefault="001B7FB7" w:rsidP="001B7FB7">
            <w:pPr>
              <w:spacing w:after="0"/>
              <w:jc w:val="center"/>
              <w:rPr>
                <w:b/>
                <w:bCs/>
                <w:color w:val="FFFFFF"/>
                <w:sz w:val="20"/>
                <w:szCs w:val="20"/>
              </w:rPr>
            </w:pPr>
            <w:r w:rsidRPr="002953AD">
              <w:rPr>
                <w:b/>
                <w:bCs/>
                <w:color w:val="FFFFFF"/>
                <w:sz w:val="20"/>
                <w:szCs w:val="20"/>
              </w:rPr>
              <w:t>Illinois</w:t>
            </w:r>
            <w:r>
              <w:rPr>
                <w:b/>
                <w:bCs/>
                <w:color w:val="FFFFFF"/>
                <w:sz w:val="20"/>
                <w:szCs w:val="20"/>
              </w:rPr>
              <w:t xml:space="preserve"> (</w:t>
            </w:r>
            <w:r w:rsidRPr="002953AD">
              <w:rPr>
                <w:b/>
                <w:bCs/>
                <w:color w:val="FFFFFF"/>
                <w:sz w:val="20"/>
                <w:szCs w:val="20"/>
              </w:rPr>
              <w:t>MF</w:t>
            </w:r>
            <w:r>
              <w:rPr>
                <w:b/>
                <w:bCs/>
                <w:color w:val="FFFFFF"/>
                <w:sz w:val="20"/>
                <w:szCs w:val="20"/>
              </w:rPr>
              <w:t>)</w:t>
            </w:r>
          </w:p>
        </w:tc>
        <w:tc>
          <w:tcPr>
            <w:tcW w:w="307" w:type="pct"/>
            <w:shd w:val="clear" w:color="000000" w:fill="005DAA"/>
            <w:vAlign w:val="center"/>
            <w:hideMark/>
          </w:tcPr>
          <w:p w:rsidR="001B7FB7" w:rsidRPr="002953AD" w:rsidRDefault="001B7FB7" w:rsidP="001B7FB7">
            <w:pPr>
              <w:spacing w:after="0"/>
              <w:jc w:val="center"/>
              <w:rPr>
                <w:b/>
                <w:bCs/>
                <w:color w:val="FFFFFF"/>
                <w:sz w:val="20"/>
                <w:szCs w:val="20"/>
              </w:rPr>
            </w:pPr>
            <w:r w:rsidRPr="002953AD">
              <w:rPr>
                <w:b/>
                <w:bCs/>
                <w:color w:val="FFFFFF"/>
                <w:sz w:val="20"/>
                <w:szCs w:val="20"/>
              </w:rPr>
              <w:t>MA</w:t>
            </w:r>
            <w:r>
              <w:rPr>
                <w:b/>
                <w:bCs/>
                <w:color w:val="FFFFFF"/>
                <w:sz w:val="20"/>
                <w:szCs w:val="20"/>
              </w:rPr>
              <w:t xml:space="preserve"> (</w:t>
            </w:r>
            <w:r w:rsidRPr="002953AD">
              <w:rPr>
                <w:b/>
                <w:bCs/>
                <w:color w:val="FFFFFF"/>
                <w:sz w:val="20"/>
                <w:szCs w:val="20"/>
              </w:rPr>
              <w:t>HES</w:t>
            </w:r>
            <w:r>
              <w:rPr>
                <w:b/>
                <w:bCs/>
                <w:color w:val="FFFFFF"/>
                <w:sz w:val="20"/>
                <w:szCs w:val="20"/>
              </w:rPr>
              <w:t>)</w:t>
            </w:r>
          </w:p>
        </w:tc>
        <w:tc>
          <w:tcPr>
            <w:tcW w:w="307" w:type="pct"/>
            <w:shd w:val="clear" w:color="000000" w:fill="005DAA"/>
            <w:vAlign w:val="center"/>
            <w:hideMark/>
          </w:tcPr>
          <w:p w:rsidR="001B7FB7" w:rsidRDefault="001B7FB7" w:rsidP="001B7FB7">
            <w:pPr>
              <w:spacing w:after="0"/>
              <w:jc w:val="center"/>
              <w:rPr>
                <w:b/>
                <w:bCs/>
                <w:color w:val="FFFFFF"/>
                <w:sz w:val="20"/>
                <w:szCs w:val="20"/>
              </w:rPr>
            </w:pPr>
            <w:r w:rsidRPr="002953AD">
              <w:rPr>
                <w:b/>
                <w:bCs/>
                <w:color w:val="FFFFFF"/>
                <w:sz w:val="20"/>
                <w:szCs w:val="20"/>
              </w:rPr>
              <w:t>MA</w:t>
            </w:r>
          </w:p>
          <w:p w:rsidR="001B7FB7" w:rsidRPr="002953AD" w:rsidRDefault="001B7FB7" w:rsidP="001B7FB7">
            <w:pPr>
              <w:spacing w:after="0"/>
              <w:jc w:val="center"/>
              <w:rPr>
                <w:b/>
                <w:bCs/>
                <w:color w:val="FFFFFF"/>
                <w:sz w:val="20"/>
                <w:szCs w:val="20"/>
              </w:rPr>
            </w:pPr>
            <w:r>
              <w:rPr>
                <w:b/>
                <w:bCs/>
                <w:color w:val="FFFFFF"/>
                <w:sz w:val="20"/>
                <w:szCs w:val="20"/>
              </w:rPr>
              <w:t>(LI)</w:t>
            </w:r>
          </w:p>
        </w:tc>
        <w:tc>
          <w:tcPr>
            <w:tcW w:w="307" w:type="pct"/>
            <w:shd w:val="clear" w:color="000000" w:fill="005DAA"/>
            <w:vAlign w:val="center"/>
            <w:hideMark/>
          </w:tcPr>
          <w:p w:rsidR="001B7FB7" w:rsidRPr="002953AD" w:rsidRDefault="001B7FB7" w:rsidP="001B7FB7">
            <w:pPr>
              <w:spacing w:after="0"/>
              <w:jc w:val="center"/>
              <w:rPr>
                <w:b/>
                <w:bCs/>
                <w:color w:val="FFFFFF"/>
                <w:sz w:val="20"/>
                <w:szCs w:val="20"/>
              </w:rPr>
            </w:pPr>
            <w:r w:rsidRPr="002953AD">
              <w:rPr>
                <w:b/>
                <w:bCs/>
                <w:color w:val="FFFFFF"/>
                <w:sz w:val="20"/>
                <w:szCs w:val="20"/>
              </w:rPr>
              <w:t>Maine</w:t>
            </w:r>
            <w:r>
              <w:rPr>
                <w:b/>
                <w:bCs/>
                <w:color w:val="FFFFFF"/>
                <w:sz w:val="20"/>
                <w:szCs w:val="20"/>
              </w:rPr>
              <w:t xml:space="preserve"> (</w:t>
            </w:r>
            <w:r w:rsidRPr="002953AD">
              <w:rPr>
                <w:b/>
                <w:bCs/>
                <w:color w:val="FFFFFF"/>
                <w:sz w:val="20"/>
                <w:szCs w:val="20"/>
              </w:rPr>
              <w:t>LI</w:t>
            </w:r>
            <w:r>
              <w:rPr>
                <w:b/>
                <w:bCs/>
                <w:color w:val="FFFFFF"/>
                <w:sz w:val="20"/>
                <w:szCs w:val="20"/>
              </w:rPr>
              <w:t>)</w:t>
            </w:r>
          </w:p>
        </w:tc>
        <w:tc>
          <w:tcPr>
            <w:tcW w:w="307" w:type="pct"/>
            <w:shd w:val="clear" w:color="000000" w:fill="005DAA"/>
            <w:vAlign w:val="center"/>
            <w:hideMark/>
          </w:tcPr>
          <w:p w:rsidR="001B7FB7" w:rsidRPr="002953AD" w:rsidRDefault="001B7FB7" w:rsidP="001B7FB7">
            <w:pPr>
              <w:spacing w:after="0"/>
              <w:jc w:val="center"/>
              <w:rPr>
                <w:b/>
                <w:bCs/>
                <w:color w:val="FFFFFF"/>
                <w:sz w:val="20"/>
                <w:szCs w:val="20"/>
              </w:rPr>
            </w:pPr>
            <w:r w:rsidRPr="002953AD">
              <w:rPr>
                <w:b/>
                <w:bCs/>
                <w:color w:val="FFFFFF"/>
                <w:sz w:val="20"/>
                <w:szCs w:val="20"/>
              </w:rPr>
              <w:t>PA 2014</w:t>
            </w:r>
            <w:r>
              <w:rPr>
                <w:b/>
                <w:bCs/>
                <w:color w:val="FFFFFF"/>
                <w:sz w:val="20"/>
                <w:szCs w:val="20"/>
              </w:rPr>
              <w:t xml:space="preserve"> (</w:t>
            </w:r>
            <w:r w:rsidRPr="002953AD">
              <w:rPr>
                <w:b/>
                <w:bCs/>
                <w:color w:val="FFFFFF"/>
                <w:sz w:val="20"/>
                <w:szCs w:val="20"/>
              </w:rPr>
              <w:t>SF</w:t>
            </w:r>
            <w:r>
              <w:rPr>
                <w:b/>
                <w:bCs/>
                <w:color w:val="FFFFFF"/>
                <w:sz w:val="20"/>
                <w:szCs w:val="20"/>
              </w:rPr>
              <w:t>)</w:t>
            </w:r>
          </w:p>
        </w:tc>
        <w:tc>
          <w:tcPr>
            <w:tcW w:w="307" w:type="pct"/>
            <w:shd w:val="clear" w:color="000000" w:fill="005DAA"/>
            <w:vAlign w:val="center"/>
            <w:hideMark/>
          </w:tcPr>
          <w:p w:rsidR="001B7FB7" w:rsidRPr="002953AD" w:rsidRDefault="001B7FB7" w:rsidP="001B7FB7">
            <w:pPr>
              <w:spacing w:after="0"/>
              <w:jc w:val="center"/>
              <w:rPr>
                <w:b/>
                <w:bCs/>
                <w:color w:val="FFFFFF"/>
                <w:sz w:val="20"/>
                <w:szCs w:val="20"/>
              </w:rPr>
            </w:pPr>
            <w:r w:rsidRPr="002953AD">
              <w:rPr>
                <w:b/>
                <w:bCs/>
                <w:color w:val="FFFFFF"/>
                <w:sz w:val="20"/>
                <w:szCs w:val="20"/>
              </w:rPr>
              <w:t>PA 2014</w:t>
            </w:r>
            <w:r>
              <w:rPr>
                <w:b/>
                <w:bCs/>
                <w:color w:val="FFFFFF"/>
                <w:sz w:val="20"/>
                <w:szCs w:val="20"/>
              </w:rPr>
              <w:t xml:space="preserve"> (</w:t>
            </w:r>
            <w:r w:rsidRPr="002953AD">
              <w:rPr>
                <w:b/>
                <w:bCs/>
                <w:color w:val="FFFFFF"/>
                <w:sz w:val="20"/>
                <w:szCs w:val="20"/>
              </w:rPr>
              <w:t>MF</w:t>
            </w:r>
            <w:r>
              <w:rPr>
                <w:b/>
                <w:bCs/>
                <w:color w:val="FFFFFF"/>
                <w:sz w:val="20"/>
                <w:szCs w:val="20"/>
              </w:rPr>
              <w:t>)</w:t>
            </w:r>
          </w:p>
        </w:tc>
        <w:tc>
          <w:tcPr>
            <w:tcW w:w="303" w:type="pct"/>
            <w:shd w:val="clear" w:color="000000" w:fill="005DAA"/>
            <w:vAlign w:val="center"/>
            <w:hideMark/>
          </w:tcPr>
          <w:p w:rsidR="001B7FB7" w:rsidRPr="002953AD" w:rsidRDefault="001B7FB7" w:rsidP="001B7FB7">
            <w:pPr>
              <w:spacing w:after="0"/>
              <w:jc w:val="center"/>
              <w:rPr>
                <w:b/>
                <w:bCs/>
                <w:color w:val="FFFFFF"/>
                <w:sz w:val="20"/>
                <w:szCs w:val="20"/>
              </w:rPr>
            </w:pPr>
            <w:r w:rsidRPr="002953AD">
              <w:rPr>
                <w:b/>
                <w:bCs/>
                <w:color w:val="FFFFFF"/>
                <w:sz w:val="20"/>
                <w:szCs w:val="20"/>
              </w:rPr>
              <w:t>Indiana</w:t>
            </w:r>
          </w:p>
        </w:tc>
        <w:tc>
          <w:tcPr>
            <w:tcW w:w="354" w:type="pct"/>
            <w:shd w:val="clear" w:color="000000" w:fill="005DAA"/>
            <w:vAlign w:val="center"/>
            <w:hideMark/>
          </w:tcPr>
          <w:p w:rsidR="001B7FB7" w:rsidRPr="002953AD" w:rsidRDefault="001B7FB7" w:rsidP="001B7FB7">
            <w:pPr>
              <w:spacing w:after="0"/>
              <w:jc w:val="center"/>
              <w:rPr>
                <w:b/>
                <w:bCs/>
                <w:color w:val="FFFFFF"/>
                <w:sz w:val="20"/>
                <w:szCs w:val="20"/>
              </w:rPr>
            </w:pPr>
            <w:r w:rsidRPr="002953AD">
              <w:rPr>
                <w:b/>
                <w:bCs/>
                <w:color w:val="FFFFFF"/>
                <w:sz w:val="20"/>
                <w:szCs w:val="20"/>
              </w:rPr>
              <w:t>Mid-Atlantic 2013</w:t>
            </w:r>
          </w:p>
        </w:tc>
      </w:tr>
      <w:tr w:rsidR="001B7FB7" w:rsidRPr="000F761E" w:rsidTr="001B7FB7">
        <w:tc>
          <w:tcPr>
            <w:tcW w:w="1168" w:type="pct"/>
            <w:shd w:val="clear" w:color="auto" w:fill="auto"/>
            <w:vAlign w:val="center"/>
            <w:hideMark/>
          </w:tcPr>
          <w:p w:rsidR="00523B88" w:rsidRPr="000F761E" w:rsidRDefault="00523B88" w:rsidP="000F761E">
            <w:pPr>
              <w:spacing w:after="0"/>
              <w:rPr>
                <w:color w:val="000000"/>
                <w:sz w:val="20"/>
                <w:szCs w:val="20"/>
              </w:rPr>
            </w:pPr>
            <w:r w:rsidRPr="000F761E">
              <w:rPr>
                <w:color w:val="000000"/>
                <w:sz w:val="20"/>
                <w:szCs w:val="20"/>
              </w:rPr>
              <w:t>Showerhead Flow Rate, Base (Gal/Min)</w:t>
            </w:r>
          </w:p>
        </w:tc>
        <w:tc>
          <w:tcPr>
            <w:tcW w:w="342"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2.50</w:t>
            </w:r>
          </w:p>
        </w:tc>
        <w:tc>
          <w:tcPr>
            <w:tcW w:w="342"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2.50</w:t>
            </w:r>
          </w:p>
        </w:tc>
        <w:tc>
          <w:tcPr>
            <w:tcW w:w="341"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2.50</w:t>
            </w:r>
          </w:p>
        </w:tc>
        <w:tc>
          <w:tcPr>
            <w:tcW w:w="308"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2.67</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2.67</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2.05</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2.05</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2.50</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2.50</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2.50</w:t>
            </w:r>
          </w:p>
        </w:tc>
        <w:tc>
          <w:tcPr>
            <w:tcW w:w="303"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2.80</w:t>
            </w:r>
          </w:p>
        </w:tc>
        <w:tc>
          <w:tcPr>
            <w:tcW w:w="354"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2.50</w:t>
            </w:r>
          </w:p>
        </w:tc>
      </w:tr>
      <w:tr w:rsidR="001B7FB7" w:rsidRPr="000F761E" w:rsidTr="001B7FB7">
        <w:tc>
          <w:tcPr>
            <w:tcW w:w="1168" w:type="pct"/>
            <w:shd w:val="clear" w:color="auto" w:fill="auto"/>
            <w:vAlign w:val="center"/>
            <w:hideMark/>
          </w:tcPr>
          <w:p w:rsidR="00523B88" w:rsidRPr="000F761E" w:rsidRDefault="00523B88" w:rsidP="000F761E">
            <w:pPr>
              <w:spacing w:after="0"/>
              <w:rPr>
                <w:color w:val="000000"/>
                <w:sz w:val="20"/>
                <w:szCs w:val="20"/>
              </w:rPr>
            </w:pPr>
            <w:r w:rsidRPr="000F761E">
              <w:rPr>
                <w:color w:val="000000"/>
                <w:sz w:val="20"/>
                <w:szCs w:val="20"/>
              </w:rPr>
              <w:t>Showerhead Flow Rate, Low-Flow (Gal/Min)</w:t>
            </w:r>
          </w:p>
        </w:tc>
        <w:tc>
          <w:tcPr>
            <w:tcW w:w="342"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2.00</w:t>
            </w:r>
          </w:p>
        </w:tc>
        <w:tc>
          <w:tcPr>
            <w:tcW w:w="342"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2.00</w:t>
            </w:r>
          </w:p>
        </w:tc>
        <w:tc>
          <w:tcPr>
            <w:tcW w:w="341"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2.00</w:t>
            </w:r>
          </w:p>
        </w:tc>
        <w:tc>
          <w:tcPr>
            <w:tcW w:w="308"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2.00</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2.00</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1.61</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1.61</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2.00</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1.50</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1.50</w:t>
            </w:r>
          </w:p>
        </w:tc>
        <w:tc>
          <w:tcPr>
            <w:tcW w:w="303"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2.00</w:t>
            </w:r>
          </w:p>
        </w:tc>
        <w:tc>
          <w:tcPr>
            <w:tcW w:w="354"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2.00</w:t>
            </w:r>
          </w:p>
        </w:tc>
      </w:tr>
      <w:tr w:rsidR="001B7FB7" w:rsidRPr="000F761E" w:rsidTr="001B7FB7">
        <w:tc>
          <w:tcPr>
            <w:tcW w:w="1168" w:type="pct"/>
            <w:shd w:val="clear" w:color="auto" w:fill="auto"/>
            <w:vAlign w:val="center"/>
            <w:hideMark/>
          </w:tcPr>
          <w:p w:rsidR="001B7FB7" w:rsidRPr="000F761E" w:rsidRDefault="001B7FB7" w:rsidP="000F761E">
            <w:pPr>
              <w:spacing w:after="0"/>
              <w:rPr>
                <w:color w:val="000000"/>
                <w:sz w:val="20"/>
                <w:szCs w:val="20"/>
              </w:rPr>
            </w:pPr>
            <w:r w:rsidRPr="000F761E">
              <w:rPr>
                <w:color w:val="000000"/>
                <w:sz w:val="20"/>
                <w:szCs w:val="20"/>
              </w:rPr>
              <w:t>Days of Shower Use (Days/Year)</w:t>
            </w:r>
          </w:p>
        </w:tc>
        <w:tc>
          <w:tcPr>
            <w:tcW w:w="342" w:type="pct"/>
            <w:shd w:val="clear" w:color="auto" w:fill="auto"/>
            <w:vAlign w:val="center"/>
            <w:hideMark/>
          </w:tcPr>
          <w:p w:rsidR="001B7FB7" w:rsidRPr="000F761E" w:rsidRDefault="001B7FB7" w:rsidP="001B7FB7">
            <w:pPr>
              <w:spacing w:after="0"/>
              <w:jc w:val="right"/>
              <w:rPr>
                <w:color w:val="000000"/>
                <w:sz w:val="20"/>
                <w:szCs w:val="20"/>
              </w:rPr>
            </w:pPr>
            <w:r w:rsidRPr="000F761E">
              <w:rPr>
                <w:color w:val="000000"/>
                <w:sz w:val="20"/>
                <w:szCs w:val="20"/>
              </w:rPr>
              <w:t>365</w:t>
            </w:r>
          </w:p>
        </w:tc>
        <w:tc>
          <w:tcPr>
            <w:tcW w:w="342" w:type="pct"/>
            <w:shd w:val="clear" w:color="auto" w:fill="auto"/>
            <w:vAlign w:val="center"/>
            <w:hideMark/>
          </w:tcPr>
          <w:p w:rsidR="001B7FB7" w:rsidRPr="000F761E" w:rsidRDefault="001B7FB7" w:rsidP="001B7FB7">
            <w:pPr>
              <w:spacing w:after="0"/>
              <w:jc w:val="right"/>
              <w:rPr>
                <w:color w:val="000000"/>
                <w:sz w:val="20"/>
                <w:szCs w:val="20"/>
              </w:rPr>
            </w:pPr>
            <w:r w:rsidRPr="000F761E">
              <w:rPr>
                <w:color w:val="000000"/>
                <w:sz w:val="20"/>
                <w:szCs w:val="20"/>
              </w:rPr>
              <w:t>365</w:t>
            </w:r>
          </w:p>
        </w:tc>
        <w:tc>
          <w:tcPr>
            <w:tcW w:w="341" w:type="pct"/>
            <w:shd w:val="clear" w:color="auto" w:fill="auto"/>
            <w:vAlign w:val="center"/>
            <w:hideMark/>
          </w:tcPr>
          <w:p w:rsidR="001B7FB7" w:rsidRPr="000F761E" w:rsidRDefault="001B7FB7" w:rsidP="001B7FB7">
            <w:pPr>
              <w:spacing w:after="0"/>
              <w:jc w:val="right"/>
              <w:rPr>
                <w:color w:val="000000"/>
                <w:sz w:val="20"/>
                <w:szCs w:val="20"/>
              </w:rPr>
            </w:pPr>
            <w:r w:rsidRPr="000F761E">
              <w:rPr>
                <w:color w:val="000000"/>
                <w:sz w:val="20"/>
                <w:szCs w:val="20"/>
              </w:rPr>
              <w:t>365</w:t>
            </w:r>
          </w:p>
        </w:tc>
        <w:tc>
          <w:tcPr>
            <w:tcW w:w="308" w:type="pct"/>
            <w:shd w:val="clear" w:color="auto" w:fill="auto"/>
            <w:vAlign w:val="center"/>
            <w:hideMark/>
          </w:tcPr>
          <w:p w:rsidR="001B7FB7" w:rsidRPr="000F761E" w:rsidRDefault="001B7FB7" w:rsidP="000F761E">
            <w:pPr>
              <w:spacing w:after="0"/>
              <w:jc w:val="right"/>
              <w:rPr>
                <w:color w:val="000000"/>
                <w:sz w:val="20"/>
                <w:szCs w:val="20"/>
              </w:rPr>
            </w:pPr>
            <w:r w:rsidRPr="000F761E">
              <w:rPr>
                <w:color w:val="000000"/>
                <w:sz w:val="20"/>
                <w:szCs w:val="20"/>
              </w:rPr>
              <w:t>365.25</w:t>
            </w:r>
          </w:p>
        </w:tc>
        <w:tc>
          <w:tcPr>
            <w:tcW w:w="307" w:type="pct"/>
            <w:shd w:val="clear" w:color="auto" w:fill="auto"/>
            <w:vAlign w:val="center"/>
            <w:hideMark/>
          </w:tcPr>
          <w:p w:rsidR="001B7FB7" w:rsidRPr="000F761E" w:rsidRDefault="001B7FB7" w:rsidP="000F761E">
            <w:pPr>
              <w:spacing w:after="0"/>
              <w:jc w:val="right"/>
              <w:rPr>
                <w:color w:val="000000"/>
                <w:sz w:val="20"/>
                <w:szCs w:val="20"/>
              </w:rPr>
            </w:pPr>
            <w:r w:rsidRPr="000F761E">
              <w:rPr>
                <w:color w:val="000000"/>
                <w:sz w:val="20"/>
                <w:szCs w:val="20"/>
              </w:rPr>
              <w:t>365.25</w:t>
            </w:r>
          </w:p>
        </w:tc>
        <w:tc>
          <w:tcPr>
            <w:tcW w:w="307" w:type="pct"/>
            <w:shd w:val="clear" w:color="auto" w:fill="auto"/>
            <w:vAlign w:val="center"/>
            <w:hideMark/>
          </w:tcPr>
          <w:p w:rsidR="001B7FB7" w:rsidRPr="000F761E" w:rsidRDefault="001B7FB7" w:rsidP="001B7FB7">
            <w:pPr>
              <w:spacing w:after="0"/>
              <w:jc w:val="right"/>
              <w:rPr>
                <w:color w:val="000000"/>
                <w:sz w:val="20"/>
                <w:szCs w:val="20"/>
              </w:rPr>
            </w:pPr>
            <w:r w:rsidRPr="000F761E">
              <w:rPr>
                <w:color w:val="000000"/>
                <w:sz w:val="20"/>
                <w:szCs w:val="20"/>
              </w:rPr>
              <w:t>365</w:t>
            </w:r>
          </w:p>
        </w:tc>
        <w:tc>
          <w:tcPr>
            <w:tcW w:w="307" w:type="pct"/>
            <w:shd w:val="clear" w:color="auto" w:fill="auto"/>
            <w:vAlign w:val="center"/>
            <w:hideMark/>
          </w:tcPr>
          <w:p w:rsidR="001B7FB7" w:rsidRPr="000F761E" w:rsidRDefault="001B7FB7" w:rsidP="001B7FB7">
            <w:pPr>
              <w:spacing w:after="0"/>
              <w:jc w:val="right"/>
              <w:rPr>
                <w:color w:val="000000"/>
                <w:sz w:val="20"/>
                <w:szCs w:val="20"/>
              </w:rPr>
            </w:pPr>
            <w:r w:rsidRPr="000F761E">
              <w:rPr>
                <w:color w:val="000000"/>
                <w:sz w:val="20"/>
                <w:szCs w:val="20"/>
              </w:rPr>
              <w:t>365</w:t>
            </w:r>
          </w:p>
        </w:tc>
        <w:tc>
          <w:tcPr>
            <w:tcW w:w="307" w:type="pct"/>
            <w:shd w:val="clear" w:color="auto" w:fill="auto"/>
            <w:vAlign w:val="center"/>
            <w:hideMark/>
          </w:tcPr>
          <w:p w:rsidR="001B7FB7" w:rsidRPr="000F761E" w:rsidRDefault="001B7FB7" w:rsidP="001B7FB7">
            <w:pPr>
              <w:spacing w:after="0"/>
              <w:jc w:val="right"/>
              <w:rPr>
                <w:color w:val="000000"/>
                <w:sz w:val="20"/>
                <w:szCs w:val="20"/>
              </w:rPr>
            </w:pPr>
            <w:r w:rsidRPr="000F761E">
              <w:rPr>
                <w:color w:val="000000"/>
                <w:sz w:val="20"/>
                <w:szCs w:val="20"/>
              </w:rPr>
              <w:t>365</w:t>
            </w:r>
          </w:p>
        </w:tc>
        <w:tc>
          <w:tcPr>
            <w:tcW w:w="307" w:type="pct"/>
            <w:shd w:val="clear" w:color="auto" w:fill="auto"/>
            <w:vAlign w:val="center"/>
            <w:hideMark/>
          </w:tcPr>
          <w:p w:rsidR="001B7FB7" w:rsidRPr="000F761E" w:rsidRDefault="001B7FB7" w:rsidP="001B7FB7">
            <w:pPr>
              <w:spacing w:after="0"/>
              <w:jc w:val="right"/>
              <w:rPr>
                <w:color w:val="000000"/>
                <w:sz w:val="20"/>
                <w:szCs w:val="20"/>
              </w:rPr>
            </w:pPr>
            <w:r w:rsidRPr="000F761E">
              <w:rPr>
                <w:color w:val="000000"/>
                <w:sz w:val="20"/>
                <w:szCs w:val="20"/>
              </w:rPr>
              <w:t>365</w:t>
            </w:r>
          </w:p>
        </w:tc>
        <w:tc>
          <w:tcPr>
            <w:tcW w:w="307" w:type="pct"/>
            <w:shd w:val="clear" w:color="auto" w:fill="auto"/>
            <w:vAlign w:val="center"/>
            <w:hideMark/>
          </w:tcPr>
          <w:p w:rsidR="001B7FB7" w:rsidRPr="000F761E" w:rsidRDefault="001B7FB7" w:rsidP="001B7FB7">
            <w:pPr>
              <w:spacing w:after="0"/>
              <w:jc w:val="right"/>
              <w:rPr>
                <w:color w:val="000000"/>
                <w:sz w:val="20"/>
                <w:szCs w:val="20"/>
              </w:rPr>
            </w:pPr>
            <w:r w:rsidRPr="000F761E">
              <w:rPr>
                <w:color w:val="000000"/>
                <w:sz w:val="20"/>
                <w:szCs w:val="20"/>
              </w:rPr>
              <w:t>365</w:t>
            </w:r>
          </w:p>
        </w:tc>
        <w:tc>
          <w:tcPr>
            <w:tcW w:w="303" w:type="pct"/>
            <w:shd w:val="clear" w:color="auto" w:fill="auto"/>
            <w:vAlign w:val="center"/>
            <w:hideMark/>
          </w:tcPr>
          <w:p w:rsidR="001B7FB7" w:rsidRPr="000F761E" w:rsidRDefault="001B7FB7" w:rsidP="001B7FB7">
            <w:pPr>
              <w:spacing w:after="0"/>
              <w:jc w:val="right"/>
              <w:rPr>
                <w:color w:val="000000"/>
                <w:sz w:val="20"/>
                <w:szCs w:val="20"/>
              </w:rPr>
            </w:pPr>
            <w:r w:rsidRPr="000F761E">
              <w:rPr>
                <w:color w:val="000000"/>
                <w:sz w:val="20"/>
                <w:szCs w:val="20"/>
              </w:rPr>
              <w:t>365</w:t>
            </w:r>
          </w:p>
        </w:tc>
        <w:tc>
          <w:tcPr>
            <w:tcW w:w="354" w:type="pct"/>
            <w:shd w:val="clear" w:color="auto" w:fill="auto"/>
            <w:vAlign w:val="center"/>
            <w:hideMark/>
          </w:tcPr>
          <w:p w:rsidR="001B7FB7" w:rsidRPr="000F761E" w:rsidRDefault="001B7FB7" w:rsidP="001B7FB7">
            <w:pPr>
              <w:spacing w:after="0"/>
              <w:jc w:val="right"/>
              <w:rPr>
                <w:color w:val="000000"/>
                <w:sz w:val="20"/>
                <w:szCs w:val="20"/>
              </w:rPr>
            </w:pPr>
            <w:r w:rsidRPr="000F761E">
              <w:rPr>
                <w:color w:val="000000"/>
                <w:sz w:val="20"/>
                <w:szCs w:val="20"/>
              </w:rPr>
              <w:t>365</w:t>
            </w:r>
          </w:p>
        </w:tc>
      </w:tr>
      <w:tr w:rsidR="001B7FB7" w:rsidRPr="000F761E" w:rsidTr="001B7FB7">
        <w:tc>
          <w:tcPr>
            <w:tcW w:w="1168" w:type="pct"/>
            <w:shd w:val="clear" w:color="auto" w:fill="auto"/>
            <w:vAlign w:val="center"/>
            <w:hideMark/>
          </w:tcPr>
          <w:p w:rsidR="00523B88" w:rsidRPr="000F761E" w:rsidRDefault="00523B88" w:rsidP="000F761E">
            <w:pPr>
              <w:spacing w:after="0"/>
              <w:rPr>
                <w:color w:val="000000"/>
                <w:sz w:val="20"/>
                <w:szCs w:val="20"/>
              </w:rPr>
            </w:pPr>
            <w:r w:rsidRPr="000F761E">
              <w:rPr>
                <w:color w:val="000000"/>
                <w:sz w:val="20"/>
                <w:szCs w:val="20"/>
              </w:rPr>
              <w:t>Showerheads per Home (Showers/Home)</w:t>
            </w:r>
          </w:p>
        </w:tc>
        <w:tc>
          <w:tcPr>
            <w:tcW w:w="342"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2.30</w:t>
            </w:r>
          </w:p>
        </w:tc>
        <w:tc>
          <w:tcPr>
            <w:tcW w:w="342"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2.00</w:t>
            </w:r>
          </w:p>
        </w:tc>
        <w:tc>
          <w:tcPr>
            <w:tcW w:w="341"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1.10</w:t>
            </w:r>
          </w:p>
        </w:tc>
        <w:tc>
          <w:tcPr>
            <w:tcW w:w="308"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1.79</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1.30</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1.00</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1.00</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1.70</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1.70</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1.30</w:t>
            </w:r>
          </w:p>
        </w:tc>
        <w:tc>
          <w:tcPr>
            <w:tcW w:w="303"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 </w:t>
            </w:r>
          </w:p>
        </w:tc>
        <w:tc>
          <w:tcPr>
            <w:tcW w:w="354"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1.60</w:t>
            </w:r>
          </w:p>
        </w:tc>
      </w:tr>
      <w:tr w:rsidR="001B7FB7" w:rsidRPr="000F761E" w:rsidTr="001B7FB7">
        <w:tc>
          <w:tcPr>
            <w:tcW w:w="1168" w:type="pct"/>
            <w:shd w:val="clear" w:color="auto" w:fill="auto"/>
            <w:vAlign w:val="center"/>
            <w:hideMark/>
          </w:tcPr>
          <w:p w:rsidR="00523B88" w:rsidRPr="000F761E" w:rsidRDefault="00523B88" w:rsidP="000F761E">
            <w:pPr>
              <w:spacing w:after="0"/>
              <w:rPr>
                <w:color w:val="000000"/>
                <w:sz w:val="20"/>
                <w:szCs w:val="20"/>
              </w:rPr>
            </w:pPr>
            <w:r w:rsidRPr="000F761E">
              <w:rPr>
                <w:color w:val="000000"/>
                <w:sz w:val="20"/>
                <w:szCs w:val="20"/>
              </w:rPr>
              <w:t>Average People per Home (Person/Home)</w:t>
            </w:r>
          </w:p>
        </w:tc>
        <w:tc>
          <w:tcPr>
            <w:tcW w:w="342"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 </w:t>
            </w:r>
          </w:p>
        </w:tc>
        <w:tc>
          <w:tcPr>
            <w:tcW w:w="342"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 </w:t>
            </w:r>
          </w:p>
        </w:tc>
        <w:tc>
          <w:tcPr>
            <w:tcW w:w="341"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 </w:t>
            </w:r>
          </w:p>
        </w:tc>
        <w:tc>
          <w:tcPr>
            <w:tcW w:w="308"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2.56</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2.10</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2.90</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2.30</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2.30</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2.70</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1.80</w:t>
            </w:r>
          </w:p>
        </w:tc>
        <w:tc>
          <w:tcPr>
            <w:tcW w:w="303"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2.46</w:t>
            </w:r>
          </w:p>
        </w:tc>
        <w:tc>
          <w:tcPr>
            <w:tcW w:w="354"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2.56</w:t>
            </w:r>
          </w:p>
        </w:tc>
      </w:tr>
      <w:tr w:rsidR="001B7FB7" w:rsidRPr="000F761E" w:rsidTr="001B7FB7">
        <w:tc>
          <w:tcPr>
            <w:tcW w:w="1168" w:type="pct"/>
            <w:shd w:val="clear" w:color="auto" w:fill="auto"/>
            <w:vAlign w:val="center"/>
            <w:hideMark/>
          </w:tcPr>
          <w:p w:rsidR="00523B88" w:rsidRPr="000F761E" w:rsidRDefault="00523B88" w:rsidP="000F761E">
            <w:pPr>
              <w:spacing w:after="0"/>
              <w:rPr>
                <w:color w:val="000000"/>
                <w:sz w:val="20"/>
                <w:szCs w:val="20"/>
              </w:rPr>
            </w:pPr>
            <w:r w:rsidRPr="000F761E">
              <w:rPr>
                <w:color w:val="000000"/>
                <w:sz w:val="20"/>
                <w:szCs w:val="20"/>
              </w:rPr>
              <w:t>Minutes of Shower Use per Day per Person (Min/day/Person)</w:t>
            </w:r>
          </w:p>
        </w:tc>
        <w:tc>
          <w:tcPr>
            <w:tcW w:w="342"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 </w:t>
            </w:r>
          </w:p>
        </w:tc>
        <w:tc>
          <w:tcPr>
            <w:tcW w:w="342"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 </w:t>
            </w:r>
          </w:p>
        </w:tc>
        <w:tc>
          <w:tcPr>
            <w:tcW w:w="341"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 </w:t>
            </w:r>
          </w:p>
        </w:tc>
        <w:tc>
          <w:tcPr>
            <w:tcW w:w="308"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8.20</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8.20</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8.20</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8.20</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7.80</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7.80</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7.80</w:t>
            </w:r>
          </w:p>
        </w:tc>
        <w:tc>
          <w:tcPr>
            <w:tcW w:w="303"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8.40</w:t>
            </w:r>
          </w:p>
        </w:tc>
        <w:tc>
          <w:tcPr>
            <w:tcW w:w="354" w:type="pct"/>
            <w:shd w:val="clear" w:color="000000" w:fill="FFE8D2"/>
            <w:vAlign w:val="center"/>
            <w:hideMark/>
          </w:tcPr>
          <w:p w:rsidR="00523B88" w:rsidRPr="000F761E" w:rsidRDefault="00523B88" w:rsidP="000F761E">
            <w:pPr>
              <w:spacing w:after="0"/>
              <w:jc w:val="right"/>
              <w:rPr>
                <w:color w:val="000000"/>
                <w:sz w:val="20"/>
                <w:szCs w:val="20"/>
              </w:rPr>
            </w:pPr>
            <w:r w:rsidRPr="000F761E">
              <w:rPr>
                <w:color w:val="000000"/>
                <w:sz w:val="20"/>
                <w:szCs w:val="20"/>
              </w:rPr>
              <w:t>4.60</w:t>
            </w:r>
          </w:p>
        </w:tc>
      </w:tr>
      <w:tr w:rsidR="001B7FB7" w:rsidRPr="000F761E" w:rsidTr="001B7FB7">
        <w:tc>
          <w:tcPr>
            <w:tcW w:w="1168" w:type="pct"/>
            <w:shd w:val="clear" w:color="auto" w:fill="auto"/>
            <w:vAlign w:val="center"/>
            <w:hideMark/>
          </w:tcPr>
          <w:p w:rsidR="00523B88" w:rsidRPr="000F761E" w:rsidRDefault="00523B88" w:rsidP="000F761E">
            <w:pPr>
              <w:spacing w:after="0"/>
              <w:rPr>
                <w:color w:val="000000"/>
                <w:sz w:val="20"/>
                <w:szCs w:val="20"/>
              </w:rPr>
            </w:pPr>
            <w:r w:rsidRPr="000F761E">
              <w:rPr>
                <w:color w:val="000000"/>
                <w:sz w:val="20"/>
                <w:szCs w:val="20"/>
              </w:rPr>
              <w:t>Average Showers / Person / Day</w:t>
            </w:r>
          </w:p>
        </w:tc>
        <w:tc>
          <w:tcPr>
            <w:tcW w:w="342"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 </w:t>
            </w:r>
          </w:p>
        </w:tc>
        <w:tc>
          <w:tcPr>
            <w:tcW w:w="342"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 </w:t>
            </w:r>
          </w:p>
        </w:tc>
        <w:tc>
          <w:tcPr>
            <w:tcW w:w="341"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 </w:t>
            </w:r>
          </w:p>
        </w:tc>
        <w:tc>
          <w:tcPr>
            <w:tcW w:w="308"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0.75</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0.75</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0.70</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0.70</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0.61</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0.60</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0.60</w:t>
            </w:r>
          </w:p>
        </w:tc>
        <w:tc>
          <w:tcPr>
            <w:tcW w:w="303"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0.58</w:t>
            </w:r>
          </w:p>
        </w:tc>
        <w:tc>
          <w:tcPr>
            <w:tcW w:w="354"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1.00</w:t>
            </w:r>
          </w:p>
        </w:tc>
      </w:tr>
      <w:tr w:rsidR="001B7FB7" w:rsidRPr="000F761E" w:rsidTr="001B7FB7">
        <w:tc>
          <w:tcPr>
            <w:tcW w:w="1168" w:type="pct"/>
            <w:shd w:val="clear" w:color="auto" w:fill="auto"/>
            <w:vAlign w:val="center"/>
            <w:hideMark/>
          </w:tcPr>
          <w:p w:rsidR="001B7FB7" w:rsidRPr="000F761E" w:rsidRDefault="001B7FB7" w:rsidP="000F761E">
            <w:pPr>
              <w:spacing w:after="0"/>
              <w:rPr>
                <w:color w:val="000000"/>
                <w:sz w:val="20"/>
                <w:szCs w:val="20"/>
              </w:rPr>
            </w:pPr>
            <w:r w:rsidRPr="000F761E">
              <w:rPr>
                <w:color w:val="000000"/>
                <w:sz w:val="20"/>
                <w:szCs w:val="20"/>
              </w:rPr>
              <w:t>Temperature from the Shower</w:t>
            </w:r>
          </w:p>
        </w:tc>
        <w:tc>
          <w:tcPr>
            <w:tcW w:w="342" w:type="pct"/>
            <w:shd w:val="clear" w:color="auto" w:fill="auto"/>
            <w:vAlign w:val="center"/>
            <w:hideMark/>
          </w:tcPr>
          <w:p w:rsidR="001B7FB7" w:rsidRPr="000F761E" w:rsidRDefault="001B7FB7" w:rsidP="000F761E">
            <w:pPr>
              <w:spacing w:after="0"/>
              <w:jc w:val="right"/>
              <w:rPr>
                <w:color w:val="000000"/>
                <w:sz w:val="20"/>
                <w:szCs w:val="20"/>
              </w:rPr>
            </w:pPr>
            <w:r>
              <w:rPr>
                <w:color w:val="000000"/>
                <w:sz w:val="20"/>
                <w:szCs w:val="20"/>
              </w:rPr>
              <w:t>105</w:t>
            </w:r>
          </w:p>
        </w:tc>
        <w:tc>
          <w:tcPr>
            <w:tcW w:w="342" w:type="pct"/>
            <w:shd w:val="clear" w:color="auto" w:fill="auto"/>
            <w:vAlign w:val="center"/>
            <w:hideMark/>
          </w:tcPr>
          <w:p w:rsidR="001B7FB7" w:rsidRPr="000F761E" w:rsidRDefault="001B7FB7" w:rsidP="001B7FB7">
            <w:pPr>
              <w:spacing w:after="0"/>
              <w:jc w:val="right"/>
              <w:rPr>
                <w:color w:val="000000"/>
                <w:sz w:val="20"/>
                <w:szCs w:val="20"/>
              </w:rPr>
            </w:pPr>
            <w:r>
              <w:rPr>
                <w:color w:val="000000"/>
                <w:sz w:val="20"/>
                <w:szCs w:val="20"/>
              </w:rPr>
              <w:t>105</w:t>
            </w:r>
          </w:p>
        </w:tc>
        <w:tc>
          <w:tcPr>
            <w:tcW w:w="341" w:type="pct"/>
            <w:shd w:val="clear" w:color="auto" w:fill="auto"/>
            <w:vAlign w:val="center"/>
            <w:hideMark/>
          </w:tcPr>
          <w:p w:rsidR="001B7FB7" w:rsidRPr="000F761E" w:rsidRDefault="001B7FB7" w:rsidP="001B7FB7">
            <w:pPr>
              <w:spacing w:after="0"/>
              <w:jc w:val="right"/>
              <w:rPr>
                <w:color w:val="000000"/>
                <w:sz w:val="20"/>
                <w:szCs w:val="20"/>
              </w:rPr>
            </w:pPr>
            <w:r>
              <w:rPr>
                <w:color w:val="000000"/>
                <w:sz w:val="20"/>
                <w:szCs w:val="20"/>
              </w:rPr>
              <w:t>105</w:t>
            </w:r>
          </w:p>
        </w:tc>
        <w:tc>
          <w:tcPr>
            <w:tcW w:w="308" w:type="pct"/>
            <w:shd w:val="clear" w:color="auto" w:fill="auto"/>
            <w:vAlign w:val="center"/>
            <w:hideMark/>
          </w:tcPr>
          <w:p w:rsidR="001B7FB7" w:rsidRPr="000F761E" w:rsidRDefault="001B7FB7" w:rsidP="001B7FB7">
            <w:pPr>
              <w:spacing w:after="0"/>
              <w:jc w:val="right"/>
              <w:rPr>
                <w:color w:val="000000"/>
                <w:sz w:val="20"/>
                <w:szCs w:val="20"/>
              </w:rPr>
            </w:pPr>
            <w:r>
              <w:rPr>
                <w:color w:val="000000"/>
                <w:sz w:val="20"/>
                <w:szCs w:val="20"/>
              </w:rPr>
              <w:t>105</w:t>
            </w:r>
          </w:p>
        </w:tc>
        <w:tc>
          <w:tcPr>
            <w:tcW w:w="307" w:type="pct"/>
            <w:shd w:val="clear" w:color="auto" w:fill="auto"/>
            <w:vAlign w:val="center"/>
            <w:hideMark/>
          </w:tcPr>
          <w:p w:rsidR="001B7FB7" w:rsidRPr="000F761E" w:rsidRDefault="001B7FB7" w:rsidP="001B7FB7">
            <w:pPr>
              <w:spacing w:after="0"/>
              <w:jc w:val="right"/>
              <w:rPr>
                <w:color w:val="000000"/>
                <w:sz w:val="20"/>
                <w:szCs w:val="20"/>
              </w:rPr>
            </w:pPr>
            <w:r>
              <w:rPr>
                <w:color w:val="000000"/>
                <w:sz w:val="20"/>
                <w:szCs w:val="20"/>
              </w:rPr>
              <w:t>105</w:t>
            </w:r>
          </w:p>
        </w:tc>
        <w:tc>
          <w:tcPr>
            <w:tcW w:w="307" w:type="pct"/>
            <w:shd w:val="clear" w:color="auto" w:fill="auto"/>
            <w:vAlign w:val="center"/>
            <w:hideMark/>
          </w:tcPr>
          <w:p w:rsidR="001B7FB7" w:rsidRPr="000F761E" w:rsidRDefault="001B7FB7" w:rsidP="001B7FB7">
            <w:pPr>
              <w:spacing w:after="0"/>
              <w:jc w:val="right"/>
              <w:rPr>
                <w:color w:val="000000"/>
                <w:sz w:val="20"/>
                <w:szCs w:val="20"/>
              </w:rPr>
            </w:pPr>
            <w:r>
              <w:rPr>
                <w:color w:val="000000"/>
                <w:sz w:val="20"/>
                <w:szCs w:val="20"/>
              </w:rPr>
              <w:t>105</w:t>
            </w:r>
          </w:p>
        </w:tc>
        <w:tc>
          <w:tcPr>
            <w:tcW w:w="307" w:type="pct"/>
            <w:shd w:val="clear" w:color="auto" w:fill="auto"/>
            <w:vAlign w:val="center"/>
            <w:hideMark/>
          </w:tcPr>
          <w:p w:rsidR="001B7FB7" w:rsidRPr="000F761E" w:rsidRDefault="001B7FB7" w:rsidP="001B7FB7">
            <w:pPr>
              <w:spacing w:after="0"/>
              <w:jc w:val="right"/>
              <w:rPr>
                <w:color w:val="000000"/>
                <w:sz w:val="20"/>
                <w:szCs w:val="20"/>
              </w:rPr>
            </w:pPr>
            <w:r>
              <w:rPr>
                <w:color w:val="000000"/>
                <w:sz w:val="20"/>
                <w:szCs w:val="20"/>
              </w:rPr>
              <w:t>105</w:t>
            </w:r>
          </w:p>
        </w:tc>
        <w:tc>
          <w:tcPr>
            <w:tcW w:w="307" w:type="pct"/>
            <w:shd w:val="clear" w:color="auto" w:fill="auto"/>
            <w:vAlign w:val="center"/>
            <w:hideMark/>
          </w:tcPr>
          <w:p w:rsidR="001B7FB7" w:rsidRPr="000F761E" w:rsidRDefault="001B7FB7" w:rsidP="001B7FB7">
            <w:pPr>
              <w:spacing w:after="0"/>
              <w:jc w:val="right"/>
              <w:rPr>
                <w:color w:val="000000"/>
                <w:sz w:val="20"/>
                <w:szCs w:val="20"/>
              </w:rPr>
            </w:pPr>
            <w:r>
              <w:rPr>
                <w:color w:val="000000"/>
                <w:sz w:val="20"/>
                <w:szCs w:val="20"/>
              </w:rPr>
              <w:t>101</w:t>
            </w:r>
          </w:p>
        </w:tc>
        <w:tc>
          <w:tcPr>
            <w:tcW w:w="307" w:type="pct"/>
            <w:shd w:val="clear" w:color="auto" w:fill="auto"/>
            <w:vAlign w:val="center"/>
            <w:hideMark/>
          </w:tcPr>
          <w:p w:rsidR="001B7FB7" w:rsidRPr="000F761E" w:rsidRDefault="001B7FB7" w:rsidP="001B7FB7">
            <w:pPr>
              <w:spacing w:after="0"/>
              <w:jc w:val="right"/>
              <w:rPr>
                <w:color w:val="000000"/>
                <w:sz w:val="20"/>
                <w:szCs w:val="20"/>
              </w:rPr>
            </w:pPr>
            <w:r>
              <w:rPr>
                <w:color w:val="000000"/>
                <w:sz w:val="20"/>
                <w:szCs w:val="20"/>
              </w:rPr>
              <w:t>101</w:t>
            </w:r>
          </w:p>
        </w:tc>
        <w:tc>
          <w:tcPr>
            <w:tcW w:w="307" w:type="pct"/>
            <w:shd w:val="clear" w:color="auto" w:fill="auto"/>
            <w:vAlign w:val="center"/>
            <w:hideMark/>
          </w:tcPr>
          <w:p w:rsidR="001B7FB7" w:rsidRPr="000F761E" w:rsidRDefault="001B7FB7" w:rsidP="001B7FB7">
            <w:pPr>
              <w:spacing w:after="0"/>
              <w:jc w:val="right"/>
              <w:rPr>
                <w:color w:val="000000"/>
                <w:sz w:val="20"/>
                <w:szCs w:val="20"/>
              </w:rPr>
            </w:pPr>
            <w:r>
              <w:rPr>
                <w:color w:val="000000"/>
                <w:sz w:val="20"/>
                <w:szCs w:val="20"/>
              </w:rPr>
              <w:t>101</w:t>
            </w:r>
          </w:p>
        </w:tc>
        <w:tc>
          <w:tcPr>
            <w:tcW w:w="303" w:type="pct"/>
            <w:shd w:val="clear" w:color="auto" w:fill="auto"/>
            <w:vAlign w:val="center"/>
            <w:hideMark/>
          </w:tcPr>
          <w:p w:rsidR="001B7FB7" w:rsidRPr="000F761E" w:rsidRDefault="001B7FB7" w:rsidP="001B7FB7">
            <w:pPr>
              <w:spacing w:after="0"/>
              <w:jc w:val="right"/>
              <w:rPr>
                <w:color w:val="000000"/>
                <w:sz w:val="20"/>
                <w:szCs w:val="20"/>
              </w:rPr>
            </w:pPr>
            <w:r>
              <w:rPr>
                <w:color w:val="000000"/>
                <w:sz w:val="20"/>
                <w:szCs w:val="20"/>
              </w:rPr>
              <w:t>105</w:t>
            </w:r>
          </w:p>
        </w:tc>
        <w:tc>
          <w:tcPr>
            <w:tcW w:w="354" w:type="pct"/>
            <w:shd w:val="clear" w:color="auto" w:fill="auto"/>
            <w:vAlign w:val="center"/>
            <w:hideMark/>
          </w:tcPr>
          <w:p w:rsidR="001B7FB7" w:rsidRPr="000F761E" w:rsidRDefault="001B7FB7" w:rsidP="001B7FB7">
            <w:pPr>
              <w:spacing w:after="0"/>
              <w:jc w:val="right"/>
              <w:rPr>
                <w:color w:val="000000"/>
                <w:sz w:val="20"/>
                <w:szCs w:val="20"/>
              </w:rPr>
            </w:pPr>
            <w:r>
              <w:rPr>
                <w:color w:val="000000"/>
                <w:sz w:val="20"/>
                <w:szCs w:val="20"/>
              </w:rPr>
              <w:t>105</w:t>
            </w:r>
          </w:p>
        </w:tc>
      </w:tr>
      <w:tr w:rsidR="001B7FB7" w:rsidRPr="000F761E" w:rsidTr="001B7FB7">
        <w:tc>
          <w:tcPr>
            <w:tcW w:w="1168" w:type="pct"/>
            <w:shd w:val="clear" w:color="auto" w:fill="auto"/>
            <w:vAlign w:val="center"/>
            <w:hideMark/>
          </w:tcPr>
          <w:p w:rsidR="00523B88" w:rsidRPr="000F761E" w:rsidRDefault="00523B88" w:rsidP="00F6139F">
            <w:pPr>
              <w:spacing w:after="0"/>
              <w:rPr>
                <w:color w:val="000000"/>
                <w:sz w:val="20"/>
                <w:szCs w:val="20"/>
              </w:rPr>
            </w:pPr>
            <w:r w:rsidRPr="000F761E">
              <w:rPr>
                <w:color w:val="000000"/>
                <w:sz w:val="20"/>
                <w:szCs w:val="20"/>
              </w:rPr>
              <w:t xml:space="preserve">Temperature of </w:t>
            </w:r>
            <w:r w:rsidR="00F6139F">
              <w:rPr>
                <w:color w:val="000000"/>
                <w:sz w:val="20"/>
                <w:szCs w:val="20"/>
              </w:rPr>
              <w:t>W</w:t>
            </w:r>
            <w:r w:rsidRPr="000F761E">
              <w:rPr>
                <w:color w:val="000000"/>
                <w:sz w:val="20"/>
                <w:szCs w:val="20"/>
              </w:rPr>
              <w:t xml:space="preserve">ater in the </w:t>
            </w:r>
            <w:r w:rsidR="00F6139F">
              <w:rPr>
                <w:color w:val="000000"/>
                <w:sz w:val="20"/>
                <w:szCs w:val="20"/>
              </w:rPr>
              <w:t>S</w:t>
            </w:r>
            <w:r w:rsidRPr="000F761E">
              <w:rPr>
                <w:color w:val="000000"/>
                <w:sz w:val="20"/>
                <w:szCs w:val="20"/>
              </w:rPr>
              <w:t xml:space="preserve">ewer </w:t>
            </w:r>
            <w:r w:rsidR="00F6139F">
              <w:rPr>
                <w:color w:val="000000"/>
                <w:sz w:val="20"/>
                <w:szCs w:val="20"/>
              </w:rPr>
              <w:t>M</w:t>
            </w:r>
            <w:r w:rsidRPr="000F761E">
              <w:rPr>
                <w:color w:val="000000"/>
                <w:sz w:val="20"/>
                <w:szCs w:val="20"/>
              </w:rPr>
              <w:t>ains</w:t>
            </w:r>
          </w:p>
        </w:tc>
        <w:tc>
          <w:tcPr>
            <w:tcW w:w="342"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55.00</w:t>
            </w:r>
          </w:p>
        </w:tc>
        <w:tc>
          <w:tcPr>
            <w:tcW w:w="342"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55.00</w:t>
            </w:r>
          </w:p>
        </w:tc>
        <w:tc>
          <w:tcPr>
            <w:tcW w:w="341"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55.00</w:t>
            </w:r>
          </w:p>
        </w:tc>
        <w:tc>
          <w:tcPr>
            <w:tcW w:w="308"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54.10</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54.10</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56.00</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56.00</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50.80</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55.00</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55.00</w:t>
            </w:r>
          </w:p>
        </w:tc>
        <w:tc>
          <w:tcPr>
            <w:tcW w:w="303"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55.70</w:t>
            </w:r>
          </w:p>
        </w:tc>
        <w:tc>
          <w:tcPr>
            <w:tcW w:w="354"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55.00</w:t>
            </w:r>
          </w:p>
        </w:tc>
      </w:tr>
      <w:tr w:rsidR="001B7FB7" w:rsidRPr="000F761E" w:rsidTr="001B7FB7">
        <w:tc>
          <w:tcPr>
            <w:tcW w:w="1168" w:type="pct"/>
            <w:shd w:val="clear" w:color="auto" w:fill="auto"/>
            <w:vAlign w:val="center"/>
            <w:hideMark/>
          </w:tcPr>
          <w:p w:rsidR="00523B88" w:rsidRPr="000F761E" w:rsidRDefault="00523B88" w:rsidP="000F761E">
            <w:pPr>
              <w:spacing w:after="0"/>
              <w:rPr>
                <w:color w:val="000000"/>
                <w:sz w:val="20"/>
                <w:szCs w:val="20"/>
              </w:rPr>
            </w:pPr>
            <w:r w:rsidRPr="000F761E">
              <w:rPr>
                <w:color w:val="000000"/>
                <w:sz w:val="20"/>
                <w:szCs w:val="20"/>
              </w:rPr>
              <w:t>Water Heater Recovery Efficiency</w:t>
            </w:r>
          </w:p>
        </w:tc>
        <w:tc>
          <w:tcPr>
            <w:tcW w:w="342"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 </w:t>
            </w:r>
          </w:p>
        </w:tc>
        <w:tc>
          <w:tcPr>
            <w:tcW w:w="342"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 </w:t>
            </w:r>
          </w:p>
        </w:tc>
        <w:tc>
          <w:tcPr>
            <w:tcW w:w="341"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 </w:t>
            </w:r>
          </w:p>
        </w:tc>
        <w:tc>
          <w:tcPr>
            <w:tcW w:w="308"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0.98</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0.98</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0.97</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0.97</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0.98</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0.98</w:t>
            </w:r>
          </w:p>
        </w:tc>
        <w:tc>
          <w:tcPr>
            <w:tcW w:w="307"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0.98</w:t>
            </w:r>
          </w:p>
        </w:tc>
        <w:tc>
          <w:tcPr>
            <w:tcW w:w="303"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0.98</w:t>
            </w:r>
          </w:p>
        </w:tc>
        <w:tc>
          <w:tcPr>
            <w:tcW w:w="354" w:type="pct"/>
            <w:shd w:val="clear" w:color="auto" w:fill="auto"/>
            <w:vAlign w:val="center"/>
            <w:hideMark/>
          </w:tcPr>
          <w:p w:rsidR="00523B88" w:rsidRPr="000F761E" w:rsidRDefault="00523B88" w:rsidP="000F761E">
            <w:pPr>
              <w:spacing w:after="0"/>
              <w:jc w:val="right"/>
              <w:rPr>
                <w:color w:val="000000"/>
                <w:sz w:val="20"/>
                <w:szCs w:val="20"/>
              </w:rPr>
            </w:pPr>
            <w:r w:rsidRPr="000F761E">
              <w:rPr>
                <w:color w:val="000000"/>
                <w:sz w:val="20"/>
                <w:szCs w:val="20"/>
              </w:rPr>
              <w:t>0.98</w:t>
            </w:r>
          </w:p>
        </w:tc>
      </w:tr>
      <w:tr w:rsidR="001B7FB7" w:rsidRPr="000F761E" w:rsidTr="001B7FB7">
        <w:tc>
          <w:tcPr>
            <w:tcW w:w="1168" w:type="pct"/>
            <w:shd w:val="clear" w:color="auto" w:fill="auto"/>
            <w:vAlign w:val="center"/>
            <w:hideMark/>
          </w:tcPr>
          <w:p w:rsidR="00523B88" w:rsidRPr="000F761E" w:rsidRDefault="00523B88" w:rsidP="000F761E">
            <w:pPr>
              <w:spacing w:after="0"/>
              <w:rPr>
                <w:color w:val="000000"/>
                <w:sz w:val="20"/>
                <w:szCs w:val="20"/>
              </w:rPr>
            </w:pPr>
            <w:r w:rsidRPr="000F761E">
              <w:rPr>
                <w:color w:val="000000"/>
                <w:sz w:val="20"/>
                <w:szCs w:val="20"/>
              </w:rPr>
              <w:t>Water Savings per Year per Shower (Gal/Year/Shower)</w:t>
            </w:r>
          </w:p>
        </w:tc>
        <w:tc>
          <w:tcPr>
            <w:tcW w:w="342" w:type="pct"/>
            <w:shd w:val="clear" w:color="000000" w:fill="FFE8D2"/>
            <w:vAlign w:val="center"/>
            <w:hideMark/>
          </w:tcPr>
          <w:p w:rsidR="00523B88" w:rsidRPr="000F761E" w:rsidRDefault="00523B88" w:rsidP="001B7FB7">
            <w:pPr>
              <w:spacing w:after="0"/>
              <w:jc w:val="right"/>
              <w:rPr>
                <w:color w:val="000000"/>
                <w:sz w:val="20"/>
                <w:szCs w:val="20"/>
              </w:rPr>
            </w:pPr>
            <w:r w:rsidRPr="000F761E">
              <w:rPr>
                <w:color w:val="000000"/>
                <w:sz w:val="20"/>
                <w:szCs w:val="20"/>
              </w:rPr>
              <w:t>1,212</w:t>
            </w:r>
          </w:p>
        </w:tc>
        <w:tc>
          <w:tcPr>
            <w:tcW w:w="342" w:type="pct"/>
            <w:shd w:val="clear" w:color="000000" w:fill="FFE8D2"/>
            <w:vAlign w:val="center"/>
            <w:hideMark/>
          </w:tcPr>
          <w:p w:rsidR="00523B88" w:rsidRPr="000F761E" w:rsidRDefault="00523B88" w:rsidP="001B7FB7">
            <w:pPr>
              <w:spacing w:after="0"/>
              <w:jc w:val="right"/>
              <w:rPr>
                <w:color w:val="000000"/>
                <w:sz w:val="20"/>
                <w:szCs w:val="20"/>
              </w:rPr>
            </w:pPr>
            <w:r w:rsidRPr="000F761E">
              <w:rPr>
                <w:color w:val="000000"/>
                <w:sz w:val="20"/>
                <w:szCs w:val="20"/>
              </w:rPr>
              <w:t>3,650</w:t>
            </w:r>
          </w:p>
        </w:tc>
        <w:tc>
          <w:tcPr>
            <w:tcW w:w="341" w:type="pct"/>
            <w:shd w:val="clear" w:color="000000" w:fill="FFE8D2"/>
            <w:vAlign w:val="center"/>
            <w:hideMark/>
          </w:tcPr>
          <w:p w:rsidR="00523B88" w:rsidRPr="000F761E" w:rsidRDefault="00523B88" w:rsidP="001B7FB7">
            <w:pPr>
              <w:spacing w:after="0"/>
              <w:jc w:val="right"/>
              <w:rPr>
                <w:color w:val="000000"/>
                <w:sz w:val="20"/>
                <w:szCs w:val="20"/>
              </w:rPr>
            </w:pPr>
            <w:r w:rsidRPr="000F761E">
              <w:rPr>
                <w:color w:val="000000"/>
                <w:sz w:val="20"/>
                <w:szCs w:val="20"/>
              </w:rPr>
              <w:t>6,160</w:t>
            </w:r>
          </w:p>
        </w:tc>
        <w:tc>
          <w:tcPr>
            <w:tcW w:w="308" w:type="pct"/>
            <w:shd w:val="clear" w:color="000000" w:fill="FFE8D2"/>
            <w:vAlign w:val="center"/>
            <w:hideMark/>
          </w:tcPr>
          <w:p w:rsidR="00523B88" w:rsidRPr="000F761E" w:rsidRDefault="00523B88" w:rsidP="001B7FB7">
            <w:pPr>
              <w:spacing w:after="0"/>
              <w:jc w:val="right"/>
              <w:rPr>
                <w:color w:val="000000"/>
                <w:sz w:val="20"/>
                <w:szCs w:val="20"/>
              </w:rPr>
            </w:pPr>
            <w:r w:rsidRPr="000F761E">
              <w:rPr>
                <w:color w:val="000000"/>
                <w:sz w:val="20"/>
                <w:szCs w:val="20"/>
              </w:rPr>
              <w:t>2,152</w:t>
            </w:r>
          </w:p>
        </w:tc>
        <w:tc>
          <w:tcPr>
            <w:tcW w:w="307" w:type="pct"/>
            <w:shd w:val="clear" w:color="000000" w:fill="FFE8D2"/>
            <w:vAlign w:val="center"/>
            <w:hideMark/>
          </w:tcPr>
          <w:p w:rsidR="00523B88" w:rsidRPr="000F761E" w:rsidRDefault="00523B88" w:rsidP="001B7FB7">
            <w:pPr>
              <w:spacing w:after="0"/>
              <w:jc w:val="right"/>
              <w:rPr>
                <w:color w:val="000000"/>
                <w:sz w:val="20"/>
                <w:szCs w:val="20"/>
              </w:rPr>
            </w:pPr>
            <w:r w:rsidRPr="000F761E">
              <w:rPr>
                <w:color w:val="000000"/>
                <w:sz w:val="20"/>
                <w:szCs w:val="20"/>
              </w:rPr>
              <w:t>2,431</w:t>
            </w:r>
          </w:p>
        </w:tc>
        <w:tc>
          <w:tcPr>
            <w:tcW w:w="307" w:type="pct"/>
            <w:shd w:val="clear" w:color="000000" w:fill="FFE8D2"/>
            <w:vAlign w:val="center"/>
            <w:hideMark/>
          </w:tcPr>
          <w:p w:rsidR="00523B88" w:rsidRPr="000F761E" w:rsidRDefault="00523B88" w:rsidP="001B7FB7">
            <w:pPr>
              <w:spacing w:after="0"/>
              <w:jc w:val="right"/>
              <w:rPr>
                <w:color w:val="000000"/>
                <w:sz w:val="20"/>
                <w:szCs w:val="20"/>
              </w:rPr>
            </w:pPr>
            <w:r w:rsidRPr="000F761E">
              <w:rPr>
                <w:color w:val="000000"/>
                <w:sz w:val="20"/>
                <w:szCs w:val="20"/>
              </w:rPr>
              <w:t>2,673</w:t>
            </w:r>
          </w:p>
        </w:tc>
        <w:tc>
          <w:tcPr>
            <w:tcW w:w="307" w:type="pct"/>
            <w:shd w:val="clear" w:color="000000" w:fill="FFE8D2"/>
            <w:vAlign w:val="center"/>
            <w:hideMark/>
          </w:tcPr>
          <w:p w:rsidR="00523B88" w:rsidRPr="000F761E" w:rsidRDefault="00523B88" w:rsidP="001B7FB7">
            <w:pPr>
              <w:spacing w:after="0"/>
              <w:jc w:val="right"/>
              <w:rPr>
                <w:color w:val="000000"/>
                <w:sz w:val="20"/>
                <w:szCs w:val="20"/>
              </w:rPr>
            </w:pPr>
            <w:r w:rsidRPr="000F761E">
              <w:rPr>
                <w:color w:val="000000"/>
                <w:sz w:val="20"/>
                <w:szCs w:val="20"/>
              </w:rPr>
              <w:t>2,120</w:t>
            </w:r>
          </w:p>
        </w:tc>
        <w:tc>
          <w:tcPr>
            <w:tcW w:w="307" w:type="pct"/>
            <w:shd w:val="clear" w:color="000000" w:fill="FFE8D2"/>
            <w:vAlign w:val="center"/>
            <w:hideMark/>
          </w:tcPr>
          <w:p w:rsidR="00523B88" w:rsidRPr="000F761E" w:rsidRDefault="00523B88" w:rsidP="001B7FB7">
            <w:pPr>
              <w:spacing w:after="0"/>
              <w:jc w:val="right"/>
              <w:rPr>
                <w:color w:val="000000"/>
                <w:sz w:val="20"/>
                <w:szCs w:val="20"/>
              </w:rPr>
            </w:pPr>
            <w:r w:rsidRPr="000F761E">
              <w:rPr>
                <w:color w:val="000000"/>
                <w:sz w:val="20"/>
                <w:szCs w:val="20"/>
              </w:rPr>
              <w:t>1,200</w:t>
            </w:r>
          </w:p>
        </w:tc>
        <w:tc>
          <w:tcPr>
            <w:tcW w:w="307" w:type="pct"/>
            <w:shd w:val="clear" w:color="000000" w:fill="FFE8D2"/>
            <w:vAlign w:val="center"/>
            <w:hideMark/>
          </w:tcPr>
          <w:p w:rsidR="00523B88" w:rsidRPr="000F761E" w:rsidRDefault="00523B88" w:rsidP="001B7FB7">
            <w:pPr>
              <w:spacing w:after="0"/>
              <w:jc w:val="right"/>
              <w:rPr>
                <w:color w:val="000000"/>
                <w:sz w:val="20"/>
                <w:szCs w:val="20"/>
              </w:rPr>
            </w:pPr>
            <w:r w:rsidRPr="000F761E">
              <w:rPr>
                <w:color w:val="000000"/>
                <w:sz w:val="20"/>
                <w:szCs w:val="20"/>
              </w:rPr>
              <w:t>2,713</w:t>
            </w:r>
          </w:p>
        </w:tc>
        <w:tc>
          <w:tcPr>
            <w:tcW w:w="307" w:type="pct"/>
            <w:shd w:val="clear" w:color="000000" w:fill="FFE8D2"/>
            <w:vAlign w:val="center"/>
            <w:hideMark/>
          </w:tcPr>
          <w:p w:rsidR="00523B88" w:rsidRPr="000F761E" w:rsidRDefault="00523B88" w:rsidP="001B7FB7">
            <w:pPr>
              <w:spacing w:after="0"/>
              <w:jc w:val="right"/>
              <w:rPr>
                <w:color w:val="000000"/>
                <w:sz w:val="20"/>
                <w:szCs w:val="20"/>
              </w:rPr>
            </w:pPr>
            <w:r w:rsidRPr="000F761E">
              <w:rPr>
                <w:color w:val="000000"/>
                <w:sz w:val="20"/>
                <w:szCs w:val="20"/>
              </w:rPr>
              <w:t>2,365</w:t>
            </w:r>
          </w:p>
        </w:tc>
        <w:tc>
          <w:tcPr>
            <w:tcW w:w="303" w:type="pct"/>
            <w:shd w:val="clear" w:color="000000" w:fill="FFE8D2"/>
            <w:vAlign w:val="center"/>
            <w:hideMark/>
          </w:tcPr>
          <w:p w:rsidR="00523B88" w:rsidRPr="000F761E" w:rsidRDefault="00523B88" w:rsidP="001B7FB7">
            <w:pPr>
              <w:spacing w:after="0"/>
              <w:jc w:val="right"/>
              <w:rPr>
                <w:color w:val="000000"/>
                <w:sz w:val="20"/>
                <w:szCs w:val="20"/>
              </w:rPr>
            </w:pPr>
            <w:r w:rsidRPr="000F761E">
              <w:rPr>
                <w:color w:val="000000"/>
                <w:sz w:val="20"/>
                <w:szCs w:val="20"/>
              </w:rPr>
              <w:t>3,483</w:t>
            </w:r>
          </w:p>
        </w:tc>
        <w:tc>
          <w:tcPr>
            <w:tcW w:w="354" w:type="pct"/>
            <w:shd w:val="clear" w:color="000000" w:fill="FFE8D2"/>
            <w:vAlign w:val="center"/>
            <w:hideMark/>
          </w:tcPr>
          <w:p w:rsidR="00523B88" w:rsidRPr="000F761E" w:rsidRDefault="00523B88" w:rsidP="001B7FB7">
            <w:pPr>
              <w:spacing w:after="0"/>
              <w:jc w:val="right"/>
              <w:rPr>
                <w:color w:val="000000"/>
                <w:sz w:val="20"/>
                <w:szCs w:val="20"/>
              </w:rPr>
            </w:pPr>
            <w:r w:rsidRPr="000F761E">
              <w:rPr>
                <w:color w:val="000000"/>
                <w:sz w:val="20"/>
                <w:szCs w:val="20"/>
              </w:rPr>
              <w:t>1,355</w:t>
            </w:r>
          </w:p>
        </w:tc>
      </w:tr>
      <w:tr w:rsidR="001B7FB7" w:rsidRPr="000F761E" w:rsidTr="001B7FB7">
        <w:tc>
          <w:tcPr>
            <w:tcW w:w="1168" w:type="pct"/>
            <w:shd w:val="clear" w:color="auto" w:fill="auto"/>
            <w:vAlign w:val="center"/>
            <w:hideMark/>
          </w:tcPr>
          <w:p w:rsidR="00523B88" w:rsidRPr="000F761E" w:rsidRDefault="00523B88" w:rsidP="000F761E">
            <w:pPr>
              <w:spacing w:after="0"/>
              <w:rPr>
                <w:color w:val="000000"/>
                <w:sz w:val="20"/>
                <w:szCs w:val="20"/>
              </w:rPr>
            </w:pPr>
            <w:r w:rsidRPr="000F761E">
              <w:rPr>
                <w:color w:val="000000"/>
                <w:sz w:val="20"/>
                <w:szCs w:val="20"/>
              </w:rPr>
              <w:t>Energy Savings per Gallon (kWh/Gal)</w:t>
            </w:r>
          </w:p>
        </w:tc>
        <w:tc>
          <w:tcPr>
            <w:tcW w:w="342" w:type="pct"/>
            <w:shd w:val="clear" w:color="000000" w:fill="FFE8D2"/>
            <w:vAlign w:val="center"/>
            <w:hideMark/>
          </w:tcPr>
          <w:p w:rsidR="00523B88" w:rsidRPr="000F761E" w:rsidRDefault="00523B88" w:rsidP="000F761E">
            <w:pPr>
              <w:spacing w:after="0"/>
              <w:jc w:val="right"/>
              <w:rPr>
                <w:color w:val="000000"/>
                <w:sz w:val="20"/>
                <w:szCs w:val="20"/>
              </w:rPr>
            </w:pPr>
            <w:r w:rsidRPr="000F761E">
              <w:rPr>
                <w:color w:val="000000"/>
                <w:sz w:val="20"/>
                <w:szCs w:val="20"/>
              </w:rPr>
              <w:t>0.13</w:t>
            </w:r>
          </w:p>
        </w:tc>
        <w:tc>
          <w:tcPr>
            <w:tcW w:w="342" w:type="pct"/>
            <w:shd w:val="clear" w:color="000000" w:fill="FFE8D2"/>
            <w:vAlign w:val="center"/>
            <w:hideMark/>
          </w:tcPr>
          <w:p w:rsidR="00523B88" w:rsidRPr="000F761E" w:rsidRDefault="00523B88" w:rsidP="000F761E">
            <w:pPr>
              <w:spacing w:after="0"/>
              <w:jc w:val="right"/>
              <w:rPr>
                <w:color w:val="000000"/>
                <w:sz w:val="20"/>
                <w:szCs w:val="20"/>
              </w:rPr>
            </w:pPr>
            <w:r w:rsidRPr="000F761E">
              <w:rPr>
                <w:color w:val="000000"/>
                <w:sz w:val="20"/>
                <w:szCs w:val="20"/>
              </w:rPr>
              <w:t>0.14</w:t>
            </w:r>
          </w:p>
        </w:tc>
        <w:tc>
          <w:tcPr>
            <w:tcW w:w="341" w:type="pct"/>
            <w:shd w:val="clear" w:color="000000" w:fill="FFE8D2"/>
            <w:vAlign w:val="center"/>
            <w:hideMark/>
          </w:tcPr>
          <w:p w:rsidR="00523B88" w:rsidRPr="000F761E" w:rsidRDefault="00523B88" w:rsidP="000F761E">
            <w:pPr>
              <w:spacing w:after="0"/>
              <w:jc w:val="right"/>
              <w:rPr>
                <w:color w:val="000000"/>
                <w:sz w:val="20"/>
                <w:szCs w:val="20"/>
              </w:rPr>
            </w:pPr>
            <w:r w:rsidRPr="000F761E">
              <w:rPr>
                <w:color w:val="000000"/>
                <w:sz w:val="20"/>
                <w:szCs w:val="20"/>
              </w:rPr>
              <w:t>0.14</w:t>
            </w:r>
          </w:p>
        </w:tc>
        <w:tc>
          <w:tcPr>
            <w:tcW w:w="308" w:type="pct"/>
            <w:shd w:val="clear" w:color="000000" w:fill="FFE8D2"/>
            <w:vAlign w:val="center"/>
            <w:hideMark/>
          </w:tcPr>
          <w:p w:rsidR="00523B88" w:rsidRPr="000F761E" w:rsidRDefault="00523B88" w:rsidP="000F761E">
            <w:pPr>
              <w:spacing w:after="0"/>
              <w:jc w:val="right"/>
              <w:rPr>
                <w:color w:val="000000"/>
                <w:sz w:val="20"/>
                <w:szCs w:val="20"/>
              </w:rPr>
            </w:pPr>
            <w:r w:rsidRPr="000F761E">
              <w:rPr>
                <w:color w:val="000000"/>
                <w:sz w:val="20"/>
                <w:szCs w:val="20"/>
              </w:rPr>
              <w:t>0.13</w:t>
            </w:r>
          </w:p>
        </w:tc>
        <w:tc>
          <w:tcPr>
            <w:tcW w:w="307" w:type="pct"/>
            <w:shd w:val="clear" w:color="000000" w:fill="FFE8D2"/>
            <w:vAlign w:val="center"/>
            <w:hideMark/>
          </w:tcPr>
          <w:p w:rsidR="00523B88" w:rsidRPr="000F761E" w:rsidRDefault="00523B88" w:rsidP="000F761E">
            <w:pPr>
              <w:spacing w:after="0"/>
              <w:jc w:val="right"/>
              <w:rPr>
                <w:color w:val="000000"/>
                <w:sz w:val="20"/>
                <w:szCs w:val="20"/>
              </w:rPr>
            </w:pPr>
            <w:r w:rsidRPr="000F761E">
              <w:rPr>
                <w:color w:val="000000"/>
                <w:sz w:val="20"/>
                <w:szCs w:val="20"/>
              </w:rPr>
              <w:t>0.13</w:t>
            </w:r>
          </w:p>
        </w:tc>
        <w:tc>
          <w:tcPr>
            <w:tcW w:w="307" w:type="pct"/>
            <w:shd w:val="clear" w:color="000000" w:fill="FFE8D2"/>
            <w:vAlign w:val="center"/>
            <w:hideMark/>
          </w:tcPr>
          <w:p w:rsidR="00523B88" w:rsidRPr="000F761E" w:rsidRDefault="00523B88" w:rsidP="000F761E">
            <w:pPr>
              <w:spacing w:after="0"/>
              <w:jc w:val="right"/>
              <w:rPr>
                <w:color w:val="000000"/>
                <w:sz w:val="20"/>
                <w:szCs w:val="20"/>
              </w:rPr>
            </w:pPr>
            <w:r w:rsidRPr="000F761E">
              <w:rPr>
                <w:color w:val="000000"/>
                <w:sz w:val="20"/>
                <w:szCs w:val="20"/>
              </w:rPr>
              <w:t>0.12</w:t>
            </w:r>
          </w:p>
        </w:tc>
        <w:tc>
          <w:tcPr>
            <w:tcW w:w="307" w:type="pct"/>
            <w:shd w:val="clear" w:color="000000" w:fill="FFE8D2"/>
            <w:vAlign w:val="center"/>
            <w:hideMark/>
          </w:tcPr>
          <w:p w:rsidR="00523B88" w:rsidRPr="000F761E" w:rsidRDefault="00523B88" w:rsidP="000F761E">
            <w:pPr>
              <w:spacing w:after="0"/>
              <w:jc w:val="right"/>
              <w:rPr>
                <w:color w:val="000000"/>
                <w:sz w:val="20"/>
                <w:szCs w:val="20"/>
              </w:rPr>
            </w:pPr>
            <w:r w:rsidRPr="000F761E">
              <w:rPr>
                <w:color w:val="000000"/>
                <w:sz w:val="20"/>
                <w:szCs w:val="20"/>
              </w:rPr>
              <w:t>0.12</w:t>
            </w:r>
          </w:p>
        </w:tc>
        <w:tc>
          <w:tcPr>
            <w:tcW w:w="307" w:type="pct"/>
            <w:shd w:val="clear" w:color="000000" w:fill="FFE8D2"/>
            <w:vAlign w:val="center"/>
            <w:hideMark/>
          </w:tcPr>
          <w:p w:rsidR="00523B88" w:rsidRPr="000F761E" w:rsidRDefault="00523B88" w:rsidP="000F761E">
            <w:pPr>
              <w:spacing w:after="0"/>
              <w:jc w:val="right"/>
              <w:rPr>
                <w:color w:val="000000"/>
                <w:sz w:val="20"/>
                <w:szCs w:val="20"/>
              </w:rPr>
            </w:pPr>
            <w:r w:rsidRPr="000F761E">
              <w:rPr>
                <w:color w:val="000000"/>
                <w:sz w:val="20"/>
                <w:szCs w:val="20"/>
              </w:rPr>
              <w:t>0.13</w:t>
            </w:r>
          </w:p>
        </w:tc>
        <w:tc>
          <w:tcPr>
            <w:tcW w:w="307" w:type="pct"/>
            <w:shd w:val="clear" w:color="000000" w:fill="FFE8D2"/>
            <w:vAlign w:val="center"/>
            <w:hideMark/>
          </w:tcPr>
          <w:p w:rsidR="00523B88" w:rsidRPr="000F761E" w:rsidRDefault="00523B88" w:rsidP="000F761E">
            <w:pPr>
              <w:spacing w:after="0"/>
              <w:jc w:val="right"/>
              <w:rPr>
                <w:color w:val="000000"/>
                <w:sz w:val="20"/>
                <w:szCs w:val="20"/>
              </w:rPr>
            </w:pPr>
            <w:r w:rsidRPr="000F761E">
              <w:rPr>
                <w:color w:val="000000"/>
                <w:sz w:val="20"/>
                <w:szCs w:val="20"/>
              </w:rPr>
              <w:t>0.12</w:t>
            </w:r>
          </w:p>
        </w:tc>
        <w:tc>
          <w:tcPr>
            <w:tcW w:w="307" w:type="pct"/>
            <w:shd w:val="clear" w:color="000000" w:fill="FFE8D2"/>
            <w:vAlign w:val="center"/>
            <w:hideMark/>
          </w:tcPr>
          <w:p w:rsidR="00523B88" w:rsidRPr="000F761E" w:rsidRDefault="00523B88" w:rsidP="000F761E">
            <w:pPr>
              <w:spacing w:after="0"/>
              <w:jc w:val="right"/>
              <w:rPr>
                <w:color w:val="000000"/>
                <w:sz w:val="20"/>
                <w:szCs w:val="20"/>
              </w:rPr>
            </w:pPr>
            <w:r w:rsidRPr="000F761E">
              <w:rPr>
                <w:color w:val="000000"/>
                <w:sz w:val="20"/>
                <w:szCs w:val="20"/>
              </w:rPr>
              <w:t>0.12</w:t>
            </w:r>
          </w:p>
        </w:tc>
        <w:tc>
          <w:tcPr>
            <w:tcW w:w="303" w:type="pct"/>
            <w:shd w:val="clear" w:color="000000" w:fill="FFE8D2"/>
            <w:vAlign w:val="center"/>
            <w:hideMark/>
          </w:tcPr>
          <w:p w:rsidR="00523B88" w:rsidRPr="000F761E" w:rsidRDefault="00523B88" w:rsidP="000F761E">
            <w:pPr>
              <w:spacing w:after="0"/>
              <w:jc w:val="right"/>
              <w:rPr>
                <w:color w:val="000000"/>
                <w:sz w:val="20"/>
                <w:szCs w:val="20"/>
              </w:rPr>
            </w:pPr>
            <w:r w:rsidRPr="000F761E">
              <w:rPr>
                <w:color w:val="000000"/>
                <w:sz w:val="20"/>
                <w:szCs w:val="20"/>
              </w:rPr>
              <w:t>0.12</w:t>
            </w:r>
          </w:p>
        </w:tc>
        <w:tc>
          <w:tcPr>
            <w:tcW w:w="354" w:type="pct"/>
            <w:shd w:val="clear" w:color="000000" w:fill="FFE8D2"/>
            <w:vAlign w:val="center"/>
            <w:hideMark/>
          </w:tcPr>
          <w:p w:rsidR="00523B88" w:rsidRPr="000F761E" w:rsidRDefault="00523B88" w:rsidP="000F761E">
            <w:pPr>
              <w:spacing w:after="0"/>
              <w:jc w:val="right"/>
              <w:rPr>
                <w:color w:val="000000"/>
                <w:sz w:val="20"/>
                <w:szCs w:val="20"/>
              </w:rPr>
            </w:pPr>
            <w:r w:rsidRPr="000F761E">
              <w:rPr>
                <w:color w:val="000000"/>
                <w:sz w:val="20"/>
                <w:szCs w:val="20"/>
              </w:rPr>
              <w:t>0.13</w:t>
            </w:r>
          </w:p>
        </w:tc>
      </w:tr>
      <w:tr w:rsidR="001B7FB7" w:rsidRPr="000F761E" w:rsidTr="001B7FB7">
        <w:tc>
          <w:tcPr>
            <w:tcW w:w="1168" w:type="pct"/>
            <w:tcBorders>
              <w:bottom w:val="single" w:sz="4" w:space="0" w:color="BFBFBF"/>
            </w:tcBorders>
            <w:shd w:val="clear" w:color="auto" w:fill="auto"/>
            <w:vAlign w:val="center"/>
            <w:hideMark/>
          </w:tcPr>
          <w:p w:rsidR="00523B88" w:rsidRPr="000F761E" w:rsidRDefault="00523B88" w:rsidP="000F761E">
            <w:pPr>
              <w:spacing w:after="0"/>
              <w:rPr>
                <w:color w:val="000000"/>
                <w:sz w:val="20"/>
                <w:szCs w:val="20"/>
              </w:rPr>
            </w:pPr>
            <w:r w:rsidRPr="000F761E">
              <w:rPr>
                <w:color w:val="000000"/>
                <w:sz w:val="20"/>
                <w:szCs w:val="20"/>
              </w:rPr>
              <w:t>Energy Savings per Shower per Year (kWh)</w:t>
            </w:r>
          </w:p>
        </w:tc>
        <w:tc>
          <w:tcPr>
            <w:tcW w:w="342" w:type="pct"/>
            <w:tcBorders>
              <w:bottom w:val="single" w:sz="4" w:space="0" w:color="BFBFBF"/>
            </w:tcBorders>
            <w:shd w:val="clear" w:color="000000" w:fill="FFE8D2"/>
            <w:vAlign w:val="center"/>
            <w:hideMark/>
          </w:tcPr>
          <w:p w:rsidR="00523B88" w:rsidRPr="000F761E" w:rsidRDefault="00523B88" w:rsidP="000F761E">
            <w:pPr>
              <w:spacing w:after="0"/>
              <w:jc w:val="right"/>
              <w:rPr>
                <w:color w:val="000000"/>
                <w:sz w:val="20"/>
                <w:szCs w:val="20"/>
              </w:rPr>
            </w:pPr>
            <w:r w:rsidRPr="000F761E">
              <w:rPr>
                <w:color w:val="000000"/>
                <w:sz w:val="20"/>
                <w:szCs w:val="20"/>
              </w:rPr>
              <w:t>155.40</w:t>
            </w:r>
          </w:p>
        </w:tc>
        <w:tc>
          <w:tcPr>
            <w:tcW w:w="342" w:type="pct"/>
            <w:tcBorders>
              <w:bottom w:val="single" w:sz="4" w:space="0" w:color="BFBFBF"/>
            </w:tcBorders>
            <w:shd w:val="clear" w:color="000000" w:fill="FFE8D2"/>
            <w:vAlign w:val="center"/>
            <w:hideMark/>
          </w:tcPr>
          <w:p w:rsidR="00523B88" w:rsidRPr="000F761E" w:rsidRDefault="00523B88" w:rsidP="000F761E">
            <w:pPr>
              <w:spacing w:after="0"/>
              <w:jc w:val="right"/>
              <w:rPr>
                <w:color w:val="000000"/>
                <w:sz w:val="20"/>
                <w:szCs w:val="20"/>
              </w:rPr>
            </w:pPr>
            <w:r w:rsidRPr="000F761E">
              <w:rPr>
                <w:color w:val="000000"/>
                <w:sz w:val="20"/>
                <w:szCs w:val="20"/>
              </w:rPr>
              <w:t>493.30</w:t>
            </w:r>
          </w:p>
        </w:tc>
        <w:tc>
          <w:tcPr>
            <w:tcW w:w="341" w:type="pct"/>
            <w:tcBorders>
              <w:bottom w:val="single" w:sz="4" w:space="0" w:color="BFBFBF"/>
            </w:tcBorders>
            <w:shd w:val="clear" w:color="000000" w:fill="FFE8D2"/>
            <w:vAlign w:val="center"/>
            <w:hideMark/>
          </w:tcPr>
          <w:p w:rsidR="00523B88" w:rsidRPr="000F761E" w:rsidRDefault="00523B88" w:rsidP="000F761E">
            <w:pPr>
              <w:spacing w:after="0"/>
              <w:jc w:val="right"/>
              <w:rPr>
                <w:color w:val="000000"/>
                <w:sz w:val="20"/>
                <w:szCs w:val="20"/>
              </w:rPr>
            </w:pPr>
            <w:r w:rsidRPr="000F761E">
              <w:rPr>
                <w:color w:val="000000"/>
                <w:sz w:val="20"/>
                <w:szCs w:val="20"/>
              </w:rPr>
              <w:t>832.50</w:t>
            </w:r>
          </w:p>
        </w:tc>
        <w:tc>
          <w:tcPr>
            <w:tcW w:w="308" w:type="pct"/>
            <w:tcBorders>
              <w:bottom w:val="single" w:sz="4" w:space="0" w:color="BFBFBF"/>
            </w:tcBorders>
            <w:shd w:val="clear" w:color="000000" w:fill="FFE8D2"/>
            <w:vAlign w:val="center"/>
            <w:hideMark/>
          </w:tcPr>
          <w:p w:rsidR="00523B88" w:rsidRPr="000F761E" w:rsidRDefault="00523B88" w:rsidP="000F761E">
            <w:pPr>
              <w:spacing w:after="0"/>
              <w:jc w:val="right"/>
              <w:rPr>
                <w:color w:val="000000"/>
                <w:sz w:val="20"/>
                <w:szCs w:val="20"/>
              </w:rPr>
            </w:pPr>
            <w:r w:rsidRPr="000F761E">
              <w:rPr>
                <w:color w:val="000000"/>
                <w:sz w:val="20"/>
                <w:szCs w:val="20"/>
              </w:rPr>
              <w:t>272.90</w:t>
            </w:r>
          </w:p>
        </w:tc>
        <w:tc>
          <w:tcPr>
            <w:tcW w:w="307" w:type="pct"/>
            <w:tcBorders>
              <w:bottom w:val="single" w:sz="4" w:space="0" w:color="BFBFBF"/>
            </w:tcBorders>
            <w:shd w:val="clear" w:color="000000" w:fill="FFE8D2"/>
            <w:vAlign w:val="center"/>
            <w:hideMark/>
          </w:tcPr>
          <w:p w:rsidR="00523B88" w:rsidRPr="000F761E" w:rsidRDefault="00523B88" w:rsidP="000F761E">
            <w:pPr>
              <w:spacing w:after="0"/>
              <w:jc w:val="right"/>
              <w:rPr>
                <w:color w:val="000000"/>
                <w:sz w:val="20"/>
                <w:szCs w:val="20"/>
              </w:rPr>
            </w:pPr>
            <w:r w:rsidRPr="000F761E">
              <w:rPr>
                <w:color w:val="000000"/>
                <w:sz w:val="20"/>
                <w:szCs w:val="20"/>
              </w:rPr>
              <w:t>308.30</w:t>
            </w:r>
          </w:p>
        </w:tc>
        <w:tc>
          <w:tcPr>
            <w:tcW w:w="307" w:type="pct"/>
            <w:tcBorders>
              <w:bottom w:val="single" w:sz="4" w:space="0" w:color="BFBFBF"/>
            </w:tcBorders>
            <w:shd w:val="clear" w:color="000000" w:fill="FFE8D2"/>
            <w:vAlign w:val="center"/>
            <w:hideMark/>
          </w:tcPr>
          <w:p w:rsidR="00523B88" w:rsidRPr="000F761E" w:rsidRDefault="00523B88" w:rsidP="000F761E">
            <w:pPr>
              <w:spacing w:after="0"/>
              <w:jc w:val="right"/>
              <w:rPr>
                <w:color w:val="000000"/>
                <w:sz w:val="20"/>
                <w:szCs w:val="20"/>
              </w:rPr>
            </w:pPr>
            <w:r w:rsidRPr="000F761E">
              <w:rPr>
                <w:color w:val="000000"/>
                <w:sz w:val="20"/>
                <w:szCs w:val="20"/>
              </w:rPr>
              <w:t>328.60</w:t>
            </w:r>
          </w:p>
        </w:tc>
        <w:tc>
          <w:tcPr>
            <w:tcW w:w="307" w:type="pct"/>
            <w:tcBorders>
              <w:bottom w:val="single" w:sz="4" w:space="0" w:color="BFBFBF"/>
            </w:tcBorders>
            <w:shd w:val="clear" w:color="000000" w:fill="FFE8D2"/>
            <w:vAlign w:val="center"/>
            <w:hideMark/>
          </w:tcPr>
          <w:p w:rsidR="00523B88" w:rsidRPr="000F761E" w:rsidRDefault="00523B88" w:rsidP="000F761E">
            <w:pPr>
              <w:spacing w:after="0"/>
              <w:jc w:val="right"/>
              <w:rPr>
                <w:color w:val="000000"/>
                <w:sz w:val="20"/>
                <w:szCs w:val="20"/>
              </w:rPr>
            </w:pPr>
            <w:r w:rsidRPr="000F761E">
              <w:rPr>
                <w:color w:val="000000"/>
                <w:sz w:val="20"/>
                <w:szCs w:val="20"/>
              </w:rPr>
              <w:t>260.60</w:t>
            </w:r>
          </w:p>
        </w:tc>
        <w:tc>
          <w:tcPr>
            <w:tcW w:w="307" w:type="pct"/>
            <w:tcBorders>
              <w:bottom w:val="single" w:sz="4" w:space="0" w:color="BFBFBF"/>
            </w:tcBorders>
            <w:shd w:val="clear" w:color="000000" w:fill="FFE8D2"/>
            <w:vAlign w:val="center"/>
            <w:hideMark/>
          </w:tcPr>
          <w:p w:rsidR="00523B88" w:rsidRPr="000F761E" w:rsidRDefault="00523B88" w:rsidP="000F761E">
            <w:pPr>
              <w:spacing w:after="0"/>
              <w:jc w:val="right"/>
              <w:rPr>
                <w:color w:val="000000"/>
                <w:sz w:val="20"/>
                <w:szCs w:val="20"/>
              </w:rPr>
            </w:pPr>
            <w:r w:rsidRPr="000F761E">
              <w:rPr>
                <w:color w:val="000000"/>
                <w:sz w:val="20"/>
                <w:szCs w:val="20"/>
              </w:rPr>
              <w:t>150.00</w:t>
            </w:r>
          </w:p>
        </w:tc>
        <w:tc>
          <w:tcPr>
            <w:tcW w:w="307" w:type="pct"/>
            <w:tcBorders>
              <w:bottom w:val="single" w:sz="4" w:space="0" w:color="BFBFBF"/>
            </w:tcBorders>
            <w:shd w:val="clear" w:color="000000" w:fill="FFE8D2"/>
            <w:vAlign w:val="center"/>
            <w:hideMark/>
          </w:tcPr>
          <w:p w:rsidR="00523B88" w:rsidRPr="000F761E" w:rsidRDefault="00523B88" w:rsidP="000F761E">
            <w:pPr>
              <w:spacing w:after="0"/>
              <w:jc w:val="right"/>
              <w:rPr>
                <w:color w:val="000000"/>
                <w:sz w:val="20"/>
                <w:szCs w:val="20"/>
              </w:rPr>
            </w:pPr>
            <w:r w:rsidRPr="000F761E">
              <w:rPr>
                <w:color w:val="000000"/>
                <w:sz w:val="20"/>
                <w:szCs w:val="20"/>
              </w:rPr>
              <w:t>310.90</w:t>
            </w:r>
          </w:p>
        </w:tc>
        <w:tc>
          <w:tcPr>
            <w:tcW w:w="307" w:type="pct"/>
            <w:tcBorders>
              <w:bottom w:val="single" w:sz="4" w:space="0" w:color="BFBFBF"/>
            </w:tcBorders>
            <w:shd w:val="clear" w:color="000000" w:fill="FFE8D2"/>
            <w:vAlign w:val="center"/>
            <w:hideMark/>
          </w:tcPr>
          <w:p w:rsidR="00523B88" w:rsidRPr="000F761E" w:rsidRDefault="00523B88" w:rsidP="000F761E">
            <w:pPr>
              <w:spacing w:after="0"/>
              <w:jc w:val="right"/>
              <w:rPr>
                <w:color w:val="000000"/>
                <w:sz w:val="20"/>
                <w:szCs w:val="20"/>
              </w:rPr>
            </w:pPr>
            <w:r w:rsidRPr="000F761E">
              <w:rPr>
                <w:color w:val="000000"/>
                <w:sz w:val="20"/>
                <w:szCs w:val="20"/>
              </w:rPr>
              <w:t>271.00</w:t>
            </w:r>
          </w:p>
        </w:tc>
        <w:tc>
          <w:tcPr>
            <w:tcW w:w="303" w:type="pct"/>
            <w:tcBorders>
              <w:bottom w:val="single" w:sz="4" w:space="0" w:color="BFBFBF"/>
            </w:tcBorders>
            <w:shd w:val="clear" w:color="000000" w:fill="FFE8D2"/>
            <w:vAlign w:val="center"/>
            <w:hideMark/>
          </w:tcPr>
          <w:p w:rsidR="00523B88" w:rsidRPr="000F761E" w:rsidRDefault="00523B88" w:rsidP="000F761E">
            <w:pPr>
              <w:spacing w:after="0"/>
              <w:jc w:val="right"/>
              <w:rPr>
                <w:color w:val="000000"/>
                <w:sz w:val="20"/>
                <w:szCs w:val="20"/>
              </w:rPr>
            </w:pPr>
            <w:r w:rsidRPr="000F761E">
              <w:rPr>
                <w:color w:val="000000"/>
                <w:sz w:val="20"/>
                <w:szCs w:val="20"/>
              </w:rPr>
              <w:t>427.80</w:t>
            </w:r>
          </w:p>
        </w:tc>
        <w:tc>
          <w:tcPr>
            <w:tcW w:w="354" w:type="pct"/>
            <w:tcBorders>
              <w:bottom w:val="single" w:sz="4" w:space="0" w:color="BFBFBF"/>
            </w:tcBorders>
            <w:shd w:val="clear" w:color="000000" w:fill="FFE8D2"/>
            <w:vAlign w:val="center"/>
            <w:hideMark/>
          </w:tcPr>
          <w:p w:rsidR="00523B88" w:rsidRPr="000F761E" w:rsidRDefault="00523B88" w:rsidP="000F761E">
            <w:pPr>
              <w:spacing w:after="0"/>
              <w:jc w:val="right"/>
              <w:rPr>
                <w:color w:val="000000"/>
                <w:sz w:val="20"/>
                <w:szCs w:val="20"/>
              </w:rPr>
            </w:pPr>
            <w:r w:rsidRPr="000F761E">
              <w:rPr>
                <w:color w:val="000000"/>
                <w:sz w:val="20"/>
                <w:szCs w:val="20"/>
              </w:rPr>
              <w:t>168.80</w:t>
            </w:r>
          </w:p>
        </w:tc>
      </w:tr>
      <w:tr w:rsidR="00523B88" w:rsidRPr="000F761E" w:rsidTr="001B7FB7">
        <w:tc>
          <w:tcPr>
            <w:tcW w:w="5000" w:type="pct"/>
            <w:gridSpan w:val="13"/>
            <w:tcBorders>
              <w:left w:val="nil"/>
              <w:bottom w:val="nil"/>
              <w:right w:val="nil"/>
            </w:tcBorders>
            <w:shd w:val="clear" w:color="auto" w:fill="auto"/>
            <w:noWrap/>
            <w:vAlign w:val="bottom"/>
            <w:hideMark/>
          </w:tcPr>
          <w:p w:rsidR="00523B88" w:rsidRPr="000F761E" w:rsidRDefault="001B7FB7" w:rsidP="000F761E">
            <w:pPr>
              <w:spacing w:after="0"/>
              <w:rPr>
                <w:color w:val="000000"/>
                <w:sz w:val="20"/>
                <w:szCs w:val="20"/>
              </w:rPr>
            </w:pPr>
            <w:r w:rsidRPr="00B30112">
              <w:rPr>
                <w:color w:val="000000"/>
                <w:sz w:val="20"/>
                <w:szCs w:val="20"/>
              </w:rPr>
              <w:t>*Shaded cells represent a calculated value</w:t>
            </w:r>
            <w:r>
              <w:rPr>
                <w:color w:val="000000"/>
                <w:sz w:val="20"/>
                <w:szCs w:val="20"/>
              </w:rPr>
              <w:t>.</w:t>
            </w:r>
          </w:p>
        </w:tc>
      </w:tr>
    </w:tbl>
    <w:p w:rsidR="00523B88" w:rsidRDefault="00523B88" w:rsidP="00523B88">
      <w:pPr>
        <w:sectPr w:rsidR="00523B88" w:rsidSect="00523B88">
          <w:pgSz w:w="15840" w:h="12240" w:orient="landscape" w:code="1"/>
          <w:pgMar w:top="1440" w:right="1440" w:bottom="1440" w:left="1440" w:header="720" w:footer="720" w:gutter="0"/>
          <w:cols w:space="720"/>
          <w:docGrid w:linePitch="360"/>
        </w:sectPr>
      </w:pPr>
    </w:p>
    <w:p w:rsidR="00523B88" w:rsidRDefault="00523B88" w:rsidP="00AC65BC">
      <w:pPr>
        <w:pStyle w:val="NormalBeforeList"/>
      </w:pPr>
      <w:r>
        <w:lastRenderedPageBreak/>
        <w:t>The normalized equation for showerhead savings became:</w:t>
      </w:r>
    </w:p>
    <w:p w:rsidR="00AC65BC" w:rsidRPr="00AC65BC" w:rsidRDefault="002506E1" w:rsidP="00AC65BC">
      <w:pPr>
        <w:rPr>
          <w:rFonts w:eastAsiaTheme="minorEastAsia"/>
        </w:rPr>
      </w:pPr>
      <m:oMathPara>
        <m:oMathParaPr>
          <m:jc m:val="center"/>
        </m:oMathParaPr>
        <m:oMath>
          <m:sSub>
            <m:sSubPr>
              <m:ctrlPr>
                <w:rPr>
                  <w:rFonts w:ascii="Cambria Math" w:hAnsi="Cambria Math"/>
                  <w:i/>
                </w:rPr>
              </m:ctrlPr>
            </m:sSubPr>
            <m:e>
              <m:r>
                <w:rPr>
                  <w:rFonts w:ascii="Cambria Math" w:hAnsi="Cambria Math"/>
                </w:rPr>
                <m:t>kWh</m:t>
              </m:r>
            </m:e>
            <m:sub>
              <m:r>
                <w:rPr>
                  <w:rFonts w:ascii="Cambria Math" w:hAnsi="Cambria Math"/>
                </w:rPr>
                <m:t>Shower</m:t>
              </m:r>
            </m:sub>
          </m:sSub>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Flow</m:t>
                      </m:r>
                    </m:e>
                    <m:sub>
                      <m:r>
                        <w:rPr>
                          <w:rFonts w:ascii="Cambria Math" w:hAnsi="Cambria Math"/>
                        </w:rPr>
                        <m:t>Base</m:t>
                      </m:r>
                    </m:sub>
                  </m:sSub>
                  <m:r>
                    <w:rPr>
                      <w:rFonts w:ascii="Cambria Math" w:hAnsi="Cambria Math"/>
                    </w:rPr>
                    <m:t>-</m:t>
                  </m:r>
                  <m:sSub>
                    <m:sSubPr>
                      <m:ctrlPr>
                        <w:rPr>
                          <w:rFonts w:ascii="Cambria Math" w:hAnsi="Cambria Math"/>
                          <w:i/>
                        </w:rPr>
                      </m:ctrlPr>
                    </m:sSubPr>
                    <m:e>
                      <m:r>
                        <w:rPr>
                          <w:rFonts w:ascii="Cambria Math" w:hAnsi="Cambria Math"/>
                        </w:rPr>
                        <m:t>Flow</m:t>
                      </m:r>
                    </m:e>
                    <m:sub>
                      <m:r>
                        <w:rPr>
                          <w:rFonts w:ascii="Cambria Math" w:hAnsi="Cambria Math"/>
                        </w:rPr>
                        <m:t>EE</m:t>
                      </m:r>
                    </m:sub>
                  </m:sSub>
                </m:e>
              </m:d>
              <m:r>
                <w:rPr>
                  <w:rFonts w:ascii="Cambria Math" w:hAnsi="Cambria Math"/>
                </w:rPr>
                <m:t>*</m:t>
              </m:r>
              <m:sSub>
                <m:sSubPr>
                  <m:ctrlPr>
                    <w:rPr>
                      <w:rFonts w:ascii="Cambria Math" w:hAnsi="Cambria Math"/>
                      <w:i/>
                    </w:rPr>
                  </m:ctrlPr>
                </m:sSubPr>
                <m:e>
                  <m:r>
                    <w:rPr>
                      <w:rFonts w:ascii="Cambria Math" w:hAnsi="Cambria Math"/>
                    </w:rPr>
                    <m:t>Time</m:t>
                  </m:r>
                </m:e>
                <m:sub>
                  <m:r>
                    <w:rPr>
                      <w:rFonts w:ascii="Cambria Math" w:hAnsi="Cambria Math"/>
                    </w:rPr>
                    <m:t>Shower</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g</m:t>
                  </m:r>
                </m:sub>
              </m:sSub>
              <m:r>
                <w:rPr>
                  <w:rFonts w:ascii="Cambria Math" w:hAnsi="Cambria Math"/>
                </w:rPr>
                <m:t>*#Showers*</m:t>
              </m:r>
              <m:sSub>
                <m:sSubPr>
                  <m:ctrlPr>
                    <w:rPr>
                      <w:rFonts w:ascii="Cambria Math" w:hAnsi="Cambria Math"/>
                      <w:i/>
                    </w:rPr>
                  </m:ctrlPr>
                </m:sSubPr>
                <m:e>
                  <m:r>
                    <w:rPr>
                      <w:rFonts w:ascii="Cambria Math" w:hAnsi="Cambria Math"/>
                    </w:rPr>
                    <m:t>Days</m:t>
                  </m:r>
                </m:e>
                <m:sub>
                  <m:r>
                    <w:rPr>
                      <w:rFonts w:ascii="Cambria Math" w:hAnsi="Cambria Math"/>
                    </w:rPr>
                    <m:t>Year</m:t>
                  </m:r>
                </m:sub>
              </m:sSub>
            </m:num>
            <m:den>
              <m:sSub>
                <m:sSubPr>
                  <m:ctrlPr>
                    <w:rPr>
                      <w:rFonts w:ascii="Cambria Math" w:hAnsi="Cambria Math"/>
                      <w:i/>
                    </w:rPr>
                  </m:ctrlPr>
                </m:sSubPr>
                <m:e>
                  <m:r>
                    <w:rPr>
                      <w:rFonts w:ascii="Cambria Math" w:hAnsi="Cambria Math"/>
                    </w:rPr>
                    <m:t>Shower</m:t>
                  </m:r>
                </m:e>
                <m:sub>
                  <m:r>
                    <w:rPr>
                      <w:rFonts w:ascii="Cambria Math" w:hAnsi="Cambria Math"/>
                    </w:rPr>
                    <m:t>House</m:t>
                  </m:r>
                </m:sub>
              </m:sSub>
            </m:den>
          </m:f>
          <m:r>
            <w:rPr>
              <w:rFonts w:ascii="Cambria Math" w:hAnsi="Cambria Math"/>
            </w:rPr>
            <m:t>*</m:t>
          </m:r>
          <m:sSub>
            <m:sSubPr>
              <m:ctrlPr>
                <w:rPr>
                  <w:rFonts w:ascii="Cambria Math" w:hAnsi="Cambria Math"/>
                  <w:i/>
                </w:rPr>
              </m:ctrlPr>
            </m:sSubPr>
            <m:e>
              <m:r>
                <w:rPr>
                  <w:rFonts w:ascii="Cambria Math" w:hAnsi="Cambria Math"/>
                </w:rPr>
                <m:t>Savings</m:t>
              </m:r>
            </m:e>
            <m:sub>
              <m:r>
                <w:rPr>
                  <w:rFonts w:ascii="Cambria Math" w:hAnsi="Cambria Math"/>
                </w:rPr>
                <m:t>Gal</m:t>
              </m:r>
            </m:sub>
          </m:sSub>
        </m:oMath>
      </m:oMathPara>
    </w:p>
    <w:p w:rsidR="00523B88" w:rsidRDefault="00523B88" w:rsidP="00AC65BC">
      <w:r>
        <w:t>Where:</w:t>
      </w:r>
    </w:p>
    <w:p w:rsidR="00523B88" w:rsidRDefault="002506E1" w:rsidP="00AC65BC">
      <w:pPr>
        <w:ind w:left="720"/>
      </w:pPr>
      <m:oMath>
        <m:sSub>
          <m:sSubPr>
            <m:ctrlPr>
              <w:rPr>
                <w:rFonts w:ascii="Cambria Math" w:hAnsi="Cambria Math"/>
                <w:i/>
              </w:rPr>
            </m:ctrlPr>
          </m:sSubPr>
          <m:e>
            <m:r>
              <w:rPr>
                <w:rFonts w:ascii="Cambria Math" w:hAnsi="Cambria Math"/>
              </w:rPr>
              <m:t>Flow</m:t>
            </m:r>
          </m:e>
          <m:sub>
            <m:r>
              <w:rPr>
                <w:rFonts w:ascii="Cambria Math" w:hAnsi="Cambria Math"/>
              </w:rPr>
              <m:t>Base</m:t>
            </m:r>
          </m:sub>
        </m:sSub>
      </m:oMath>
      <w:r w:rsidR="002953AD">
        <w:t xml:space="preserve"> </w:t>
      </w:r>
      <w:r w:rsidR="00523B88">
        <w:t>= The flow rate in gallons per minute of the base showerhead (GPM)</w:t>
      </w:r>
    </w:p>
    <w:p w:rsidR="00523B88" w:rsidRDefault="002506E1" w:rsidP="00AC65BC">
      <w:pPr>
        <w:ind w:left="720"/>
      </w:pPr>
      <m:oMath>
        <m:sSub>
          <m:sSubPr>
            <m:ctrlPr>
              <w:rPr>
                <w:rFonts w:ascii="Cambria Math" w:hAnsi="Cambria Math"/>
                <w:i/>
              </w:rPr>
            </m:ctrlPr>
          </m:sSubPr>
          <m:e>
            <m:r>
              <w:rPr>
                <w:rFonts w:ascii="Cambria Math" w:hAnsi="Cambria Math"/>
              </w:rPr>
              <m:t>Flow</m:t>
            </m:r>
          </m:e>
          <m:sub>
            <m:r>
              <w:rPr>
                <w:rFonts w:ascii="Cambria Math" w:hAnsi="Cambria Math"/>
              </w:rPr>
              <m:t>EE</m:t>
            </m:r>
          </m:sub>
        </m:sSub>
        <m:r>
          <w:rPr>
            <w:rFonts w:ascii="Cambria Math" w:hAnsi="Cambria Math"/>
          </w:rPr>
          <m:t xml:space="preserve"> </m:t>
        </m:r>
      </m:oMath>
      <w:r w:rsidR="00523B88">
        <w:t>= The flow rate in gallons per minute of the low-flow showerhead (GPM)</w:t>
      </w:r>
    </w:p>
    <w:p w:rsidR="00523B88" w:rsidRDefault="0015332E" w:rsidP="00410C58">
      <w:r>
        <w:rPr>
          <w:rFonts w:eastAsiaTheme="minorEastAsia"/>
        </w:rPr>
        <w:t xml:space="preserve">The study </w:t>
      </w:r>
      <w:r w:rsidR="00523B88">
        <w:rPr>
          <w:rFonts w:eastAsiaTheme="minorEastAsia"/>
        </w:rPr>
        <w:t xml:space="preserve">selected </w:t>
      </w:r>
      <w:r>
        <w:rPr>
          <w:rFonts w:eastAsiaTheme="minorEastAsia"/>
        </w:rPr>
        <w:t xml:space="preserve">flow rates of </w:t>
      </w:r>
      <w:r w:rsidR="00523B88">
        <w:rPr>
          <w:rFonts w:eastAsiaTheme="minorEastAsia"/>
        </w:rPr>
        <w:t>2.5 and 2.0</w:t>
      </w:r>
      <w:r>
        <w:rPr>
          <w:rFonts w:eastAsiaTheme="minorEastAsia"/>
        </w:rPr>
        <w:t>,</w:t>
      </w:r>
      <w:r w:rsidR="00523B88">
        <w:rPr>
          <w:rFonts w:eastAsiaTheme="minorEastAsia"/>
        </w:rPr>
        <w:t xml:space="preserve"> </w:t>
      </w:r>
      <w:r w:rsidR="001B7FB7">
        <w:rPr>
          <w:rFonts w:eastAsiaTheme="minorEastAsia"/>
        </w:rPr>
        <w:t xml:space="preserve">used by PSD and </w:t>
      </w:r>
      <w:r w:rsidR="00F6139F">
        <w:rPr>
          <w:rFonts w:eastAsiaTheme="minorEastAsia"/>
        </w:rPr>
        <w:t xml:space="preserve">the </w:t>
      </w:r>
      <w:r w:rsidR="001B7FB7">
        <w:rPr>
          <w:rFonts w:eastAsiaTheme="minorEastAsia"/>
        </w:rPr>
        <w:t xml:space="preserve">most common </w:t>
      </w:r>
      <w:r w:rsidR="00F6139F">
        <w:rPr>
          <w:rFonts w:eastAsiaTheme="minorEastAsia"/>
        </w:rPr>
        <w:t xml:space="preserve">rates </w:t>
      </w:r>
      <w:r w:rsidR="00523B88">
        <w:rPr>
          <w:rFonts w:eastAsiaTheme="minorEastAsia"/>
        </w:rPr>
        <w:t>across all savings sources.</w:t>
      </w:r>
      <w:r w:rsidR="002953AD">
        <w:rPr>
          <w:rFonts w:eastAsiaTheme="minorEastAsia"/>
        </w:rPr>
        <w:t xml:space="preserve"> </w:t>
      </w:r>
      <w:r w:rsidR="00523B88">
        <w:rPr>
          <w:rFonts w:eastAsiaTheme="minorEastAsia"/>
        </w:rPr>
        <w:t>These flow rates provide</w:t>
      </w:r>
      <w:r>
        <w:rPr>
          <w:rFonts w:eastAsiaTheme="minorEastAsia"/>
        </w:rPr>
        <w:t>d</w:t>
      </w:r>
      <w:r w:rsidR="00523B88">
        <w:rPr>
          <w:rFonts w:eastAsiaTheme="minorEastAsia"/>
        </w:rPr>
        <w:t xml:space="preserve"> savings of 0.5 gallons-per-minute, </w:t>
      </w:r>
      <w:r>
        <w:rPr>
          <w:rFonts w:eastAsiaTheme="minorEastAsia"/>
        </w:rPr>
        <w:t>a</w:t>
      </w:r>
      <w:r w:rsidR="00523B88">
        <w:rPr>
          <w:rFonts w:eastAsiaTheme="minorEastAsia"/>
        </w:rPr>
        <w:t xml:space="preserve"> slightly conservative </w:t>
      </w:r>
      <w:r>
        <w:rPr>
          <w:rFonts w:eastAsiaTheme="minorEastAsia"/>
        </w:rPr>
        <w:t xml:space="preserve">figured </w:t>
      </w:r>
      <w:r w:rsidR="00523B88">
        <w:rPr>
          <w:rFonts w:eastAsiaTheme="minorEastAsia"/>
        </w:rPr>
        <w:t xml:space="preserve">compared </w:t>
      </w:r>
      <w:r>
        <w:rPr>
          <w:rFonts w:eastAsiaTheme="minorEastAsia"/>
        </w:rPr>
        <w:t xml:space="preserve">to </w:t>
      </w:r>
      <w:r w:rsidR="00523B88">
        <w:rPr>
          <w:rFonts w:eastAsiaTheme="minorEastAsia"/>
        </w:rPr>
        <w:t>sources used for benchmarking, but in</w:t>
      </w:r>
      <w:r>
        <w:rPr>
          <w:rFonts w:eastAsiaTheme="minorEastAsia"/>
        </w:rPr>
        <w:t xml:space="preserve"> </w:t>
      </w:r>
      <w:r w:rsidR="00523B88">
        <w:rPr>
          <w:rFonts w:eastAsiaTheme="minorEastAsia"/>
        </w:rPr>
        <w:t>line with EPA WaterSense guidelines.</w:t>
      </w:r>
    </w:p>
    <w:p w:rsidR="00523B88" w:rsidRDefault="002506E1" w:rsidP="00AC65BC">
      <w:pPr>
        <w:ind w:left="720"/>
      </w:pPr>
      <m:oMath>
        <m:sSub>
          <m:sSubPr>
            <m:ctrlPr>
              <w:rPr>
                <w:rFonts w:ascii="Cambria Math" w:hAnsi="Cambria Math"/>
                <w:i/>
              </w:rPr>
            </m:ctrlPr>
          </m:sSubPr>
          <m:e>
            <m:r>
              <w:rPr>
                <w:rFonts w:ascii="Cambria Math" w:hAnsi="Cambria Math"/>
              </w:rPr>
              <m:t>Time</m:t>
            </m:r>
          </m:e>
          <m:sub>
            <m:r>
              <w:rPr>
                <w:rFonts w:ascii="Cambria Math" w:hAnsi="Cambria Math"/>
              </w:rPr>
              <m:t xml:space="preserve">Shower </m:t>
            </m:r>
          </m:sub>
        </m:sSub>
      </m:oMath>
      <w:r w:rsidR="00523B88">
        <w:t>= The amount of time in minutes that a person uses a home shower (Min)</w:t>
      </w:r>
    </w:p>
    <w:p w:rsidR="00523B88" w:rsidRDefault="00523B88" w:rsidP="00410C58">
      <w:pPr>
        <w:rPr>
          <w:rFonts w:eastAsiaTheme="minorEastAsia"/>
        </w:rPr>
      </w:pPr>
      <w:r>
        <w:rPr>
          <w:rFonts w:eastAsiaTheme="minorEastAsia"/>
        </w:rPr>
        <w:t>The per-person shower usage time varied from 4.6 to 8.4 minutes per day.</w:t>
      </w:r>
      <w:r w:rsidR="002953AD">
        <w:rPr>
          <w:rFonts w:eastAsiaTheme="minorEastAsia"/>
        </w:rPr>
        <w:t xml:space="preserve"> </w:t>
      </w:r>
      <w:r>
        <w:rPr>
          <w:rFonts w:eastAsiaTheme="minorEastAsia"/>
        </w:rPr>
        <w:t xml:space="preserve">The majority of these values fell </w:t>
      </w:r>
      <w:r w:rsidR="0015332E">
        <w:rPr>
          <w:rFonts w:eastAsiaTheme="minorEastAsia"/>
        </w:rPr>
        <w:t>with</w:t>
      </w:r>
      <w:r>
        <w:rPr>
          <w:rFonts w:eastAsiaTheme="minorEastAsia"/>
        </w:rPr>
        <w:t xml:space="preserve">in </w:t>
      </w:r>
      <w:r w:rsidR="0015332E">
        <w:rPr>
          <w:rFonts w:eastAsiaTheme="minorEastAsia"/>
        </w:rPr>
        <w:t>a</w:t>
      </w:r>
      <w:r>
        <w:rPr>
          <w:rFonts w:eastAsiaTheme="minorEastAsia"/>
        </w:rPr>
        <w:t xml:space="preserve"> range of 7.8 to 8.4 minutes, with 4.6 minutes as a distinct outlier. The </w:t>
      </w:r>
      <w:r w:rsidR="001B7FB7">
        <w:rPr>
          <w:rFonts w:eastAsiaTheme="minorEastAsia"/>
        </w:rPr>
        <w:t>E</w:t>
      </w:r>
      <w:r>
        <w:rPr>
          <w:rFonts w:eastAsiaTheme="minorEastAsia"/>
        </w:rPr>
        <w:t xml:space="preserve">valuation </w:t>
      </w:r>
      <w:r w:rsidR="001B7FB7">
        <w:rPr>
          <w:rFonts w:eastAsiaTheme="minorEastAsia"/>
        </w:rPr>
        <w:t>T</w:t>
      </w:r>
      <w:r>
        <w:rPr>
          <w:rFonts w:eastAsiaTheme="minorEastAsia"/>
        </w:rPr>
        <w:t xml:space="preserve">eam </w:t>
      </w:r>
      <w:r w:rsidR="0015332E">
        <w:rPr>
          <w:rFonts w:eastAsiaTheme="minorEastAsia"/>
        </w:rPr>
        <w:t xml:space="preserve">found </w:t>
      </w:r>
      <w:r>
        <w:rPr>
          <w:rFonts w:eastAsiaTheme="minorEastAsia"/>
        </w:rPr>
        <w:t>the PSD</w:t>
      </w:r>
      <w:r w:rsidR="0015332E">
        <w:rPr>
          <w:rFonts w:eastAsiaTheme="minorEastAsia"/>
        </w:rPr>
        <w:t>’s</w:t>
      </w:r>
      <w:r>
        <w:rPr>
          <w:rFonts w:eastAsiaTheme="minorEastAsia"/>
        </w:rPr>
        <w:t xml:space="preserve"> estimate of 8.3 minutes per shower reasonable and use</w:t>
      </w:r>
      <w:r w:rsidR="0015332E">
        <w:rPr>
          <w:rFonts w:eastAsiaTheme="minorEastAsia"/>
        </w:rPr>
        <w:t>d</w:t>
      </w:r>
      <w:r>
        <w:rPr>
          <w:rFonts w:eastAsiaTheme="minorEastAsia"/>
        </w:rPr>
        <w:t xml:space="preserve"> this value to evaluate savings.</w:t>
      </w:r>
    </w:p>
    <w:p w:rsidR="00523B88" w:rsidRDefault="002506E1" w:rsidP="00AC65BC">
      <w:pPr>
        <w:ind w:left="720"/>
      </w:pPr>
      <m:oMath>
        <m:sSub>
          <m:sSubPr>
            <m:ctrlPr>
              <w:rPr>
                <w:rFonts w:ascii="Cambria Math" w:hAnsi="Cambria Math"/>
                <w:i/>
              </w:rPr>
            </m:ctrlPr>
          </m:sSubPr>
          <m:e>
            <m:r>
              <w:rPr>
                <w:rFonts w:ascii="Cambria Math" w:hAnsi="Cambria Math"/>
              </w:rPr>
              <m:t>Days</m:t>
            </m:r>
          </m:e>
          <m:sub>
            <m:r>
              <w:rPr>
                <w:rFonts w:ascii="Cambria Math" w:hAnsi="Cambria Math"/>
              </w:rPr>
              <m:t>Year</m:t>
            </m:r>
          </m:sub>
        </m:sSub>
      </m:oMath>
      <w:r w:rsidR="00523B88">
        <w:t xml:space="preserve"> = The number of days per year that showers are used (Days)</w:t>
      </w:r>
    </w:p>
    <w:p w:rsidR="00523B88" w:rsidRDefault="0015332E" w:rsidP="00410C58">
      <w:pPr>
        <w:rPr>
          <w:rFonts w:eastAsiaTheme="minorEastAsia"/>
        </w:rPr>
      </w:pPr>
      <w:r>
        <w:rPr>
          <w:rFonts w:eastAsiaTheme="minorEastAsia"/>
        </w:rPr>
        <w:t xml:space="preserve">For this calculation, 365 days were assumed </w:t>
      </w:r>
      <w:r w:rsidR="00523B88">
        <w:rPr>
          <w:rFonts w:eastAsiaTheme="minorEastAsia"/>
        </w:rPr>
        <w:t>per year.</w:t>
      </w:r>
    </w:p>
    <w:p w:rsidR="00523B88" w:rsidRDefault="002506E1" w:rsidP="00AC65BC">
      <w:pPr>
        <w:ind w:left="720"/>
        <w:rPr>
          <w:rFonts w:eastAsiaTheme="minorEastAsia"/>
        </w:rPr>
      </w:pP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g</m:t>
            </m:r>
          </m:sub>
        </m:sSub>
      </m:oMath>
      <w:r w:rsidR="00523B88">
        <w:rPr>
          <w:rFonts w:eastAsiaTheme="minorEastAsia"/>
        </w:rPr>
        <w:t>= Ratio to adjust usage for a cooler climate</w:t>
      </w:r>
    </w:p>
    <w:p w:rsidR="00523B88" w:rsidRDefault="00523B88" w:rsidP="00410C58">
      <w:pPr>
        <w:rPr>
          <w:rFonts w:eastAsiaTheme="minorEastAsia"/>
        </w:rPr>
      </w:pPr>
      <w:r>
        <w:rPr>
          <w:rFonts w:eastAsiaTheme="minorEastAsia"/>
        </w:rPr>
        <w:t xml:space="preserve">The case study </w:t>
      </w:r>
      <w:r w:rsidR="00F6139F">
        <w:rPr>
          <w:rFonts w:eastAsiaTheme="minorEastAsia"/>
        </w:rPr>
        <w:t xml:space="preserve">the PSD </w:t>
      </w:r>
      <w:r>
        <w:rPr>
          <w:rFonts w:eastAsiaTheme="minorEastAsia"/>
        </w:rPr>
        <w:t xml:space="preserve">used to estimate water usage showed a difference in water usage for northern sites compared </w:t>
      </w:r>
      <w:r w:rsidR="0015332E">
        <w:rPr>
          <w:rFonts w:eastAsiaTheme="minorEastAsia"/>
        </w:rPr>
        <w:t xml:space="preserve">to </w:t>
      </w:r>
      <w:r>
        <w:rPr>
          <w:rFonts w:eastAsiaTheme="minorEastAsia"/>
        </w:rPr>
        <w:t>southern sites.</w:t>
      </w:r>
      <w:r w:rsidR="002953AD">
        <w:rPr>
          <w:rFonts w:eastAsiaTheme="minorEastAsia"/>
        </w:rPr>
        <w:t xml:space="preserve"> </w:t>
      </w:r>
      <w:r w:rsidR="00F6139F">
        <w:rPr>
          <w:rFonts w:eastAsiaTheme="minorEastAsia"/>
        </w:rPr>
        <w:t xml:space="preserve">A </w:t>
      </w:r>
      <w:r>
        <w:rPr>
          <w:rFonts w:eastAsiaTheme="minorEastAsia"/>
        </w:rPr>
        <w:t xml:space="preserve">value of 0.9344 </w:t>
      </w:r>
      <w:r w:rsidR="0015332E">
        <w:rPr>
          <w:rFonts w:eastAsiaTheme="minorEastAsia"/>
        </w:rPr>
        <w:t>was</w:t>
      </w:r>
      <w:r>
        <w:rPr>
          <w:rFonts w:eastAsiaTheme="minorEastAsia"/>
        </w:rPr>
        <w:t xml:space="preserve"> used to adjust water usage for Connecticut.</w:t>
      </w:r>
    </w:p>
    <w:p w:rsidR="00523B88" w:rsidRDefault="00523B88" w:rsidP="00AC65BC">
      <w:pPr>
        <w:ind w:left="720"/>
      </w:pPr>
      <m:oMath>
        <m:r>
          <w:rPr>
            <w:rFonts w:ascii="Cambria Math" w:hAnsi="Cambria Math"/>
          </w:rPr>
          <m:t xml:space="preserve">#Showers </m:t>
        </m:r>
      </m:oMath>
      <w:r>
        <w:t>= The number of showers taken each day</w:t>
      </w:r>
    </w:p>
    <w:p w:rsidR="00523B88" w:rsidRDefault="00523B88" w:rsidP="00410C58">
      <w:pPr>
        <w:rPr>
          <w:rFonts w:eastAsiaTheme="minorEastAsia"/>
        </w:rPr>
      </w:pPr>
      <w:r>
        <w:rPr>
          <w:rFonts w:eastAsiaTheme="minorEastAsia"/>
        </w:rPr>
        <w:t xml:space="preserve">The </w:t>
      </w:r>
      <w:r w:rsidR="004F2373">
        <w:rPr>
          <w:rFonts w:eastAsiaTheme="minorEastAsia"/>
        </w:rPr>
        <w:t>E</w:t>
      </w:r>
      <w:r>
        <w:rPr>
          <w:rFonts w:eastAsiaTheme="minorEastAsia"/>
        </w:rPr>
        <w:t xml:space="preserve">valuation </w:t>
      </w:r>
      <w:r w:rsidR="004F2373">
        <w:rPr>
          <w:rFonts w:eastAsiaTheme="minorEastAsia"/>
        </w:rPr>
        <w:t>T</w:t>
      </w:r>
      <w:r>
        <w:rPr>
          <w:rFonts w:eastAsiaTheme="minorEastAsia"/>
        </w:rPr>
        <w:t>eam used the PSD value of 1.97 for this input</w:t>
      </w:r>
      <w:r w:rsidR="0015332E">
        <w:rPr>
          <w:rFonts w:eastAsiaTheme="minorEastAsia"/>
        </w:rPr>
        <w:t xml:space="preserve">, a reasonable </w:t>
      </w:r>
      <w:r>
        <w:rPr>
          <w:rFonts w:eastAsiaTheme="minorEastAsia"/>
        </w:rPr>
        <w:t>value based on the average number of people in a Connecticut home (2.61) and the typical number of showers per person, per day</w:t>
      </w:r>
      <w:r w:rsidR="0015332E">
        <w:rPr>
          <w:rFonts w:eastAsiaTheme="minorEastAsia"/>
        </w:rPr>
        <w:t>,</w:t>
      </w:r>
      <w:r>
        <w:rPr>
          <w:rFonts w:eastAsiaTheme="minorEastAsia"/>
        </w:rPr>
        <w:t xml:space="preserve"> </w:t>
      </w:r>
      <w:r w:rsidR="00F6139F">
        <w:rPr>
          <w:rFonts w:eastAsiaTheme="minorEastAsia"/>
        </w:rPr>
        <w:t xml:space="preserve">indicated </w:t>
      </w:r>
      <w:r>
        <w:rPr>
          <w:rFonts w:eastAsiaTheme="minorEastAsia"/>
        </w:rPr>
        <w:t>from the other sources.</w:t>
      </w:r>
    </w:p>
    <w:p w:rsidR="00523B88" w:rsidRDefault="002506E1" w:rsidP="00AC65BC">
      <w:pPr>
        <w:ind w:left="720"/>
      </w:pPr>
      <m:oMath>
        <m:sSub>
          <m:sSubPr>
            <m:ctrlPr>
              <w:rPr>
                <w:rFonts w:ascii="Cambria Math" w:hAnsi="Cambria Math"/>
                <w:i/>
              </w:rPr>
            </m:ctrlPr>
          </m:sSubPr>
          <m:e>
            <m:r>
              <w:rPr>
                <w:rFonts w:ascii="Cambria Math" w:hAnsi="Cambria Math"/>
              </w:rPr>
              <m:t>Shower</m:t>
            </m:r>
          </m:e>
          <m:sub>
            <m:r>
              <w:rPr>
                <w:rFonts w:ascii="Cambria Math" w:hAnsi="Cambria Math"/>
              </w:rPr>
              <m:t>House</m:t>
            </m:r>
          </m:sub>
        </m:sSub>
      </m:oMath>
      <w:r w:rsidR="00523B88">
        <w:t xml:space="preserve"> = The number of showers per house (Showers)</w:t>
      </w:r>
    </w:p>
    <w:p w:rsidR="00523B88" w:rsidRDefault="00523B88" w:rsidP="00410C58">
      <w:pPr>
        <w:rPr>
          <w:rFonts w:eastAsiaTheme="minorEastAsia"/>
        </w:rPr>
      </w:pPr>
      <w:r>
        <w:rPr>
          <w:rFonts w:eastAsiaTheme="minorEastAsia"/>
        </w:rPr>
        <w:t xml:space="preserve">The </w:t>
      </w:r>
      <w:r w:rsidR="004F2373">
        <w:rPr>
          <w:rFonts w:eastAsiaTheme="minorEastAsia"/>
        </w:rPr>
        <w:t>E</w:t>
      </w:r>
      <w:r>
        <w:rPr>
          <w:rFonts w:eastAsiaTheme="minorEastAsia"/>
        </w:rPr>
        <w:t xml:space="preserve">valuation </w:t>
      </w:r>
      <w:r w:rsidR="004F2373">
        <w:rPr>
          <w:rFonts w:eastAsiaTheme="minorEastAsia"/>
        </w:rPr>
        <w:t>T</w:t>
      </w:r>
      <w:r>
        <w:rPr>
          <w:rFonts w:eastAsiaTheme="minorEastAsia"/>
        </w:rPr>
        <w:t>eam used the PSD value of 2.3.</w:t>
      </w:r>
    </w:p>
    <w:p w:rsidR="00523B88" w:rsidRDefault="002506E1" w:rsidP="00AC65BC">
      <w:pPr>
        <w:ind w:left="720"/>
      </w:pPr>
      <m:oMath>
        <m:sSub>
          <m:sSubPr>
            <m:ctrlPr>
              <w:rPr>
                <w:rFonts w:ascii="Cambria Math" w:hAnsi="Cambria Math"/>
                <w:i/>
              </w:rPr>
            </m:ctrlPr>
          </m:sSubPr>
          <m:e>
            <m:r>
              <w:rPr>
                <w:rFonts w:ascii="Cambria Math" w:hAnsi="Cambria Math"/>
              </w:rPr>
              <m:t>Savings</m:t>
            </m:r>
          </m:e>
          <m:sub>
            <m:r>
              <w:rPr>
                <w:rFonts w:ascii="Cambria Math" w:hAnsi="Cambria Math"/>
              </w:rPr>
              <m:t>Gal</m:t>
            </m:r>
          </m:sub>
        </m:sSub>
      </m:oMath>
      <w:r w:rsidR="00523B88">
        <w:t xml:space="preserve"> = The energy savings in kWh per gallon of water flow reduced (kWh/Gal)</w:t>
      </w:r>
    </w:p>
    <w:p w:rsidR="00523B88" w:rsidRDefault="00523B88" w:rsidP="00AC65BC">
      <w:pPr>
        <w:pStyle w:val="NormalBeforeList"/>
      </w:pPr>
      <w:r>
        <w:t xml:space="preserve">The </w:t>
      </w:r>
      <w:r w:rsidR="004F2373">
        <w:rPr>
          <w:rFonts w:eastAsiaTheme="minorEastAsia"/>
        </w:rPr>
        <w:t xml:space="preserve">Evaluation Team </w:t>
      </w:r>
      <w:r>
        <w:t xml:space="preserve">arrived at 0.1245 kWh per gallon </w:t>
      </w:r>
      <w:r w:rsidR="0015332E">
        <w:t xml:space="preserve">using </w:t>
      </w:r>
      <w:r>
        <w:t>the following equation</w:t>
      </w:r>
      <w:r w:rsidR="0015332E">
        <w:t>:</w:t>
      </w:r>
    </w:p>
    <w:p w:rsidR="00523B88" w:rsidRDefault="00523B88" w:rsidP="00AC65BC">
      <w:pPr>
        <w:jc w:val="center"/>
        <w:rPr>
          <w:rFonts w:eastAsiaTheme="minorEastAsia"/>
        </w:rPr>
      </w:pPr>
      <m:oMathPara>
        <m:oMath>
          <m:r>
            <w:rPr>
              <w:rFonts w:ascii="Cambria Math" w:eastAsiaTheme="minorEastAsia" w:hAnsi="Cambria Math"/>
            </w:rPr>
            <m:t>8.3</m:t>
          </m:r>
          <m:f>
            <m:fPr>
              <m:ctrlPr>
                <w:rPr>
                  <w:rFonts w:ascii="Cambria Math" w:eastAsiaTheme="minorEastAsia" w:hAnsi="Cambria Math"/>
                  <w:i/>
                </w:rPr>
              </m:ctrlPr>
            </m:fPr>
            <m:num>
              <m:r>
                <w:rPr>
                  <w:rFonts w:ascii="Cambria Math" w:eastAsiaTheme="minorEastAsia" w:hAnsi="Cambria Math"/>
                </w:rPr>
                <m:t>lb</m:t>
              </m:r>
            </m:num>
            <m:den>
              <m:r>
                <w:rPr>
                  <w:rFonts w:ascii="Cambria Math" w:eastAsiaTheme="minorEastAsia" w:hAnsi="Cambria Math"/>
                </w:rPr>
                <m:t>gal</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Temp</m:t>
                  </m:r>
                </m:e>
                <m:sub>
                  <m:r>
                    <w:rPr>
                      <w:rFonts w:ascii="Cambria Math" w:eastAsiaTheme="minorEastAsia" w:hAnsi="Cambria Math"/>
                    </w:rPr>
                    <m:t>Fauc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Tem</m:t>
                  </m:r>
                  <m:r>
                    <w:rPr>
                      <w:rFonts w:ascii="Cambria Math" w:eastAsiaTheme="minorEastAsia" w:hAnsi="Cambria Math"/>
                    </w:rPr>
                    <m:t>p</m:t>
                  </m:r>
                </m:e>
                <m:sub>
                  <m:r>
                    <w:rPr>
                      <w:rFonts w:ascii="Cambria Math" w:eastAsiaTheme="minorEastAsia" w:hAnsi="Cambria Math"/>
                    </w:rPr>
                    <m:t>Entrance</m:t>
                  </m:r>
                </m:sub>
              </m:sSub>
              <m:r>
                <w:rPr>
                  <w:rFonts w:ascii="Cambria Math" w:eastAsiaTheme="minorEastAsia" w:hAnsi="Cambria Math"/>
                </w:rPr>
                <m:t>)</m:t>
              </m:r>
            </m:num>
            <m:den>
              <m:sSub>
                <m:sSubPr>
                  <m:ctrlPr>
                    <w:rPr>
                      <w:rFonts w:ascii="Cambria Math" w:eastAsiaTheme="minorEastAsia" w:hAnsi="Cambria Math"/>
                      <w:i/>
                    </w:rPr>
                  </m:ctrlPr>
                </m:sSubPr>
                <m:e>
                  <m:r>
                    <w:rPr>
                      <w:rFonts w:ascii="Cambria Math" w:eastAsiaTheme="minorEastAsia" w:hAnsi="Cambria Math"/>
                    </w:rPr>
                    <m:t>WH</m:t>
                  </m:r>
                </m:e>
                <m:sub>
                  <m:r>
                    <w:rPr>
                      <w:rFonts w:ascii="Cambria Math" w:eastAsiaTheme="minorEastAsia" w:hAnsi="Cambria Math"/>
                    </w:rPr>
                    <m:t>Eff</m:t>
                  </m:r>
                </m:sub>
              </m:sSub>
              <m:r>
                <w:rPr>
                  <w:rFonts w:ascii="Cambria Math" w:eastAsiaTheme="minorEastAsia" w:hAnsi="Cambria Math"/>
                </w:rPr>
                <m:t>*1,000,000*0.003412 kWh/MMBtu</m:t>
              </m:r>
            </m:den>
          </m:f>
          <m:r>
            <w:rPr>
              <w:rFonts w:ascii="Cambria Math" w:eastAsiaTheme="minorEastAsia" w:hAnsi="Cambria Math"/>
            </w:rPr>
            <m:t>=</m:t>
          </m:r>
          <m:r>
            <m:rPr>
              <m:sty m:val="p"/>
            </m:rPr>
            <w:rPr>
              <w:rFonts w:ascii="Cambria Math" w:eastAsiaTheme="minorEastAsia" w:hAnsi="Cambria Math"/>
            </w:rPr>
            <m:t>0.1245 kWh/Gal</m:t>
          </m:r>
        </m:oMath>
      </m:oMathPara>
    </w:p>
    <w:p w:rsidR="00523B88" w:rsidRDefault="00523B88" w:rsidP="00AC65BC">
      <w:pPr>
        <w:rPr>
          <w:rFonts w:eastAsiaTheme="minorEastAsia"/>
        </w:rPr>
      </w:pPr>
      <w:r>
        <w:rPr>
          <w:rFonts w:eastAsiaTheme="minorEastAsia"/>
        </w:rPr>
        <w:lastRenderedPageBreak/>
        <w:t>Where:</w:t>
      </w:r>
    </w:p>
    <w:p w:rsidR="00523B88" w:rsidRDefault="002506E1" w:rsidP="00AC65BC">
      <w:pPr>
        <w:ind w:left="720"/>
        <w:rPr>
          <w:rFonts w:eastAsiaTheme="minorEastAsia"/>
        </w:rPr>
      </w:pPr>
      <m:oMath>
        <m:sSub>
          <m:sSubPr>
            <m:ctrlPr>
              <w:rPr>
                <w:rFonts w:ascii="Cambria Math" w:eastAsiaTheme="minorEastAsia" w:hAnsi="Cambria Math"/>
                <w:i/>
              </w:rPr>
            </m:ctrlPr>
          </m:sSubPr>
          <m:e>
            <m:r>
              <w:rPr>
                <w:rFonts w:ascii="Cambria Math" w:eastAsiaTheme="minorEastAsia" w:hAnsi="Cambria Math"/>
              </w:rPr>
              <m:t>Temp</m:t>
            </m:r>
          </m:e>
          <m:sub>
            <m:r>
              <w:rPr>
                <w:rFonts w:ascii="Cambria Math" w:eastAsiaTheme="minorEastAsia" w:hAnsi="Cambria Math"/>
              </w:rPr>
              <m:t>Fauc</m:t>
            </m:r>
          </m:sub>
        </m:sSub>
      </m:oMath>
      <w:r w:rsidR="00523B88">
        <w:rPr>
          <w:rFonts w:eastAsiaTheme="minorEastAsia"/>
        </w:rPr>
        <w:t xml:space="preserve"> = The temperature of water at the exit of the shower (°F)</w:t>
      </w:r>
    </w:p>
    <w:p w:rsidR="00523B88" w:rsidRDefault="002506E1" w:rsidP="00AC65BC">
      <w:pPr>
        <w:ind w:left="720"/>
        <w:rPr>
          <w:rFonts w:eastAsiaTheme="minorEastAsia"/>
        </w:rPr>
      </w:pPr>
      <m:oMath>
        <m:sSub>
          <m:sSubPr>
            <m:ctrlPr>
              <w:rPr>
                <w:rFonts w:ascii="Cambria Math" w:eastAsiaTheme="minorEastAsia" w:hAnsi="Cambria Math"/>
                <w:i/>
              </w:rPr>
            </m:ctrlPr>
          </m:sSubPr>
          <m:e>
            <m:r>
              <w:rPr>
                <w:rFonts w:ascii="Cambria Math" w:eastAsiaTheme="minorEastAsia" w:hAnsi="Cambria Math"/>
              </w:rPr>
              <m:t>Temp</m:t>
            </m:r>
          </m:e>
          <m:sub>
            <m:r>
              <w:rPr>
                <w:rFonts w:ascii="Cambria Math" w:eastAsiaTheme="minorEastAsia" w:hAnsi="Cambria Math"/>
              </w:rPr>
              <m:t>Entrance</m:t>
            </m:r>
          </m:sub>
        </m:sSub>
      </m:oMath>
      <w:r w:rsidR="00523B88">
        <w:rPr>
          <w:rFonts w:eastAsiaTheme="minorEastAsia"/>
        </w:rPr>
        <w:t xml:space="preserve"> = The temperature of water entering the home (°F)</w:t>
      </w:r>
    </w:p>
    <w:p w:rsidR="00523B88" w:rsidRDefault="00523B88" w:rsidP="00410C58">
      <w:pPr>
        <w:rPr>
          <w:rFonts w:eastAsiaTheme="minorEastAsia"/>
        </w:rPr>
      </w:pPr>
      <w:r>
        <w:rPr>
          <w:rFonts w:eastAsiaTheme="minorEastAsia"/>
        </w:rPr>
        <w:t>Values of 105 and 55, respectively, were chosen as the most predominantly used values.</w:t>
      </w:r>
      <w:r w:rsidR="002953AD">
        <w:rPr>
          <w:rFonts w:eastAsiaTheme="minorEastAsia"/>
        </w:rPr>
        <w:t xml:space="preserve"> </w:t>
      </w:r>
      <w:r>
        <w:rPr>
          <w:rFonts w:eastAsiaTheme="minorEastAsia"/>
        </w:rPr>
        <w:t>Furthermore, these values provide</w:t>
      </w:r>
      <w:r w:rsidR="0015332E">
        <w:rPr>
          <w:rFonts w:eastAsiaTheme="minorEastAsia"/>
        </w:rPr>
        <w:t>d</w:t>
      </w:r>
      <w:r>
        <w:rPr>
          <w:rFonts w:eastAsiaTheme="minorEastAsia"/>
        </w:rPr>
        <w:t xml:space="preserve"> a more conservative estimate of water savings compared to other sources with higher shower temperature</w:t>
      </w:r>
      <w:r w:rsidR="0015332E">
        <w:rPr>
          <w:rFonts w:eastAsiaTheme="minorEastAsia"/>
        </w:rPr>
        <w:t>s</w:t>
      </w:r>
      <w:r>
        <w:rPr>
          <w:rFonts w:eastAsiaTheme="minorEastAsia"/>
        </w:rPr>
        <w:t xml:space="preserve"> or lower entering temperature</w:t>
      </w:r>
      <w:r w:rsidR="0015332E">
        <w:rPr>
          <w:rFonts w:eastAsiaTheme="minorEastAsia"/>
        </w:rPr>
        <w:t>s</w:t>
      </w:r>
      <w:r>
        <w:rPr>
          <w:rFonts w:eastAsiaTheme="minorEastAsia"/>
        </w:rPr>
        <w:t>.</w:t>
      </w:r>
    </w:p>
    <w:p w:rsidR="00523B88" w:rsidRDefault="002506E1" w:rsidP="00AC65BC">
      <w:pPr>
        <w:ind w:left="720"/>
        <w:rPr>
          <w:rFonts w:eastAsiaTheme="minorEastAsia"/>
        </w:rPr>
      </w:pPr>
      <m:oMath>
        <m:sSub>
          <m:sSubPr>
            <m:ctrlPr>
              <w:rPr>
                <w:rFonts w:ascii="Cambria Math" w:eastAsiaTheme="minorEastAsia" w:hAnsi="Cambria Math"/>
                <w:i/>
              </w:rPr>
            </m:ctrlPr>
          </m:sSubPr>
          <m:e>
            <m:r>
              <w:rPr>
                <w:rFonts w:ascii="Cambria Math" w:eastAsiaTheme="minorEastAsia" w:hAnsi="Cambria Math"/>
              </w:rPr>
              <m:t>WH</m:t>
            </m:r>
          </m:e>
          <m:sub>
            <m:r>
              <w:rPr>
                <w:rFonts w:ascii="Cambria Math" w:eastAsiaTheme="minorEastAsia" w:hAnsi="Cambria Math"/>
              </w:rPr>
              <m:t>Eff</m:t>
            </m:r>
          </m:sub>
        </m:sSub>
      </m:oMath>
      <w:r w:rsidR="00523B88">
        <w:rPr>
          <w:rFonts w:eastAsiaTheme="minorEastAsia"/>
        </w:rPr>
        <w:t xml:space="preserve"> = The recovery efficiency of the electric water heater (%)</w:t>
      </w:r>
    </w:p>
    <w:p w:rsidR="00523B88" w:rsidRDefault="00523B88" w:rsidP="00410C58">
      <w:pPr>
        <w:rPr>
          <w:rFonts w:eastAsiaTheme="minorEastAsia"/>
        </w:rPr>
      </w:pPr>
      <w:r>
        <w:rPr>
          <w:rFonts w:eastAsiaTheme="minorEastAsia"/>
        </w:rPr>
        <w:t xml:space="preserve">Presently, the efficiency used in the </w:t>
      </w:r>
      <w:r w:rsidR="0015332E">
        <w:rPr>
          <w:rFonts w:eastAsiaTheme="minorEastAsia"/>
        </w:rPr>
        <w:t>PSD</w:t>
      </w:r>
      <w:r>
        <w:rPr>
          <w:rFonts w:eastAsiaTheme="minorEastAsia"/>
        </w:rPr>
        <w:t xml:space="preserve"> </w:t>
      </w:r>
      <w:r w:rsidR="0015332E">
        <w:rPr>
          <w:rFonts w:eastAsiaTheme="minorEastAsia"/>
        </w:rPr>
        <w:t xml:space="preserve">equals </w:t>
      </w:r>
      <w:r>
        <w:rPr>
          <w:rFonts w:eastAsiaTheme="minorEastAsia"/>
        </w:rPr>
        <w:t xml:space="preserve">the </w:t>
      </w:r>
      <w:r w:rsidR="0015332E">
        <w:rPr>
          <w:rFonts w:eastAsiaTheme="minorEastAsia"/>
        </w:rPr>
        <w:t xml:space="preserve">water heater’s </w:t>
      </w:r>
      <w:r>
        <w:rPr>
          <w:rFonts w:eastAsiaTheme="minorEastAsia"/>
        </w:rPr>
        <w:t>energy factor.</w:t>
      </w:r>
      <w:r w:rsidR="002953AD">
        <w:rPr>
          <w:rFonts w:eastAsiaTheme="minorEastAsia"/>
        </w:rPr>
        <w:t xml:space="preserve"> </w:t>
      </w:r>
      <w:r>
        <w:rPr>
          <w:rFonts w:eastAsiaTheme="minorEastAsia"/>
        </w:rPr>
        <w:t>The energy factor represents the efficiency of heating and storing water</w:t>
      </w:r>
      <w:r w:rsidR="0015332E">
        <w:rPr>
          <w:rFonts w:eastAsiaTheme="minorEastAsia"/>
        </w:rPr>
        <w:t>;</w:t>
      </w:r>
      <w:r>
        <w:rPr>
          <w:rFonts w:eastAsiaTheme="minorEastAsia"/>
        </w:rPr>
        <w:t xml:space="preserve"> however</w:t>
      </w:r>
      <w:r w:rsidR="0015332E">
        <w:rPr>
          <w:rFonts w:eastAsiaTheme="minorEastAsia"/>
        </w:rPr>
        <w:t>,</w:t>
      </w:r>
      <w:r>
        <w:rPr>
          <w:rFonts w:eastAsiaTheme="minorEastAsia"/>
        </w:rPr>
        <w:t xml:space="preserve"> the energy savings calculation for low-flow aerators should not consider water heater standby losses.</w:t>
      </w:r>
      <w:r w:rsidR="002953AD">
        <w:rPr>
          <w:rFonts w:eastAsiaTheme="minorEastAsia"/>
        </w:rPr>
        <w:t xml:space="preserve"> </w:t>
      </w:r>
      <w:r w:rsidR="0015332E">
        <w:rPr>
          <w:rFonts w:eastAsiaTheme="minorEastAsia"/>
        </w:rPr>
        <w:t xml:space="preserve">Consequently, </w:t>
      </w:r>
      <w:r>
        <w:rPr>
          <w:rFonts w:eastAsiaTheme="minorEastAsia"/>
        </w:rPr>
        <w:t xml:space="preserve">the </w:t>
      </w:r>
      <w:r w:rsidR="004F2373">
        <w:rPr>
          <w:rFonts w:eastAsiaTheme="minorEastAsia"/>
        </w:rPr>
        <w:t>Evaluation T</w:t>
      </w:r>
      <w:r>
        <w:rPr>
          <w:rFonts w:eastAsiaTheme="minorEastAsia"/>
        </w:rPr>
        <w:t>eam recommends using 98</w:t>
      </w:r>
      <w:r w:rsidR="0015332E">
        <w:rPr>
          <w:rFonts w:eastAsiaTheme="minorEastAsia"/>
        </w:rPr>
        <w:t>%</w:t>
      </w:r>
      <w:r>
        <w:rPr>
          <w:rFonts w:eastAsiaTheme="minorEastAsia"/>
        </w:rPr>
        <w:t xml:space="preserve"> as the value for water heater efficiency.</w:t>
      </w:r>
      <w:r w:rsidRPr="004D3A80">
        <w:rPr>
          <w:rFonts w:eastAsiaTheme="minorEastAsia"/>
        </w:rPr>
        <w:t xml:space="preserve"> </w:t>
      </w:r>
      <w:r>
        <w:rPr>
          <w:rFonts w:eastAsiaTheme="minorEastAsia"/>
        </w:rPr>
        <w:t>The recovery efficiency for fossil fuel water heaters was evaluated as 67</w:t>
      </w:r>
      <w:r w:rsidR="0015332E">
        <w:rPr>
          <w:rFonts w:eastAsiaTheme="minorEastAsia"/>
        </w:rPr>
        <w:t>%</w:t>
      </w:r>
      <w:r>
        <w:rPr>
          <w:rFonts w:eastAsiaTheme="minorEastAsia"/>
        </w:rPr>
        <w:t>.</w:t>
      </w:r>
    </w:p>
    <w:p w:rsidR="00523B88" w:rsidRDefault="00523B88" w:rsidP="00AC65BC">
      <w:pPr>
        <w:pStyle w:val="NormalBeforeList"/>
      </w:pPr>
      <w:r>
        <w:t>The overall equation then became:</w:t>
      </w:r>
    </w:p>
    <w:p w:rsidR="00523B88" w:rsidRDefault="00523B88" w:rsidP="00523B88">
      <w:pPr>
        <w:rPr>
          <w:rFonts w:eastAsiaTheme="minorEastAsia"/>
          <w:sz w:val="20"/>
        </w:rPr>
      </w:pPr>
      <m:oMathPara>
        <m:oMath>
          <m:r>
            <w:rPr>
              <w:rFonts w:ascii="Cambria Math" w:hAnsi="Cambria Math"/>
              <w:sz w:val="20"/>
            </w:rPr>
            <m:t>Energy Savings =*</m:t>
          </m:r>
          <m:f>
            <m:fPr>
              <m:ctrlPr>
                <w:rPr>
                  <w:rFonts w:ascii="Cambria Math" w:hAnsi="Cambria Math"/>
                  <w:i/>
                  <w:sz w:val="20"/>
                </w:rPr>
              </m:ctrlPr>
            </m:fPr>
            <m:num>
              <m:d>
                <m:dPr>
                  <m:ctrlPr>
                    <w:rPr>
                      <w:rFonts w:ascii="Cambria Math" w:hAnsi="Cambria Math"/>
                      <w:i/>
                      <w:sz w:val="20"/>
                    </w:rPr>
                  </m:ctrlPr>
                </m:dPr>
                <m:e>
                  <m:r>
                    <w:rPr>
                      <w:rFonts w:ascii="Cambria Math" w:hAnsi="Cambria Math"/>
                      <w:sz w:val="20"/>
                    </w:rPr>
                    <m:t>2.5-2.0</m:t>
                  </m:r>
                </m:e>
              </m:d>
              <m:r>
                <w:rPr>
                  <w:rFonts w:ascii="Cambria Math" w:hAnsi="Cambria Math"/>
                  <w:sz w:val="20"/>
                </w:rPr>
                <m:t>*8.3*1.97*365*0.9344</m:t>
              </m:r>
            </m:num>
            <m:den>
              <m:r>
                <w:rPr>
                  <w:rFonts w:ascii="Cambria Math" w:hAnsi="Cambria Math"/>
                  <w:sz w:val="20"/>
                </w:rPr>
                <m:t>2.3</m:t>
              </m:r>
            </m:den>
          </m:f>
          <m:r>
            <w:rPr>
              <w:rFonts w:ascii="Cambria Math" w:hAnsi="Cambria Math"/>
              <w:sz w:val="20"/>
            </w:rPr>
            <m:t>*0.1245=150.7 kWh</m:t>
          </m:r>
        </m:oMath>
      </m:oMathPara>
    </w:p>
    <w:p w:rsidR="00523B88" w:rsidRDefault="00523B88" w:rsidP="00AC65BC">
      <w:r>
        <w:t xml:space="preserve">Though the evaluated savings of 150.7 kWh per showerhead is on the same order of magnitude as the 2013 PSD deemed value of 155.4 kWh, the </w:t>
      </w:r>
      <w:r w:rsidR="004F2373">
        <w:t>E</w:t>
      </w:r>
      <w:r>
        <w:t xml:space="preserve">valuation </w:t>
      </w:r>
      <w:r w:rsidR="004F2373">
        <w:t>T</w:t>
      </w:r>
      <w:r>
        <w:t>eam recommends adopt</w:t>
      </w:r>
      <w:r w:rsidR="0015332E">
        <w:t xml:space="preserve">ing </w:t>
      </w:r>
      <w:r>
        <w:t>the approach outlined in this report.</w:t>
      </w:r>
    </w:p>
    <w:p w:rsidR="00523B88" w:rsidRPr="00D80A1B" w:rsidRDefault="00523B88" w:rsidP="00D80A1B">
      <w:pPr>
        <w:spacing w:before="200" w:after="0"/>
        <w:rPr>
          <w:b/>
          <w:i/>
          <w:color w:val="898A17"/>
          <w:sz w:val="29"/>
          <w:szCs w:val="29"/>
        </w:rPr>
      </w:pPr>
      <w:r w:rsidRPr="00D80A1B">
        <w:rPr>
          <w:b/>
          <w:i/>
          <w:color w:val="898A17"/>
          <w:sz w:val="29"/>
          <w:szCs w:val="29"/>
        </w:rPr>
        <w:t>Ductless Heat Pumps</w:t>
      </w:r>
    </w:p>
    <w:p w:rsidR="0005204D" w:rsidRDefault="009011B9" w:rsidP="004A6E91">
      <w:r>
        <w:t>The Evaluation Team estimated impacts for ductless heat pumps through billing analyses</w:t>
      </w:r>
      <w:r w:rsidR="00B84693">
        <w:t>, calculating 1,331 kWh for HES and 803 kWh for HES-IE and resulting in realization rates of 46.1% and 46.4%, respectively</w:t>
      </w:r>
      <w:r>
        <w:t>.</w:t>
      </w:r>
    </w:p>
    <w:p w:rsidR="00523B88" w:rsidRDefault="009011B9" w:rsidP="00AC65BC">
      <w:r>
        <w:t xml:space="preserve">To provide context around these results, a review was performed of recently published reports and TRMs. The review identified some trends in savings calculations </w:t>
      </w:r>
      <w:r w:rsidR="005C0F16">
        <w:t xml:space="preserve">from recent studies, though </w:t>
      </w:r>
      <w:r w:rsidR="001E7E83">
        <w:t xml:space="preserve">it </w:t>
      </w:r>
      <w:r w:rsidR="005C0F16">
        <w:t>also identified studies citing lower estimates, which align</w:t>
      </w:r>
      <w:r w:rsidR="001E7E83">
        <w:t xml:space="preserve"> more</w:t>
      </w:r>
      <w:r w:rsidR="005C0F16">
        <w:t xml:space="preserve"> with the billing analysis results from this study. </w:t>
      </w:r>
      <w:r w:rsidR="005C2163">
        <w:fldChar w:fldCharType="begin"/>
      </w:r>
      <w:r w:rsidR="0015332E">
        <w:instrText xml:space="preserve"> REF _Ref388525382 \h </w:instrText>
      </w:r>
      <w:r w:rsidR="005C2163">
        <w:fldChar w:fldCharType="separate"/>
      </w:r>
      <w:r w:rsidR="00CD20CF">
        <w:t xml:space="preserve">Table </w:t>
      </w:r>
      <w:r w:rsidR="00CD20CF">
        <w:rPr>
          <w:noProof/>
        </w:rPr>
        <w:t>93</w:t>
      </w:r>
      <w:r w:rsidR="005C2163">
        <w:fldChar w:fldCharType="end"/>
      </w:r>
      <w:r w:rsidR="0015332E">
        <w:t xml:space="preserve"> shows the </w:t>
      </w:r>
      <w:r w:rsidR="00523B88">
        <w:t>per-measure energy savings estimates.</w:t>
      </w:r>
      <w:r w:rsidR="002953AD">
        <w:t xml:space="preserve"> </w:t>
      </w:r>
    </w:p>
    <w:p w:rsidR="00523B88" w:rsidRDefault="00523B88" w:rsidP="003D0BE3">
      <w:pPr>
        <w:pStyle w:val="Caption"/>
      </w:pPr>
      <w:bookmarkStart w:id="160" w:name="_Ref388525382"/>
      <w:r>
        <w:lastRenderedPageBreak/>
        <w:t xml:space="preserve">Table </w:t>
      </w:r>
      <w:r w:rsidR="002506E1">
        <w:fldChar w:fldCharType="begin"/>
      </w:r>
      <w:r w:rsidR="002506E1">
        <w:instrText xml:space="preserve"> SEQ Table \* AR</w:instrText>
      </w:r>
      <w:r w:rsidR="002506E1">
        <w:instrText xml:space="preserve">ABIC </w:instrText>
      </w:r>
      <w:r w:rsidR="002506E1">
        <w:fldChar w:fldCharType="separate"/>
      </w:r>
      <w:r w:rsidR="00CD20CF">
        <w:rPr>
          <w:noProof/>
        </w:rPr>
        <w:t>93</w:t>
      </w:r>
      <w:r w:rsidR="002506E1">
        <w:rPr>
          <w:noProof/>
        </w:rPr>
        <w:fldChar w:fldCharType="end"/>
      </w:r>
      <w:bookmarkEnd w:id="160"/>
      <w:r>
        <w:t>.</w:t>
      </w:r>
      <w:r w:rsidR="002953AD">
        <w:t xml:space="preserve"> </w:t>
      </w:r>
      <w:r>
        <w:t>Results of the Ductless Heat Pump Literature Review</w:t>
      </w:r>
    </w:p>
    <w:tbl>
      <w:tblPr>
        <w:tblW w:w="4803"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796"/>
        <w:gridCol w:w="1419"/>
        <w:gridCol w:w="1419"/>
        <w:gridCol w:w="1146"/>
        <w:gridCol w:w="1419"/>
      </w:tblGrid>
      <w:tr w:rsidR="00293449" w:rsidRPr="00AC65BC" w:rsidTr="00216CA2">
        <w:trPr>
          <w:trHeight w:val="309"/>
          <w:jc w:val="center"/>
        </w:trPr>
        <w:tc>
          <w:tcPr>
            <w:tcW w:w="2063" w:type="pct"/>
            <w:vMerge w:val="restart"/>
            <w:shd w:val="clear" w:color="000000" w:fill="005DAA"/>
            <w:vAlign w:val="center"/>
            <w:hideMark/>
          </w:tcPr>
          <w:p w:rsidR="00523B88" w:rsidRPr="00AC65BC" w:rsidRDefault="00523B88" w:rsidP="003D0BE3">
            <w:pPr>
              <w:keepNext/>
              <w:keepLines/>
              <w:spacing w:after="0"/>
              <w:jc w:val="center"/>
              <w:rPr>
                <w:rFonts w:ascii="Calibri" w:hAnsi="Calibri"/>
                <w:b/>
                <w:bCs/>
                <w:color w:val="FFFFFF"/>
              </w:rPr>
            </w:pPr>
            <w:r w:rsidRPr="00AC65BC">
              <w:rPr>
                <w:rFonts w:ascii="Calibri" w:hAnsi="Calibri"/>
                <w:b/>
                <w:bCs/>
                <w:color w:val="FFFFFF"/>
              </w:rPr>
              <w:t>Source</w:t>
            </w:r>
          </w:p>
        </w:tc>
        <w:tc>
          <w:tcPr>
            <w:tcW w:w="771" w:type="pct"/>
            <w:vMerge w:val="restart"/>
            <w:shd w:val="clear" w:color="000000" w:fill="005DAA"/>
            <w:vAlign w:val="center"/>
            <w:hideMark/>
          </w:tcPr>
          <w:p w:rsidR="00523B88" w:rsidRPr="00AC65BC" w:rsidRDefault="00523B88" w:rsidP="003D0BE3">
            <w:pPr>
              <w:keepNext/>
              <w:keepLines/>
              <w:spacing w:after="0"/>
              <w:jc w:val="center"/>
              <w:rPr>
                <w:rFonts w:ascii="Calibri" w:hAnsi="Calibri"/>
                <w:b/>
                <w:bCs/>
                <w:color w:val="FFFFFF"/>
              </w:rPr>
            </w:pPr>
            <w:r w:rsidRPr="00AC65BC">
              <w:rPr>
                <w:rFonts w:ascii="Calibri" w:hAnsi="Calibri"/>
                <w:b/>
                <w:bCs/>
                <w:color w:val="FFFFFF"/>
              </w:rPr>
              <w:t>Electric Replacement (kWh)</w:t>
            </w:r>
          </w:p>
        </w:tc>
        <w:tc>
          <w:tcPr>
            <w:tcW w:w="771" w:type="pct"/>
            <w:vMerge w:val="restart"/>
            <w:shd w:val="clear" w:color="000000" w:fill="005DAA"/>
            <w:vAlign w:val="center"/>
            <w:hideMark/>
          </w:tcPr>
          <w:p w:rsidR="00523B88" w:rsidRPr="00AC65BC" w:rsidRDefault="00523B88" w:rsidP="003D0BE3">
            <w:pPr>
              <w:keepNext/>
              <w:keepLines/>
              <w:spacing w:after="0"/>
              <w:jc w:val="center"/>
              <w:rPr>
                <w:rFonts w:ascii="Calibri" w:hAnsi="Calibri"/>
                <w:b/>
                <w:bCs/>
                <w:color w:val="FFFFFF"/>
              </w:rPr>
            </w:pPr>
            <w:r w:rsidRPr="00AC65BC">
              <w:rPr>
                <w:rFonts w:ascii="Calibri" w:hAnsi="Calibri"/>
                <w:b/>
                <w:bCs/>
                <w:color w:val="FFFFFF"/>
              </w:rPr>
              <w:t xml:space="preserve">Fossil Fuel </w:t>
            </w:r>
            <w:r w:rsidR="00C561AD" w:rsidRPr="00AC65BC">
              <w:rPr>
                <w:rFonts w:ascii="Calibri" w:hAnsi="Calibri"/>
                <w:b/>
                <w:bCs/>
                <w:color w:val="FFFFFF"/>
              </w:rPr>
              <w:t>Replacement</w:t>
            </w:r>
            <w:r w:rsidRPr="00AC65BC">
              <w:rPr>
                <w:rFonts w:ascii="Calibri" w:hAnsi="Calibri"/>
                <w:b/>
                <w:bCs/>
                <w:color w:val="FFFFFF"/>
              </w:rPr>
              <w:t xml:space="preserve"> (kWh)</w:t>
            </w:r>
          </w:p>
        </w:tc>
        <w:tc>
          <w:tcPr>
            <w:tcW w:w="623" w:type="pct"/>
            <w:vMerge w:val="restart"/>
            <w:shd w:val="clear" w:color="000000" w:fill="005DAA"/>
            <w:vAlign w:val="center"/>
            <w:hideMark/>
          </w:tcPr>
          <w:p w:rsidR="00523B88" w:rsidRPr="00AC65BC" w:rsidRDefault="00523B88" w:rsidP="003D0BE3">
            <w:pPr>
              <w:keepNext/>
              <w:keepLines/>
              <w:spacing w:after="0"/>
              <w:jc w:val="center"/>
              <w:rPr>
                <w:rFonts w:ascii="Calibri" w:hAnsi="Calibri"/>
                <w:b/>
                <w:bCs/>
                <w:color w:val="FFFFFF"/>
              </w:rPr>
            </w:pPr>
            <w:r w:rsidRPr="00AC65BC">
              <w:rPr>
                <w:rFonts w:ascii="Calibri" w:hAnsi="Calibri"/>
                <w:b/>
                <w:bCs/>
                <w:color w:val="FFFFFF"/>
              </w:rPr>
              <w:t>Take</w:t>
            </w:r>
            <w:r w:rsidR="00527450">
              <w:rPr>
                <w:rFonts w:ascii="Calibri" w:hAnsi="Calibri"/>
                <w:b/>
                <w:bCs/>
                <w:color w:val="FFFFFF"/>
              </w:rPr>
              <w:t>-</w:t>
            </w:r>
            <w:r w:rsidRPr="00AC65BC">
              <w:rPr>
                <w:rFonts w:ascii="Calibri" w:hAnsi="Calibri"/>
                <w:b/>
                <w:bCs/>
                <w:color w:val="FFFFFF"/>
              </w:rPr>
              <w:t>back Reduction</w:t>
            </w:r>
            <w:r w:rsidR="0005204D">
              <w:rPr>
                <w:rFonts w:ascii="Calibri" w:hAnsi="Calibri"/>
                <w:b/>
                <w:bCs/>
                <w:color w:val="FFFFFF"/>
              </w:rPr>
              <w:t xml:space="preserve"> (kWh)</w:t>
            </w:r>
          </w:p>
        </w:tc>
        <w:tc>
          <w:tcPr>
            <w:tcW w:w="771" w:type="pct"/>
            <w:vMerge w:val="restart"/>
            <w:shd w:val="clear" w:color="000000" w:fill="005DAA"/>
            <w:vAlign w:val="center"/>
            <w:hideMark/>
          </w:tcPr>
          <w:p w:rsidR="00523B88" w:rsidRPr="00AC65BC" w:rsidRDefault="00523B88" w:rsidP="003D0BE3">
            <w:pPr>
              <w:keepNext/>
              <w:keepLines/>
              <w:spacing w:after="0"/>
              <w:jc w:val="center"/>
              <w:rPr>
                <w:rFonts w:ascii="Calibri" w:hAnsi="Calibri"/>
                <w:b/>
                <w:bCs/>
                <w:color w:val="FFFFFF"/>
              </w:rPr>
            </w:pPr>
            <w:r w:rsidRPr="00AC65BC">
              <w:rPr>
                <w:rFonts w:ascii="Calibri" w:hAnsi="Calibri"/>
                <w:b/>
                <w:bCs/>
                <w:color w:val="FFFFFF"/>
              </w:rPr>
              <w:t>Average Replacement</w:t>
            </w:r>
            <w:r w:rsidR="0005204D">
              <w:rPr>
                <w:rFonts w:ascii="Calibri" w:hAnsi="Calibri"/>
                <w:b/>
                <w:bCs/>
                <w:color w:val="FFFFFF"/>
              </w:rPr>
              <w:t xml:space="preserve"> (kWh)</w:t>
            </w:r>
          </w:p>
        </w:tc>
      </w:tr>
      <w:tr w:rsidR="00293449" w:rsidRPr="00AC65BC" w:rsidTr="00216CA2">
        <w:trPr>
          <w:trHeight w:val="281"/>
          <w:jc w:val="center"/>
        </w:trPr>
        <w:tc>
          <w:tcPr>
            <w:tcW w:w="2063" w:type="pct"/>
            <w:vMerge/>
            <w:vAlign w:val="center"/>
            <w:hideMark/>
          </w:tcPr>
          <w:p w:rsidR="00523B88" w:rsidRPr="00AC65BC" w:rsidRDefault="00523B88" w:rsidP="003D0BE3">
            <w:pPr>
              <w:keepNext/>
              <w:keepLines/>
              <w:spacing w:after="0"/>
              <w:rPr>
                <w:rFonts w:ascii="Calibri" w:hAnsi="Calibri"/>
                <w:b/>
                <w:bCs/>
                <w:color w:val="FFFFFF"/>
                <w:sz w:val="20"/>
                <w:szCs w:val="20"/>
              </w:rPr>
            </w:pPr>
          </w:p>
        </w:tc>
        <w:tc>
          <w:tcPr>
            <w:tcW w:w="771" w:type="pct"/>
            <w:vMerge/>
            <w:vAlign w:val="center"/>
            <w:hideMark/>
          </w:tcPr>
          <w:p w:rsidR="00523B88" w:rsidRPr="00AC65BC" w:rsidRDefault="00523B88" w:rsidP="003D0BE3">
            <w:pPr>
              <w:keepNext/>
              <w:keepLines/>
              <w:spacing w:after="0"/>
              <w:rPr>
                <w:rFonts w:ascii="Calibri" w:hAnsi="Calibri"/>
                <w:b/>
                <w:bCs/>
                <w:color w:val="FFFFFF"/>
                <w:sz w:val="20"/>
                <w:szCs w:val="20"/>
              </w:rPr>
            </w:pPr>
          </w:p>
        </w:tc>
        <w:tc>
          <w:tcPr>
            <w:tcW w:w="771" w:type="pct"/>
            <w:vMerge/>
            <w:vAlign w:val="center"/>
            <w:hideMark/>
          </w:tcPr>
          <w:p w:rsidR="00523B88" w:rsidRPr="00AC65BC" w:rsidRDefault="00523B88" w:rsidP="003D0BE3">
            <w:pPr>
              <w:keepNext/>
              <w:keepLines/>
              <w:spacing w:after="0"/>
              <w:rPr>
                <w:rFonts w:ascii="Calibri" w:hAnsi="Calibri"/>
                <w:b/>
                <w:bCs/>
                <w:color w:val="FFFFFF"/>
                <w:sz w:val="20"/>
                <w:szCs w:val="20"/>
              </w:rPr>
            </w:pPr>
          </w:p>
        </w:tc>
        <w:tc>
          <w:tcPr>
            <w:tcW w:w="623" w:type="pct"/>
            <w:vMerge/>
            <w:vAlign w:val="center"/>
            <w:hideMark/>
          </w:tcPr>
          <w:p w:rsidR="00523B88" w:rsidRPr="00AC65BC" w:rsidRDefault="00523B88" w:rsidP="003D0BE3">
            <w:pPr>
              <w:keepNext/>
              <w:keepLines/>
              <w:spacing w:after="0"/>
              <w:rPr>
                <w:rFonts w:ascii="Calibri" w:hAnsi="Calibri"/>
                <w:b/>
                <w:bCs/>
                <w:color w:val="FFFFFF"/>
                <w:sz w:val="20"/>
                <w:szCs w:val="20"/>
              </w:rPr>
            </w:pPr>
          </w:p>
        </w:tc>
        <w:tc>
          <w:tcPr>
            <w:tcW w:w="771" w:type="pct"/>
            <w:vMerge/>
            <w:vAlign w:val="center"/>
            <w:hideMark/>
          </w:tcPr>
          <w:p w:rsidR="00523B88" w:rsidRPr="00AC65BC" w:rsidRDefault="00523B88" w:rsidP="003D0BE3">
            <w:pPr>
              <w:keepNext/>
              <w:keepLines/>
              <w:spacing w:after="0"/>
              <w:rPr>
                <w:rFonts w:ascii="Calibri" w:hAnsi="Calibri"/>
                <w:b/>
                <w:bCs/>
                <w:color w:val="FFFFFF"/>
                <w:sz w:val="20"/>
                <w:szCs w:val="20"/>
              </w:rPr>
            </w:pPr>
          </w:p>
        </w:tc>
      </w:tr>
      <w:tr w:rsidR="00293449" w:rsidRPr="00AC65BC" w:rsidTr="00216CA2">
        <w:trPr>
          <w:jc w:val="center"/>
        </w:trPr>
        <w:tc>
          <w:tcPr>
            <w:tcW w:w="2063" w:type="pct"/>
            <w:shd w:val="clear" w:color="auto" w:fill="auto"/>
            <w:vAlign w:val="center"/>
            <w:hideMark/>
          </w:tcPr>
          <w:p w:rsidR="00523B88" w:rsidRPr="00AC65BC" w:rsidRDefault="00523B88" w:rsidP="009011B9">
            <w:pPr>
              <w:keepNext/>
              <w:keepLines/>
              <w:spacing w:after="0"/>
              <w:rPr>
                <w:rFonts w:ascii="Calibri" w:hAnsi="Calibri"/>
                <w:color w:val="000000"/>
                <w:sz w:val="20"/>
                <w:szCs w:val="20"/>
              </w:rPr>
            </w:pPr>
            <w:r w:rsidRPr="00AC65BC">
              <w:rPr>
                <w:rFonts w:ascii="Calibri" w:hAnsi="Calibri"/>
                <w:color w:val="000000"/>
                <w:sz w:val="20"/>
                <w:szCs w:val="20"/>
              </w:rPr>
              <w:t>Connecticut Program Savings Document, 2013</w:t>
            </w:r>
          </w:p>
        </w:tc>
        <w:tc>
          <w:tcPr>
            <w:tcW w:w="771" w:type="pct"/>
            <w:shd w:val="clear" w:color="auto" w:fill="auto"/>
            <w:vAlign w:val="center"/>
            <w:hideMark/>
          </w:tcPr>
          <w:p w:rsidR="00523B88" w:rsidRPr="00AC65BC" w:rsidRDefault="00523B88" w:rsidP="003D0BE3">
            <w:pPr>
              <w:keepNext/>
              <w:keepLines/>
              <w:spacing w:after="0"/>
              <w:jc w:val="right"/>
              <w:rPr>
                <w:rFonts w:ascii="Calibri" w:hAnsi="Calibri"/>
                <w:color w:val="000000"/>
                <w:sz w:val="20"/>
                <w:szCs w:val="20"/>
              </w:rPr>
            </w:pPr>
            <w:r w:rsidRPr="00AC65BC">
              <w:rPr>
                <w:rFonts w:ascii="Calibri" w:hAnsi="Calibri"/>
                <w:color w:val="000000"/>
                <w:sz w:val="20"/>
                <w:szCs w:val="20"/>
              </w:rPr>
              <w:t>3,091</w:t>
            </w:r>
          </w:p>
        </w:tc>
        <w:tc>
          <w:tcPr>
            <w:tcW w:w="771" w:type="pct"/>
            <w:shd w:val="clear" w:color="auto" w:fill="auto"/>
            <w:vAlign w:val="center"/>
            <w:hideMark/>
          </w:tcPr>
          <w:p w:rsidR="00523B88" w:rsidRPr="00AC65BC" w:rsidRDefault="004F2373" w:rsidP="003D0BE3">
            <w:pPr>
              <w:keepNext/>
              <w:keepLines/>
              <w:spacing w:after="0"/>
              <w:jc w:val="right"/>
              <w:rPr>
                <w:rFonts w:ascii="Calibri" w:hAnsi="Calibri"/>
                <w:color w:val="000000"/>
                <w:sz w:val="20"/>
                <w:szCs w:val="20"/>
              </w:rPr>
            </w:pPr>
            <w:r>
              <w:rPr>
                <w:rFonts w:ascii="Calibri" w:hAnsi="Calibri"/>
                <w:color w:val="000000"/>
                <w:sz w:val="20"/>
                <w:szCs w:val="20"/>
              </w:rPr>
              <w:t>438</w:t>
            </w:r>
          </w:p>
        </w:tc>
        <w:tc>
          <w:tcPr>
            <w:tcW w:w="623" w:type="pct"/>
            <w:shd w:val="clear" w:color="auto" w:fill="auto"/>
            <w:vAlign w:val="center"/>
            <w:hideMark/>
          </w:tcPr>
          <w:p w:rsidR="00523B88" w:rsidRPr="00AC65BC" w:rsidRDefault="00523B88" w:rsidP="003D0BE3">
            <w:pPr>
              <w:keepNext/>
              <w:keepLines/>
              <w:spacing w:after="0"/>
              <w:jc w:val="right"/>
              <w:rPr>
                <w:rFonts w:ascii="Calibri" w:hAnsi="Calibri"/>
                <w:color w:val="000000"/>
                <w:sz w:val="20"/>
                <w:szCs w:val="20"/>
              </w:rPr>
            </w:pPr>
            <w:r w:rsidRPr="00AC65BC">
              <w:rPr>
                <w:rFonts w:ascii="Calibri" w:hAnsi="Calibri"/>
                <w:color w:val="000000"/>
                <w:sz w:val="20"/>
                <w:szCs w:val="20"/>
              </w:rPr>
              <w:t> </w:t>
            </w:r>
          </w:p>
        </w:tc>
        <w:tc>
          <w:tcPr>
            <w:tcW w:w="771" w:type="pct"/>
            <w:shd w:val="clear" w:color="auto" w:fill="auto"/>
            <w:vAlign w:val="center"/>
            <w:hideMark/>
          </w:tcPr>
          <w:p w:rsidR="00523B88" w:rsidRPr="00AC65BC" w:rsidRDefault="004F2373" w:rsidP="003D0BE3">
            <w:pPr>
              <w:keepNext/>
              <w:keepLines/>
              <w:spacing w:after="0"/>
              <w:jc w:val="right"/>
              <w:rPr>
                <w:rFonts w:ascii="Calibri" w:hAnsi="Calibri"/>
                <w:color w:val="000000"/>
                <w:sz w:val="20"/>
                <w:szCs w:val="20"/>
              </w:rPr>
            </w:pPr>
            <w:r>
              <w:rPr>
                <w:rFonts w:ascii="Calibri" w:hAnsi="Calibri"/>
                <w:color w:val="000000"/>
                <w:sz w:val="20"/>
                <w:szCs w:val="20"/>
              </w:rPr>
              <w:t>2,050</w:t>
            </w:r>
          </w:p>
        </w:tc>
      </w:tr>
      <w:tr w:rsidR="00293449" w:rsidRPr="00AC65BC" w:rsidTr="00216CA2">
        <w:trPr>
          <w:jc w:val="center"/>
        </w:trPr>
        <w:tc>
          <w:tcPr>
            <w:tcW w:w="2063" w:type="pct"/>
            <w:shd w:val="clear" w:color="auto" w:fill="auto"/>
            <w:vAlign w:val="center"/>
            <w:hideMark/>
          </w:tcPr>
          <w:p w:rsidR="00523B88" w:rsidRPr="00AC65BC" w:rsidRDefault="00523B88" w:rsidP="003D0BE3">
            <w:pPr>
              <w:keepNext/>
              <w:keepLines/>
              <w:spacing w:after="0"/>
              <w:rPr>
                <w:rFonts w:ascii="Calibri" w:hAnsi="Calibri"/>
                <w:color w:val="000000"/>
                <w:sz w:val="20"/>
                <w:szCs w:val="20"/>
              </w:rPr>
            </w:pPr>
            <w:r w:rsidRPr="00AC65BC">
              <w:rPr>
                <w:rFonts w:ascii="Calibri" w:hAnsi="Calibri"/>
                <w:color w:val="000000"/>
                <w:sz w:val="20"/>
                <w:szCs w:val="20"/>
              </w:rPr>
              <w:t>Connecticut Program Savings Document, 2011</w:t>
            </w:r>
          </w:p>
        </w:tc>
        <w:tc>
          <w:tcPr>
            <w:tcW w:w="771" w:type="pct"/>
            <w:shd w:val="clear" w:color="auto" w:fill="auto"/>
            <w:vAlign w:val="center"/>
            <w:hideMark/>
          </w:tcPr>
          <w:p w:rsidR="00523B88" w:rsidRPr="00AC65BC" w:rsidRDefault="00523B88" w:rsidP="003D0BE3">
            <w:pPr>
              <w:keepNext/>
              <w:keepLines/>
              <w:spacing w:after="0"/>
              <w:jc w:val="right"/>
              <w:rPr>
                <w:rFonts w:ascii="Calibri" w:hAnsi="Calibri"/>
                <w:color w:val="000000"/>
                <w:sz w:val="20"/>
                <w:szCs w:val="20"/>
              </w:rPr>
            </w:pPr>
            <w:r w:rsidRPr="00AC65BC">
              <w:rPr>
                <w:rFonts w:ascii="Calibri" w:hAnsi="Calibri"/>
                <w:color w:val="000000"/>
                <w:sz w:val="20"/>
                <w:szCs w:val="20"/>
              </w:rPr>
              <w:t>3,091</w:t>
            </w:r>
          </w:p>
        </w:tc>
        <w:tc>
          <w:tcPr>
            <w:tcW w:w="771" w:type="pct"/>
            <w:shd w:val="clear" w:color="auto" w:fill="auto"/>
            <w:vAlign w:val="center"/>
            <w:hideMark/>
          </w:tcPr>
          <w:p w:rsidR="00523B88" w:rsidRPr="00AC65BC" w:rsidRDefault="004F2373" w:rsidP="003D0BE3">
            <w:pPr>
              <w:keepNext/>
              <w:keepLines/>
              <w:spacing w:after="0"/>
              <w:jc w:val="right"/>
              <w:rPr>
                <w:rFonts w:ascii="Calibri" w:hAnsi="Calibri"/>
                <w:color w:val="000000"/>
                <w:sz w:val="20"/>
                <w:szCs w:val="20"/>
              </w:rPr>
            </w:pPr>
            <w:r>
              <w:rPr>
                <w:rFonts w:ascii="Calibri" w:hAnsi="Calibri"/>
                <w:color w:val="000000"/>
                <w:sz w:val="20"/>
                <w:szCs w:val="20"/>
              </w:rPr>
              <w:t>438</w:t>
            </w:r>
          </w:p>
        </w:tc>
        <w:tc>
          <w:tcPr>
            <w:tcW w:w="623" w:type="pct"/>
            <w:shd w:val="clear" w:color="auto" w:fill="auto"/>
            <w:vAlign w:val="center"/>
            <w:hideMark/>
          </w:tcPr>
          <w:p w:rsidR="00523B88" w:rsidRPr="00AC65BC" w:rsidRDefault="00523B88" w:rsidP="003D0BE3">
            <w:pPr>
              <w:keepNext/>
              <w:keepLines/>
              <w:spacing w:after="0"/>
              <w:jc w:val="right"/>
              <w:rPr>
                <w:rFonts w:ascii="Calibri" w:hAnsi="Calibri"/>
                <w:color w:val="000000"/>
                <w:sz w:val="20"/>
                <w:szCs w:val="20"/>
              </w:rPr>
            </w:pPr>
            <w:r w:rsidRPr="00AC65BC">
              <w:rPr>
                <w:rFonts w:ascii="Calibri" w:hAnsi="Calibri"/>
                <w:color w:val="000000"/>
                <w:sz w:val="20"/>
                <w:szCs w:val="20"/>
              </w:rPr>
              <w:t> </w:t>
            </w:r>
          </w:p>
        </w:tc>
        <w:tc>
          <w:tcPr>
            <w:tcW w:w="771" w:type="pct"/>
            <w:shd w:val="clear" w:color="auto" w:fill="auto"/>
            <w:vAlign w:val="center"/>
            <w:hideMark/>
          </w:tcPr>
          <w:p w:rsidR="00523B88" w:rsidRPr="00AC65BC" w:rsidRDefault="004F2373" w:rsidP="003D0BE3">
            <w:pPr>
              <w:keepNext/>
              <w:keepLines/>
              <w:spacing w:after="0"/>
              <w:jc w:val="right"/>
              <w:rPr>
                <w:rFonts w:ascii="Calibri" w:hAnsi="Calibri"/>
                <w:color w:val="000000"/>
                <w:sz w:val="20"/>
                <w:szCs w:val="20"/>
              </w:rPr>
            </w:pPr>
            <w:r>
              <w:rPr>
                <w:rFonts w:ascii="Calibri" w:hAnsi="Calibri"/>
                <w:color w:val="000000"/>
                <w:sz w:val="20"/>
                <w:szCs w:val="20"/>
              </w:rPr>
              <w:t>2,050</w:t>
            </w:r>
          </w:p>
        </w:tc>
      </w:tr>
      <w:tr w:rsidR="00293449" w:rsidRPr="00AC65BC" w:rsidTr="00216CA2">
        <w:trPr>
          <w:jc w:val="center"/>
        </w:trPr>
        <w:tc>
          <w:tcPr>
            <w:tcW w:w="2063" w:type="pct"/>
            <w:shd w:val="clear" w:color="auto" w:fill="auto"/>
            <w:vAlign w:val="center"/>
            <w:hideMark/>
          </w:tcPr>
          <w:p w:rsidR="00523B88" w:rsidRPr="00AC65BC" w:rsidRDefault="00523B88" w:rsidP="003D0BE3">
            <w:pPr>
              <w:keepNext/>
              <w:keepLines/>
              <w:spacing w:after="0"/>
              <w:rPr>
                <w:rFonts w:ascii="Calibri" w:hAnsi="Calibri"/>
                <w:color w:val="000000"/>
                <w:sz w:val="20"/>
                <w:szCs w:val="20"/>
              </w:rPr>
            </w:pPr>
            <w:r w:rsidRPr="00AC65BC">
              <w:rPr>
                <w:rFonts w:ascii="Calibri" w:hAnsi="Calibri"/>
                <w:color w:val="000000"/>
                <w:sz w:val="20"/>
                <w:szCs w:val="20"/>
              </w:rPr>
              <w:t>Massachusetts Home Energy Services Impact Evaluation</w:t>
            </w:r>
          </w:p>
        </w:tc>
        <w:tc>
          <w:tcPr>
            <w:tcW w:w="771" w:type="pct"/>
            <w:shd w:val="clear" w:color="auto" w:fill="auto"/>
            <w:vAlign w:val="center"/>
            <w:hideMark/>
          </w:tcPr>
          <w:p w:rsidR="00523B88" w:rsidRPr="00AC65BC" w:rsidRDefault="00523B88" w:rsidP="003D0BE3">
            <w:pPr>
              <w:keepNext/>
              <w:keepLines/>
              <w:spacing w:after="0"/>
              <w:jc w:val="right"/>
              <w:rPr>
                <w:rFonts w:ascii="Calibri" w:hAnsi="Calibri"/>
                <w:color w:val="000000"/>
                <w:sz w:val="20"/>
                <w:szCs w:val="20"/>
              </w:rPr>
            </w:pPr>
            <w:r w:rsidRPr="00AC65BC">
              <w:rPr>
                <w:rFonts w:ascii="Calibri" w:hAnsi="Calibri"/>
                <w:color w:val="000000"/>
                <w:sz w:val="20"/>
                <w:szCs w:val="20"/>
              </w:rPr>
              <w:t> </w:t>
            </w:r>
          </w:p>
        </w:tc>
        <w:tc>
          <w:tcPr>
            <w:tcW w:w="771" w:type="pct"/>
            <w:shd w:val="clear" w:color="auto" w:fill="auto"/>
            <w:vAlign w:val="center"/>
            <w:hideMark/>
          </w:tcPr>
          <w:p w:rsidR="00523B88" w:rsidRPr="00AC65BC" w:rsidRDefault="004F2373" w:rsidP="003D0BE3">
            <w:pPr>
              <w:keepNext/>
              <w:keepLines/>
              <w:spacing w:after="0"/>
              <w:jc w:val="right"/>
              <w:rPr>
                <w:rFonts w:ascii="Calibri" w:hAnsi="Calibri"/>
                <w:color w:val="000000"/>
                <w:sz w:val="20"/>
                <w:szCs w:val="20"/>
              </w:rPr>
            </w:pPr>
            <w:r>
              <w:rPr>
                <w:rFonts w:ascii="Calibri" w:hAnsi="Calibri"/>
                <w:color w:val="000000"/>
                <w:sz w:val="20"/>
                <w:szCs w:val="20"/>
              </w:rPr>
              <w:t>535</w:t>
            </w:r>
          </w:p>
        </w:tc>
        <w:tc>
          <w:tcPr>
            <w:tcW w:w="623" w:type="pct"/>
            <w:shd w:val="clear" w:color="auto" w:fill="auto"/>
            <w:vAlign w:val="center"/>
            <w:hideMark/>
          </w:tcPr>
          <w:p w:rsidR="00523B88" w:rsidRPr="00AC65BC" w:rsidRDefault="00523B88" w:rsidP="003D0BE3">
            <w:pPr>
              <w:keepNext/>
              <w:keepLines/>
              <w:spacing w:after="0"/>
              <w:jc w:val="right"/>
              <w:rPr>
                <w:rFonts w:ascii="Calibri" w:hAnsi="Calibri"/>
                <w:color w:val="000000"/>
                <w:sz w:val="20"/>
                <w:szCs w:val="20"/>
              </w:rPr>
            </w:pPr>
            <w:r w:rsidRPr="00AC65BC">
              <w:rPr>
                <w:rFonts w:ascii="Calibri" w:hAnsi="Calibri"/>
                <w:color w:val="000000"/>
                <w:sz w:val="20"/>
                <w:szCs w:val="20"/>
              </w:rPr>
              <w:t> </w:t>
            </w:r>
          </w:p>
        </w:tc>
        <w:tc>
          <w:tcPr>
            <w:tcW w:w="771" w:type="pct"/>
            <w:shd w:val="clear" w:color="auto" w:fill="auto"/>
            <w:vAlign w:val="center"/>
            <w:hideMark/>
          </w:tcPr>
          <w:p w:rsidR="00523B88" w:rsidRPr="00AC65BC" w:rsidRDefault="004F2373" w:rsidP="003D0BE3">
            <w:pPr>
              <w:keepNext/>
              <w:keepLines/>
              <w:spacing w:after="0"/>
              <w:jc w:val="right"/>
              <w:rPr>
                <w:rFonts w:ascii="Calibri" w:hAnsi="Calibri"/>
                <w:color w:val="000000"/>
                <w:sz w:val="20"/>
                <w:szCs w:val="20"/>
              </w:rPr>
            </w:pPr>
            <w:r>
              <w:rPr>
                <w:rFonts w:ascii="Calibri" w:hAnsi="Calibri"/>
                <w:color w:val="000000"/>
                <w:sz w:val="20"/>
                <w:szCs w:val="20"/>
              </w:rPr>
              <w:t>535</w:t>
            </w:r>
          </w:p>
        </w:tc>
      </w:tr>
      <w:tr w:rsidR="00293449" w:rsidRPr="00AC65BC" w:rsidTr="00216CA2">
        <w:trPr>
          <w:jc w:val="center"/>
        </w:trPr>
        <w:tc>
          <w:tcPr>
            <w:tcW w:w="2063" w:type="pct"/>
            <w:shd w:val="clear" w:color="auto" w:fill="auto"/>
            <w:vAlign w:val="center"/>
            <w:hideMark/>
          </w:tcPr>
          <w:p w:rsidR="00523B88" w:rsidRPr="00AC65BC" w:rsidRDefault="00523B88" w:rsidP="003D0BE3">
            <w:pPr>
              <w:keepNext/>
              <w:keepLines/>
              <w:spacing w:after="0"/>
              <w:rPr>
                <w:rFonts w:ascii="Calibri" w:hAnsi="Calibri"/>
                <w:color w:val="000000"/>
                <w:sz w:val="20"/>
                <w:szCs w:val="20"/>
              </w:rPr>
            </w:pPr>
            <w:r w:rsidRPr="00AC65BC">
              <w:rPr>
                <w:rFonts w:ascii="Calibri" w:hAnsi="Calibri"/>
                <w:color w:val="000000"/>
                <w:sz w:val="20"/>
                <w:szCs w:val="20"/>
              </w:rPr>
              <w:t>Regional Technical Forum</w:t>
            </w:r>
          </w:p>
        </w:tc>
        <w:tc>
          <w:tcPr>
            <w:tcW w:w="771" w:type="pct"/>
            <w:shd w:val="clear" w:color="auto" w:fill="auto"/>
            <w:vAlign w:val="center"/>
            <w:hideMark/>
          </w:tcPr>
          <w:p w:rsidR="00523B88" w:rsidRPr="00AC65BC" w:rsidRDefault="004F2373" w:rsidP="003D0BE3">
            <w:pPr>
              <w:keepNext/>
              <w:keepLines/>
              <w:spacing w:after="0"/>
              <w:jc w:val="right"/>
              <w:rPr>
                <w:rFonts w:ascii="Calibri" w:hAnsi="Calibri"/>
                <w:color w:val="000000"/>
                <w:sz w:val="20"/>
                <w:szCs w:val="20"/>
              </w:rPr>
            </w:pPr>
            <w:r>
              <w:rPr>
                <w:rFonts w:ascii="Calibri" w:hAnsi="Calibri"/>
                <w:color w:val="000000"/>
                <w:sz w:val="20"/>
                <w:szCs w:val="20"/>
              </w:rPr>
              <w:t>2,926</w:t>
            </w:r>
          </w:p>
        </w:tc>
        <w:tc>
          <w:tcPr>
            <w:tcW w:w="771" w:type="pct"/>
            <w:shd w:val="clear" w:color="auto" w:fill="auto"/>
            <w:vAlign w:val="center"/>
            <w:hideMark/>
          </w:tcPr>
          <w:p w:rsidR="00523B88" w:rsidRPr="00AC65BC" w:rsidRDefault="00523B88" w:rsidP="003D0BE3">
            <w:pPr>
              <w:keepNext/>
              <w:keepLines/>
              <w:spacing w:after="0"/>
              <w:jc w:val="right"/>
              <w:rPr>
                <w:rFonts w:ascii="Calibri" w:hAnsi="Calibri"/>
                <w:color w:val="000000"/>
                <w:sz w:val="20"/>
                <w:szCs w:val="20"/>
              </w:rPr>
            </w:pPr>
            <w:r w:rsidRPr="00AC65BC">
              <w:rPr>
                <w:rFonts w:ascii="Calibri" w:hAnsi="Calibri"/>
                <w:color w:val="000000"/>
                <w:sz w:val="20"/>
                <w:szCs w:val="20"/>
              </w:rPr>
              <w:t> </w:t>
            </w:r>
          </w:p>
        </w:tc>
        <w:tc>
          <w:tcPr>
            <w:tcW w:w="623" w:type="pct"/>
            <w:shd w:val="clear" w:color="auto" w:fill="auto"/>
            <w:vAlign w:val="center"/>
            <w:hideMark/>
          </w:tcPr>
          <w:p w:rsidR="00523B88" w:rsidRPr="00AC65BC" w:rsidRDefault="00523B88" w:rsidP="003D0BE3">
            <w:pPr>
              <w:keepNext/>
              <w:keepLines/>
              <w:spacing w:after="0"/>
              <w:jc w:val="right"/>
              <w:rPr>
                <w:rFonts w:ascii="Calibri" w:hAnsi="Calibri"/>
                <w:color w:val="000000"/>
                <w:sz w:val="20"/>
                <w:szCs w:val="20"/>
              </w:rPr>
            </w:pPr>
            <w:r w:rsidRPr="00AC65BC">
              <w:rPr>
                <w:rFonts w:ascii="Calibri" w:hAnsi="Calibri"/>
                <w:color w:val="000000"/>
                <w:sz w:val="20"/>
                <w:szCs w:val="20"/>
              </w:rPr>
              <w:t> </w:t>
            </w:r>
          </w:p>
        </w:tc>
        <w:tc>
          <w:tcPr>
            <w:tcW w:w="771" w:type="pct"/>
            <w:shd w:val="clear" w:color="auto" w:fill="auto"/>
            <w:vAlign w:val="center"/>
            <w:hideMark/>
          </w:tcPr>
          <w:p w:rsidR="00523B88" w:rsidRPr="00AC65BC" w:rsidRDefault="004F2373" w:rsidP="003D0BE3">
            <w:pPr>
              <w:keepNext/>
              <w:keepLines/>
              <w:spacing w:after="0"/>
              <w:jc w:val="right"/>
              <w:rPr>
                <w:rFonts w:ascii="Calibri" w:hAnsi="Calibri"/>
                <w:color w:val="000000"/>
                <w:sz w:val="20"/>
                <w:szCs w:val="20"/>
              </w:rPr>
            </w:pPr>
            <w:r>
              <w:rPr>
                <w:rFonts w:ascii="Calibri" w:hAnsi="Calibri"/>
                <w:color w:val="000000"/>
                <w:sz w:val="20"/>
                <w:szCs w:val="20"/>
              </w:rPr>
              <w:t>2,926</w:t>
            </w:r>
          </w:p>
        </w:tc>
      </w:tr>
      <w:tr w:rsidR="003D0BE3" w:rsidRPr="00AC65BC" w:rsidTr="00216CA2">
        <w:trPr>
          <w:jc w:val="center"/>
        </w:trPr>
        <w:tc>
          <w:tcPr>
            <w:tcW w:w="2063" w:type="pct"/>
            <w:shd w:val="clear" w:color="auto" w:fill="auto"/>
            <w:vAlign w:val="center"/>
            <w:hideMark/>
          </w:tcPr>
          <w:p w:rsidR="003D0BE3" w:rsidRPr="00AC65BC" w:rsidRDefault="003D0BE3" w:rsidP="003D0BE3">
            <w:pPr>
              <w:keepNext/>
              <w:keepLines/>
              <w:spacing w:after="0"/>
              <w:rPr>
                <w:rFonts w:ascii="Calibri" w:hAnsi="Calibri"/>
                <w:color w:val="000000"/>
                <w:sz w:val="20"/>
                <w:szCs w:val="20"/>
              </w:rPr>
            </w:pPr>
            <w:r w:rsidRPr="00AC65BC">
              <w:rPr>
                <w:rFonts w:ascii="Calibri" w:hAnsi="Calibri"/>
                <w:color w:val="000000"/>
                <w:sz w:val="20"/>
                <w:szCs w:val="20"/>
              </w:rPr>
              <w:t>NEEA Report</w:t>
            </w:r>
          </w:p>
        </w:tc>
        <w:tc>
          <w:tcPr>
            <w:tcW w:w="771" w:type="pct"/>
            <w:shd w:val="clear" w:color="auto" w:fill="auto"/>
            <w:vAlign w:val="center"/>
            <w:hideMark/>
          </w:tcPr>
          <w:p w:rsidR="003D0BE3" w:rsidRPr="00AC65BC" w:rsidRDefault="003D0BE3" w:rsidP="003D0BE3">
            <w:pPr>
              <w:keepNext/>
              <w:keepLines/>
              <w:spacing w:after="0"/>
              <w:jc w:val="right"/>
              <w:rPr>
                <w:rFonts w:ascii="Calibri" w:hAnsi="Calibri"/>
                <w:color w:val="000000"/>
                <w:sz w:val="20"/>
                <w:szCs w:val="20"/>
              </w:rPr>
            </w:pPr>
            <w:r>
              <w:rPr>
                <w:rFonts w:ascii="Calibri" w:hAnsi="Calibri"/>
                <w:color w:val="000000"/>
                <w:sz w:val="20"/>
                <w:szCs w:val="20"/>
              </w:rPr>
              <w:t>3,120</w:t>
            </w:r>
          </w:p>
        </w:tc>
        <w:tc>
          <w:tcPr>
            <w:tcW w:w="771" w:type="pct"/>
            <w:shd w:val="clear" w:color="auto" w:fill="auto"/>
            <w:vAlign w:val="center"/>
            <w:hideMark/>
          </w:tcPr>
          <w:p w:rsidR="003D0BE3" w:rsidRPr="00AC65BC" w:rsidRDefault="003D0BE3" w:rsidP="003D0BE3">
            <w:pPr>
              <w:keepNext/>
              <w:keepLines/>
              <w:spacing w:after="0"/>
              <w:jc w:val="right"/>
              <w:rPr>
                <w:rFonts w:ascii="Calibri" w:hAnsi="Calibri"/>
                <w:color w:val="000000"/>
                <w:sz w:val="20"/>
                <w:szCs w:val="20"/>
              </w:rPr>
            </w:pPr>
            <w:r w:rsidRPr="00AC65BC">
              <w:rPr>
                <w:rFonts w:ascii="Calibri" w:hAnsi="Calibri"/>
                <w:color w:val="000000"/>
                <w:sz w:val="20"/>
                <w:szCs w:val="20"/>
              </w:rPr>
              <w:t> </w:t>
            </w:r>
          </w:p>
        </w:tc>
        <w:tc>
          <w:tcPr>
            <w:tcW w:w="623" w:type="pct"/>
            <w:shd w:val="clear" w:color="auto" w:fill="auto"/>
            <w:vAlign w:val="center"/>
            <w:hideMark/>
          </w:tcPr>
          <w:p w:rsidR="003D0BE3" w:rsidRPr="00AC65BC" w:rsidRDefault="003D0BE3" w:rsidP="003D0BE3">
            <w:pPr>
              <w:keepNext/>
              <w:keepLines/>
              <w:spacing w:after="0"/>
              <w:jc w:val="right"/>
              <w:rPr>
                <w:rFonts w:ascii="Calibri" w:hAnsi="Calibri"/>
                <w:color w:val="000000"/>
                <w:sz w:val="20"/>
                <w:szCs w:val="20"/>
              </w:rPr>
            </w:pPr>
            <w:r>
              <w:rPr>
                <w:rFonts w:ascii="Calibri" w:hAnsi="Calibri"/>
                <w:color w:val="000000"/>
                <w:sz w:val="20"/>
                <w:szCs w:val="20"/>
              </w:rPr>
              <w:t>1,014</w:t>
            </w:r>
          </w:p>
        </w:tc>
        <w:tc>
          <w:tcPr>
            <w:tcW w:w="771" w:type="pct"/>
            <w:shd w:val="clear" w:color="auto" w:fill="auto"/>
            <w:vAlign w:val="center"/>
            <w:hideMark/>
          </w:tcPr>
          <w:p w:rsidR="003D0BE3" w:rsidRPr="00AC65BC" w:rsidRDefault="003D0BE3" w:rsidP="003D0BE3">
            <w:pPr>
              <w:keepNext/>
              <w:keepLines/>
              <w:spacing w:after="0"/>
              <w:jc w:val="right"/>
              <w:rPr>
                <w:rFonts w:ascii="Calibri" w:hAnsi="Calibri"/>
                <w:color w:val="000000"/>
                <w:sz w:val="20"/>
                <w:szCs w:val="20"/>
              </w:rPr>
            </w:pPr>
            <w:r>
              <w:rPr>
                <w:rFonts w:ascii="Calibri" w:hAnsi="Calibri"/>
                <w:color w:val="000000"/>
                <w:sz w:val="20"/>
                <w:szCs w:val="20"/>
              </w:rPr>
              <w:t>2,106</w:t>
            </w:r>
          </w:p>
        </w:tc>
      </w:tr>
      <w:tr w:rsidR="00D31B95" w:rsidRPr="00AC65BC" w:rsidTr="007439A4">
        <w:trPr>
          <w:jc w:val="center"/>
        </w:trPr>
        <w:tc>
          <w:tcPr>
            <w:tcW w:w="2063" w:type="pct"/>
            <w:shd w:val="clear" w:color="auto" w:fill="auto"/>
            <w:vAlign w:val="center"/>
            <w:hideMark/>
          </w:tcPr>
          <w:p w:rsidR="00D31B95" w:rsidRPr="00AC65BC" w:rsidRDefault="00D31B95" w:rsidP="00D31B95">
            <w:pPr>
              <w:keepNext/>
              <w:keepLines/>
              <w:spacing w:after="0"/>
              <w:rPr>
                <w:rFonts w:ascii="Calibri" w:hAnsi="Calibri"/>
                <w:color w:val="000000"/>
                <w:sz w:val="20"/>
                <w:szCs w:val="20"/>
              </w:rPr>
            </w:pPr>
            <w:r>
              <w:rPr>
                <w:rFonts w:ascii="Calibri" w:hAnsi="Calibri"/>
                <w:color w:val="000000"/>
                <w:sz w:val="20"/>
                <w:szCs w:val="20"/>
              </w:rPr>
              <w:t>BPA – Ductless Heat Pump Retrofits Study  – unit savings, average of two MF complexes</w:t>
            </w:r>
          </w:p>
        </w:tc>
        <w:tc>
          <w:tcPr>
            <w:tcW w:w="771" w:type="pct"/>
            <w:shd w:val="clear" w:color="auto" w:fill="auto"/>
            <w:vAlign w:val="center"/>
            <w:hideMark/>
          </w:tcPr>
          <w:p w:rsidR="00D31B95" w:rsidRPr="00AC65BC" w:rsidRDefault="0005204D" w:rsidP="007439A4">
            <w:pPr>
              <w:keepNext/>
              <w:keepLines/>
              <w:spacing w:after="0"/>
              <w:jc w:val="right"/>
              <w:rPr>
                <w:rFonts w:ascii="Calibri" w:hAnsi="Calibri"/>
                <w:color w:val="000000"/>
                <w:sz w:val="20"/>
                <w:szCs w:val="20"/>
              </w:rPr>
            </w:pPr>
            <w:r>
              <w:rPr>
                <w:rFonts w:ascii="Calibri" w:hAnsi="Calibri"/>
                <w:color w:val="000000"/>
                <w:sz w:val="20"/>
                <w:szCs w:val="20"/>
              </w:rPr>
              <w:t>1,368</w:t>
            </w:r>
          </w:p>
        </w:tc>
        <w:tc>
          <w:tcPr>
            <w:tcW w:w="771" w:type="pct"/>
            <w:shd w:val="clear" w:color="auto" w:fill="auto"/>
            <w:vAlign w:val="center"/>
            <w:hideMark/>
          </w:tcPr>
          <w:p w:rsidR="00D31B95" w:rsidRPr="00AC65BC" w:rsidRDefault="00D31B95" w:rsidP="007439A4">
            <w:pPr>
              <w:keepNext/>
              <w:keepLines/>
              <w:spacing w:after="0"/>
              <w:jc w:val="right"/>
              <w:rPr>
                <w:rFonts w:ascii="Calibri" w:hAnsi="Calibri"/>
                <w:color w:val="000000"/>
                <w:sz w:val="20"/>
                <w:szCs w:val="20"/>
              </w:rPr>
            </w:pPr>
            <w:r w:rsidRPr="00AC65BC">
              <w:rPr>
                <w:rFonts w:ascii="Calibri" w:hAnsi="Calibri"/>
                <w:color w:val="000000"/>
                <w:sz w:val="20"/>
                <w:szCs w:val="20"/>
              </w:rPr>
              <w:t> </w:t>
            </w:r>
          </w:p>
        </w:tc>
        <w:tc>
          <w:tcPr>
            <w:tcW w:w="623" w:type="pct"/>
            <w:shd w:val="clear" w:color="auto" w:fill="auto"/>
            <w:vAlign w:val="center"/>
          </w:tcPr>
          <w:p w:rsidR="00D31B95" w:rsidRPr="00AC65BC" w:rsidRDefault="0005204D" w:rsidP="007439A4">
            <w:pPr>
              <w:keepNext/>
              <w:keepLines/>
              <w:spacing w:after="0"/>
              <w:jc w:val="right"/>
              <w:rPr>
                <w:rFonts w:ascii="Calibri" w:hAnsi="Calibri"/>
                <w:color w:val="000000"/>
                <w:sz w:val="20"/>
                <w:szCs w:val="20"/>
              </w:rPr>
            </w:pPr>
            <w:r>
              <w:rPr>
                <w:rFonts w:ascii="Calibri" w:hAnsi="Calibri"/>
                <w:color w:val="000000"/>
                <w:sz w:val="20"/>
                <w:szCs w:val="20"/>
              </w:rPr>
              <w:t>544</w:t>
            </w:r>
          </w:p>
        </w:tc>
        <w:tc>
          <w:tcPr>
            <w:tcW w:w="771" w:type="pct"/>
            <w:shd w:val="clear" w:color="auto" w:fill="auto"/>
            <w:vAlign w:val="center"/>
          </w:tcPr>
          <w:p w:rsidR="00D31B95" w:rsidRPr="00AC65BC" w:rsidRDefault="0005204D" w:rsidP="007439A4">
            <w:pPr>
              <w:keepNext/>
              <w:keepLines/>
              <w:spacing w:after="0"/>
              <w:jc w:val="right"/>
              <w:rPr>
                <w:rFonts w:ascii="Calibri" w:hAnsi="Calibri"/>
                <w:color w:val="000000"/>
                <w:sz w:val="20"/>
                <w:szCs w:val="20"/>
              </w:rPr>
            </w:pPr>
            <w:r>
              <w:rPr>
                <w:rFonts w:ascii="Calibri" w:hAnsi="Calibri"/>
                <w:color w:val="000000"/>
                <w:sz w:val="20"/>
                <w:szCs w:val="20"/>
              </w:rPr>
              <w:t>824</w:t>
            </w:r>
          </w:p>
        </w:tc>
      </w:tr>
      <w:tr w:rsidR="004F2373" w:rsidRPr="00AC65BC" w:rsidTr="00216CA2">
        <w:trPr>
          <w:jc w:val="center"/>
        </w:trPr>
        <w:tc>
          <w:tcPr>
            <w:tcW w:w="2063" w:type="pct"/>
            <w:shd w:val="clear" w:color="auto" w:fill="auto"/>
            <w:vAlign w:val="center"/>
            <w:hideMark/>
          </w:tcPr>
          <w:p w:rsidR="004F2373" w:rsidRPr="00AC65BC" w:rsidRDefault="00D31B95" w:rsidP="004A6E91">
            <w:pPr>
              <w:keepNext/>
              <w:keepLines/>
              <w:spacing w:after="0"/>
              <w:rPr>
                <w:rFonts w:ascii="Calibri" w:hAnsi="Calibri"/>
                <w:color w:val="000000"/>
                <w:sz w:val="20"/>
                <w:szCs w:val="20"/>
              </w:rPr>
            </w:pPr>
            <w:r>
              <w:rPr>
                <w:rFonts w:ascii="Calibri" w:hAnsi="Calibri"/>
                <w:color w:val="000000"/>
                <w:sz w:val="20"/>
                <w:szCs w:val="20"/>
              </w:rPr>
              <w:t>KEMA Ductless Mini Pilot Study</w:t>
            </w:r>
          </w:p>
        </w:tc>
        <w:tc>
          <w:tcPr>
            <w:tcW w:w="771" w:type="pct"/>
            <w:shd w:val="clear" w:color="auto" w:fill="auto"/>
            <w:vAlign w:val="center"/>
            <w:hideMark/>
          </w:tcPr>
          <w:p w:rsidR="004F2373" w:rsidRPr="00AC65BC" w:rsidRDefault="00D31B95" w:rsidP="00D31B95">
            <w:pPr>
              <w:keepNext/>
              <w:keepLines/>
              <w:spacing w:after="0"/>
              <w:jc w:val="right"/>
              <w:rPr>
                <w:rFonts w:ascii="Calibri" w:hAnsi="Calibri"/>
                <w:color w:val="000000"/>
                <w:sz w:val="20"/>
                <w:szCs w:val="20"/>
              </w:rPr>
            </w:pPr>
            <w:r>
              <w:rPr>
                <w:rFonts w:ascii="Calibri" w:hAnsi="Calibri"/>
                <w:color w:val="000000"/>
                <w:sz w:val="20"/>
                <w:szCs w:val="20"/>
              </w:rPr>
              <w:t>2,329 to 2,764</w:t>
            </w:r>
          </w:p>
        </w:tc>
        <w:tc>
          <w:tcPr>
            <w:tcW w:w="771" w:type="pct"/>
            <w:shd w:val="clear" w:color="auto" w:fill="auto"/>
            <w:vAlign w:val="center"/>
            <w:hideMark/>
          </w:tcPr>
          <w:p w:rsidR="004F2373" w:rsidRPr="00AC65BC" w:rsidRDefault="004F2373" w:rsidP="003D0BE3">
            <w:pPr>
              <w:keepNext/>
              <w:keepLines/>
              <w:spacing w:after="0"/>
              <w:jc w:val="right"/>
              <w:rPr>
                <w:rFonts w:ascii="Calibri" w:hAnsi="Calibri"/>
                <w:color w:val="000000"/>
                <w:sz w:val="20"/>
                <w:szCs w:val="20"/>
              </w:rPr>
            </w:pPr>
            <w:r w:rsidRPr="00AC65BC">
              <w:rPr>
                <w:rFonts w:ascii="Calibri" w:hAnsi="Calibri"/>
                <w:color w:val="000000"/>
                <w:sz w:val="20"/>
                <w:szCs w:val="20"/>
              </w:rPr>
              <w:t> </w:t>
            </w:r>
          </w:p>
        </w:tc>
        <w:tc>
          <w:tcPr>
            <w:tcW w:w="623" w:type="pct"/>
            <w:shd w:val="clear" w:color="auto" w:fill="auto"/>
            <w:vAlign w:val="center"/>
          </w:tcPr>
          <w:p w:rsidR="004F2373" w:rsidRPr="00AC65BC" w:rsidRDefault="004F2373" w:rsidP="003D0BE3">
            <w:pPr>
              <w:keepNext/>
              <w:keepLines/>
              <w:spacing w:after="0"/>
              <w:jc w:val="right"/>
              <w:rPr>
                <w:rFonts w:ascii="Calibri" w:hAnsi="Calibri"/>
                <w:color w:val="000000"/>
                <w:sz w:val="20"/>
                <w:szCs w:val="20"/>
              </w:rPr>
            </w:pPr>
          </w:p>
        </w:tc>
        <w:tc>
          <w:tcPr>
            <w:tcW w:w="771" w:type="pct"/>
            <w:shd w:val="clear" w:color="auto" w:fill="auto"/>
            <w:vAlign w:val="center"/>
          </w:tcPr>
          <w:p w:rsidR="004F2373" w:rsidRPr="00AC65BC" w:rsidRDefault="004F2373" w:rsidP="003D0BE3">
            <w:pPr>
              <w:keepNext/>
              <w:keepLines/>
              <w:spacing w:after="0"/>
              <w:jc w:val="right"/>
              <w:rPr>
                <w:rFonts w:ascii="Calibri" w:hAnsi="Calibri"/>
                <w:color w:val="000000"/>
                <w:sz w:val="20"/>
                <w:szCs w:val="20"/>
              </w:rPr>
            </w:pPr>
          </w:p>
        </w:tc>
      </w:tr>
    </w:tbl>
    <w:p w:rsidR="00523B88" w:rsidRDefault="00523B88" w:rsidP="00AC65BC">
      <w:pPr>
        <w:pStyle w:val="NormalAfterTablesandFigures"/>
      </w:pPr>
    </w:p>
    <w:p w:rsidR="00D31B95" w:rsidRDefault="00D31B95" w:rsidP="00AC65BC">
      <w:r>
        <w:t xml:space="preserve">The KEMA evaluation of a ductless mini-split pilot study in </w:t>
      </w:r>
      <w:r w:rsidR="0005204D">
        <w:t>Connecticut</w:t>
      </w:r>
      <w:r>
        <w:t xml:space="preserve"> identified approximately 2,500 kWh in average savings, reflecting about </w:t>
      </w:r>
      <w:r w:rsidR="001E7E83">
        <w:t xml:space="preserve">a </w:t>
      </w:r>
      <w:r>
        <w:t>30% reduction in heating usage</w:t>
      </w:r>
      <w:r w:rsidR="00D46BB8">
        <w:t>. T</w:t>
      </w:r>
      <w:r w:rsidR="005C0F16">
        <w:t xml:space="preserve">he PSD algorithm </w:t>
      </w:r>
      <w:r w:rsidR="001E7E83">
        <w:t>was</w:t>
      </w:r>
      <w:r w:rsidR="005C0F16">
        <w:t xml:space="preserve"> based on savings factors from this pilot study, though </w:t>
      </w:r>
      <w:r w:rsidR="001E7E83">
        <w:t xml:space="preserve">it </w:t>
      </w:r>
      <w:r w:rsidR="005C0F16">
        <w:t>also authorize</w:t>
      </w:r>
      <w:r w:rsidR="001E7E83">
        <w:t>d</w:t>
      </w:r>
      <w:r w:rsidR="005C0F16">
        <w:t xml:space="preserve"> custom analyses based on simulation modeling or billing analysis</w:t>
      </w:r>
      <w:r w:rsidR="002E6C4C">
        <w:t xml:space="preserve"> (capping total savings at 50% of heating usage)</w:t>
      </w:r>
      <w:r w:rsidR="005C0F16">
        <w:t xml:space="preserve">. </w:t>
      </w:r>
      <w:r w:rsidR="002E6C4C">
        <w:t>The KEMA</w:t>
      </w:r>
      <w:r w:rsidR="005C0F16">
        <w:t xml:space="preserve"> study and a recent NEEA evaluation by Ecotope (of ductless heat pump installations in the northwest) each estimate</w:t>
      </w:r>
      <w:r w:rsidR="001E7E83">
        <w:t>d</w:t>
      </w:r>
      <w:r w:rsidR="005C0F16">
        <w:t xml:space="preserve"> impacts using billing and metering analyses, </w:t>
      </w:r>
      <w:r w:rsidR="001E7E83">
        <w:t xml:space="preserve">finding </w:t>
      </w:r>
      <w:r w:rsidR="002E6C4C">
        <w:t>savings estimates between 2,100 kWh and 2,700 kWh.</w:t>
      </w:r>
    </w:p>
    <w:p w:rsidR="005C0F16" w:rsidRDefault="002E6C4C" w:rsidP="00AC65BC">
      <w:r>
        <w:t xml:space="preserve">Another recent Ecotope evaluation for BPA estimated impacts of ductless heat pumps in multifamily buildings between 700 kWh and 900 kWh per unit. </w:t>
      </w:r>
      <w:r w:rsidR="00E749EA">
        <w:t>This study identified take</w:t>
      </w:r>
      <w:r w:rsidR="001E7E83">
        <w:t>-</w:t>
      </w:r>
      <w:r w:rsidR="00E749EA">
        <w:t>back occurring for participants through an increase in average temperature settings during the heating season</w:t>
      </w:r>
      <w:r w:rsidR="00C83A8A">
        <w:t>, ranging from 418 kWh to 800 kWh</w:t>
      </w:r>
      <w:r w:rsidR="00E749EA">
        <w:t>.</w:t>
      </w:r>
      <w:r w:rsidR="006401CF">
        <w:t xml:space="preserve"> </w:t>
      </w:r>
      <w:r w:rsidR="00E749EA">
        <w:t>Take-back or rebound effects typically refer to behavioral responses to the installation of new energy-efficiency technolog</w:t>
      </w:r>
      <w:r w:rsidR="001E7E83">
        <w:t>ies</w:t>
      </w:r>
      <w:r w:rsidR="00E749EA">
        <w:t>, which may result in lower expected savings due to increase</w:t>
      </w:r>
      <w:r w:rsidR="001E7E83">
        <w:t>d</w:t>
      </w:r>
      <w:r w:rsidR="00E749EA">
        <w:t xml:space="preserve"> participant usage. For example, installation of a new energy-efficient heating system may prompt a participant to increase temperature settings, anticipating increase</w:t>
      </w:r>
      <w:r w:rsidR="001E7E83">
        <w:t>s</w:t>
      </w:r>
      <w:r w:rsidR="00E749EA">
        <w:t xml:space="preserve"> in cost-savings for operating an efficient unit. </w:t>
      </w:r>
      <w:r w:rsidR="00C83A8A">
        <w:t xml:space="preserve">Ecotope also cites </w:t>
      </w:r>
      <w:r w:rsidR="001E7E83">
        <w:t xml:space="preserve">larger </w:t>
      </w:r>
      <w:r w:rsidR="00C83A8A">
        <w:t>take</w:t>
      </w:r>
      <w:r w:rsidR="001E7E83">
        <w:t>-</w:t>
      </w:r>
      <w:r w:rsidR="00C83A8A">
        <w:t xml:space="preserve">backs of this magnitude for </w:t>
      </w:r>
      <w:r w:rsidR="001E7E83">
        <w:t xml:space="preserve">these </w:t>
      </w:r>
      <w:r w:rsidR="00C83A8A">
        <w:t xml:space="preserve">multifamily buildings </w:t>
      </w:r>
      <w:r w:rsidR="001D7647">
        <w:t xml:space="preserve">than </w:t>
      </w:r>
      <w:r w:rsidR="001E7E83">
        <w:t xml:space="preserve">for </w:t>
      </w:r>
      <w:r w:rsidR="001D7647">
        <w:t xml:space="preserve">those observed </w:t>
      </w:r>
      <w:r w:rsidR="00C83A8A">
        <w:t xml:space="preserve">in </w:t>
      </w:r>
      <w:r w:rsidR="001D7647">
        <w:t>previous single-family building studies</w:t>
      </w:r>
      <w:r w:rsidR="00C83A8A">
        <w:t>.</w:t>
      </w:r>
    </w:p>
    <w:p w:rsidR="002E6C4C" w:rsidRDefault="00796E67" w:rsidP="00E749EA">
      <w:r>
        <w:t xml:space="preserve">Specific to </w:t>
      </w:r>
      <w:r w:rsidR="00C83A8A">
        <w:t xml:space="preserve">CT </w:t>
      </w:r>
      <w:r>
        <w:t>HES-IE, a higher frequency of ductless heat pump installations occurred in multifamily (24%) versus single-family participants (&lt;1%) in th</w:t>
      </w:r>
      <w:r w:rsidR="00B0523C">
        <w:t xml:space="preserve">is study’s </w:t>
      </w:r>
      <w:r w:rsidR="0005204D">
        <w:t xml:space="preserve">billing </w:t>
      </w:r>
      <w:r>
        <w:t>analysis sample</w:t>
      </w:r>
      <w:r w:rsidR="00DC5906">
        <w:t xml:space="preserve">. </w:t>
      </w:r>
      <w:r w:rsidR="00B0523C">
        <w:t xml:space="preserve">The </w:t>
      </w:r>
      <w:r w:rsidR="00DC5906">
        <w:t>study’s estimate</w:t>
      </w:r>
      <w:r w:rsidR="00B0523C">
        <w:t>d</w:t>
      </w:r>
      <w:r w:rsidR="00DC5906">
        <w:t xml:space="preserve"> savings for HES-IE (804 kWh), weighted more heavily to reflect multifamily building installations, </w:t>
      </w:r>
      <w:r w:rsidR="00B0523C">
        <w:t xml:space="preserve">remained the </w:t>
      </w:r>
      <w:r w:rsidR="00DC5906">
        <w:t>most consistent with findings from the BPA</w:t>
      </w:r>
      <w:r w:rsidR="00C83A8A">
        <w:t>/Ecotope</w:t>
      </w:r>
      <w:r w:rsidR="00DC5906">
        <w:t xml:space="preserve"> study. Despite </w:t>
      </w:r>
      <w:r w:rsidR="00B0523C">
        <w:t xml:space="preserve">climate </w:t>
      </w:r>
      <w:r w:rsidR="00DC5906">
        <w:t xml:space="preserve">differences between CT and the </w:t>
      </w:r>
      <w:r w:rsidR="00B0523C">
        <w:t>N</w:t>
      </w:r>
      <w:r w:rsidR="00DC5906">
        <w:t>orthwest, this similar</w:t>
      </w:r>
      <w:r w:rsidR="00B0523C">
        <w:t>ity</w:t>
      </w:r>
      <w:r w:rsidR="00DC5906">
        <w:t xml:space="preserve"> may reflect </w:t>
      </w:r>
      <w:r w:rsidR="00F230B4">
        <w:t>multifamily occupant consumption and relate to take-back effect</w:t>
      </w:r>
      <w:r w:rsidR="00B0523C">
        <w:t>s</w:t>
      </w:r>
      <w:r w:rsidR="00F230B4">
        <w:t>.</w:t>
      </w:r>
    </w:p>
    <w:p w:rsidR="00C83A8A" w:rsidRDefault="00C83A8A" w:rsidP="00E749EA">
      <w:r>
        <w:lastRenderedPageBreak/>
        <w:t xml:space="preserve">Based on an assessment of reported </w:t>
      </w:r>
      <w:r w:rsidRPr="002E6C4C">
        <w:rPr>
          <w:i/>
        </w:rPr>
        <w:t>ex ante</w:t>
      </w:r>
      <w:r>
        <w:t xml:space="preserve"> savings of ductless heat pumps from Volume 1 of this report, the Evaluation </w:t>
      </w:r>
      <w:r w:rsidR="00B0523C">
        <w:t>T</w:t>
      </w:r>
      <w:r>
        <w:t xml:space="preserve">eam identified claimed savings </w:t>
      </w:r>
      <w:r w:rsidR="00B0523C">
        <w:t xml:space="preserve">that </w:t>
      </w:r>
      <w:r>
        <w:t>represent</w:t>
      </w:r>
      <w:r w:rsidR="00B0523C">
        <w:t>ed</w:t>
      </w:r>
      <w:r>
        <w:t xml:space="preserve"> a high percentage of pre-period usage for the HES-IE analysis sample (approximately 15% of PRENAC for single</w:t>
      </w:r>
      <w:r w:rsidR="00B0523C">
        <w:t>-</w:t>
      </w:r>
      <w:r>
        <w:t>family participants and 29% for multifamily).</w:t>
      </w:r>
      <w:r>
        <w:rPr>
          <w:rStyle w:val="FootnoteReference"/>
        </w:rPr>
        <w:footnoteReference w:id="34"/>
      </w:r>
      <w:r w:rsidR="006401CF">
        <w:t xml:space="preserve"> </w:t>
      </w:r>
    </w:p>
    <w:p w:rsidR="00816010" w:rsidRDefault="00E749EA" w:rsidP="00816010">
      <w:r>
        <w:t xml:space="preserve">Given the variability in recent </w:t>
      </w:r>
      <w:r w:rsidR="00796E67">
        <w:t>studies</w:t>
      </w:r>
      <w:r>
        <w:t xml:space="preserve">, future evaluation research should </w:t>
      </w:r>
      <w:r w:rsidR="00796E67">
        <w:t xml:space="preserve">focus on refining </w:t>
      </w:r>
      <w:r w:rsidR="00B0523C">
        <w:t xml:space="preserve">savings </w:t>
      </w:r>
      <w:r w:rsidR="00796E67">
        <w:t xml:space="preserve">assessments to account for specific baselines and building types, in addition to assessing </w:t>
      </w:r>
      <w:r w:rsidR="00B0523C">
        <w:t xml:space="preserve">take-back </w:t>
      </w:r>
      <w:r w:rsidR="00796E67">
        <w:t>level</w:t>
      </w:r>
      <w:r w:rsidR="00B0523C">
        <w:t>s</w:t>
      </w:r>
      <w:r w:rsidR="00796E67">
        <w:t xml:space="preserve">. This research should provide </w:t>
      </w:r>
      <w:r w:rsidR="0072796B">
        <w:t>the</w:t>
      </w:r>
      <w:r w:rsidR="00796E67">
        <w:t xml:space="preserve"> precision </w:t>
      </w:r>
      <w:r w:rsidR="0072796B">
        <w:t>of savings estimates</w:t>
      </w:r>
      <w:r w:rsidR="00F230B4">
        <w:t xml:space="preserve"> </w:t>
      </w:r>
      <w:r w:rsidR="00B0523C">
        <w:t xml:space="preserve">to allow comparison of </w:t>
      </w:r>
      <w:r w:rsidR="0072796B">
        <w:t>results across evaluation studies</w:t>
      </w:r>
      <w:r w:rsidR="00F230B4">
        <w:t>.</w:t>
      </w:r>
    </w:p>
    <w:p w:rsidR="00523B88" w:rsidRPr="00D80A1B" w:rsidRDefault="00523B88" w:rsidP="00D80A1B">
      <w:pPr>
        <w:spacing w:before="200" w:after="0"/>
        <w:rPr>
          <w:b/>
          <w:i/>
          <w:color w:val="898A17"/>
          <w:sz w:val="29"/>
          <w:szCs w:val="29"/>
        </w:rPr>
      </w:pPr>
      <w:r w:rsidRPr="00D80A1B">
        <w:rPr>
          <w:b/>
          <w:i/>
          <w:color w:val="898A17"/>
          <w:sz w:val="29"/>
          <w:szCs w:val="29"/>
        </w:rPr>
        <w:t>Refrigerators and Freezers</w:t>
      </w:r>
    </w:p>
    <w:p w:rsidR="00523B88" w:rsidRDefault="00523B88" w:rsidP="00285298">
      <w:r>
        <w:t xml:space="preserve">Evaluation of the PY2011 refrigerator and freezer replacement measures </w:t>
      </w:r>
      <w:r w:rsidR="003C0BC5">
        <w:t>could not be conducted</w:t>
      </w:r>
      <w:r w:rsidR="00160A6B">
        <w:t xml:space="preserve"> using program data</w:t>
      </w:r>
      <w:r w:rsidR="003C0BC5">
        <w:t xml:space="preserve"> </w:t>
      </w:r>
      <w:r>
        <w:t xml:space="preserve">due to limited </w:t>
      </w:r>
      <w:r w:rsidR="0038661F">
        <w:t xml:space="preserve">utility tracking data </w:t>
      </w:r>
      <w:r>
        <w:t xml:space="preserve">information </w:t>
      </w:r>
      <w:r w:rsidR="00160A6B">
        <w:t xml:space="preserve">regarding </w:t>
      </w:r>
      <w:r>
        <w:t>replaced unit</w:t>
      </w:r>
      <w:r w:rsidR="003C0BC5">
        <w:t>s</w:t>
      </w:r>
      <w:r>
        <w:t>.</w:t>
      </w:r>
      <w:r w:rsidR="002953AD">
        <w:t xml:space="preserve"> </w:t>
      </w:r>
      <w:r>
        <w:t>The 2013 PSD outline</w:t>
      </w:r>
      <w:r w:rsidR="003C0BC5">
        <w:t>d</w:t>
      </w:r>
      <w:r>
        <w:t xml:space="preserve"> a savings methodology based </w:t>
      </w:r>
      <w:r w:rsidR="003C0BC5">
        <w:t xml:space="preserve">on </w:t>
      </w:r>
      <w:r>
        <w:t>knowing specific information about existing and replacement units, including rated consumption, size, and orientation.</w:t>
      </w:r>
      <w:r w:rsidR="002953AD">
        <w:t xml:space="preserve"> </w:t>
      </w:r>
      <w:r>
        <w:t>Based on the lack of information</w:t>
      </w:r>
      <w:r w:rsidR="003C0BC5">
        <w:t>,</w:t>
      </w:r>
      <w:r>
        <w:t xml:space="preserve"> the </w:t>
      </w:r>
      <w:r w:rsidR="00160A6B">
        <w:t>E</w:t>
      </w:r>
      <w:r>
        <w:t xml:space="preserve">valuation </w:t>
      </w:r>
      <w:r w:rsidR="00160A6B">
        <w:t>T</w:t>
      </w:r>
      <w:r>
        <w:t>eam reviewed published reports and TRMs deemed relevant to the program.</w:t>
      </w:r>
      <w:r w:rsidR="002953AD">
        <w:t xml:space="preserve"> </w:t>
      </w:r>
      <w:r w:rsidR="003C0BC5">
        <w:t>S</w:t>
      </w:r>
      <w:r>
        <w:t>ix sources were identified for the refrigerator replacement measure, and five sources were identified for the freezer replacement measure.</w:t>
      </w:r>
      <w:r w:rsidR="002953AD">
        <w:t xml:space="preserve"> </w:t>
      </w:r>
      <w:r w:rsidR="005C2163">
        <w:fldChar w:fldCharType="begin"/>
      </w:r>
      <w:r w:rsidR="00160A6B">
        <w:instrText xml:space="preserve"> REF _Ref388525466 \h </w:instrText>
      </w:r>
      <w:r w:rsidR="005C2163">
        <w:fldChar w:fldCharType="separate"/>
      </w:r>
      <w:r w:rsidR="00CD20CF">
        <w:t xml:space="preserve">Table </w:t>
      </w:r>
      <w:r w:rsidR="00CD20CF">
        <w:rPr>
          <w:noProof/>
        </w:rPr>
        <w:t>94</w:t>
      </w:r>
      <w:r w:rsidR="005C2163">
        <w:fldChar w:fldCharType="end"/>
      </w:r>
      <w:r w:rsidR="00160A6B">
        <w:t xml:space="preserve"> </w:t>
      </w:r>
      <w:r w:rsidR="003C0BC5">
        <w:t>shows t</w:t>
      </w:r>
      <w:r>
        <w:t>he per-measure energy savings estimates.</w:t>
      </w:r>
      <w:r w:rsidR="002953AD">
        <w:t xml:space="preserve"> </w:t>
      </w:r>
      <w:r>
        <w:t xml:space="preserve">Due to variability in per-unit savings, </w:t>
      </w:r>
      <w:r w:rsidR="0038661F">
        <w:t xml:space="preserve">the Evaluation Team performed </w:t>
      </w:r>
      <w:r>
        <w:t>a more in-depth analysis of the savings algorithms and their inputs.</w:t>
      </w:r>
    </w:p>
    <w:p w:rsidR="00523B88" w:rsidRDefault="00523B88" w:rsidP="00523B88">
      <w:pPr>
        <w:pStyle w:val="Caption"/>
      </w:pPr>
      <w:bookmarkStart w:id="161" w:name="_Ref388525466"/>
      <w:r>
        <w:t xml:space="preserve">Table </w:t>
      </w:r>
      <w:r w:rsidR="002506E1">
        <w:fldChar w:fldCharType="begin"/>
      </w:r>
      <w:r w:rsidR="002506E1">
        <w:instrText xml:space="preserve"> SEQ Table \* ARABIC </w:instrText>
      </w:r>
      <w:r w:rsidR="002506E1">
        <w:fldChar w:fldCharType="separate"/>
      </w:r>
      <w:r w:rsidR="00CD20CF">
        <w:rPr>
          <w:noProof/>
        </w:rPr>
        <w:t>94</w:t>
      </w:r>
      <w:r w:rsidR="002506E1">
        <w:rPr>
          <w:noProof/>
        </w:rPr>
        <w:fldChar w:fldCharType="end"/>
      </w:r>
      <w:bookmarkEnd w:id="161"/>
      <w:r>
        <w:t>.</w:t>
      </w:r>
      <w:r w:rsidR="002953AD">
        <w:t xml:space="preserve"> </w:t>
      </w:r>
      <w:r>
        <w:t xml:space="preserve">Results of the </w:t>
      </w:r>
      <w:bookmarkStart w:id="162" w:name="OLE_LINK2"/>
      <w:r>
        <w:t>Refrigerator and Freezer</w:t>
      </w:r>
      <w:bookmarkEnd w:id="162"/>
      <w:r>
        <w:t xml:space="preserve"> Literature Review</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869"/>
        <w:gridCol w:w="2070"/>
        <w:gridCol w:w="1637"/>
      </w:tblGrid>
      <w:tr w:rsidR="00523B88" w:rsidRPr="00285298" w:rsidTr="00293449">
        <w:trPr>
          <w:trHeight w:val="309"/>
        </w:trPr>
        <w:tc>
          <w:tcPr>
            <w:tcW w:w="3064" w:type="pct"/>
            <w:vMerge w:val="restart"/>
            <w:shd w:val="clear" w:color="000000" w:fill="005DAA"/>
            <w:vAlign w:val="center"/>
            <w:hideMark/>
          </w:tcPr>
          <w:p w:rsidR="00523B88" w:rsidRPr="00285298" w:rsidRDefault="00523B88" w:rsidP="00285298">
            <w:pPr>
              <w:spacing w:after="0"/>
              <w:jc w:val="center"/>
              <w:rPr>
                <w:rFonts w:ascii="Calibri" w:hAnsi="Calibri"/>
                <w:b/>
                <w:bCs/>
                <w:color w:val="FFFFFF"/>
              </w:rPr>
            </w:pPr>
            <w:r w:rsidRPr="00285298">
              <w:rPr>
                <w:rFonts w:ascii="Calibri" w:hAnsi="Calibri"/>
                <w:b/>
                <w:bCs/>
                <w:color w:val="FFFFFF"/>
              </w:rPr>
              <w:t>Source</w:t>
            </w:r>
          </w:p>
        </w:tc>
        <w:tc>
          <w:tcPr>
            <w:tcW w:w="1081" w:type="pct"/>
            <w:vMerge w:val="restart"/>
            <w:shd w:val="clear" w:color="000000" w:fill="005DAA"/>
            <w:vAlign w:val="center"/>
            <w:hideMark/>
          </w:tcPr>
          <w:p w:rsidR="00523B88" w:rsidRPr="00285298" w:rsidRDefault="00523B88" w:rsidP="00285298">
            <w:pPr>
              <w:spacing w:after="0"/>
              <w:jc w:val="center"/>
              <w:rPr>
                <w:rFonts w:ascii="Calibri" w:hAnsi="Calibri"/>
                <w:b/>
                <w:bCs/>
                <w:color w:val="FFFFFF"/>
              </w:rPr>
            </w:pPr>
            <w:r w:rsidRPr="00285298">
              <w:rPr>
                <w:rFonts w:ascii="Calibri" w:hAnsi="Calibri"/>
                <w:b/>
                <w:bCs/>
                <w:color w:val="FFFFFF"/>
              </w:rPr>
              <w:t>Refrigerator Savings (kWh)</w:t>
            </w:r>
          </w:p>
        </w:tc>
        <w:tc>
          <w:tcPr>
            <w:tcW w:w="855" w:type="pct"/>
            <w:vMerge w:val="restart"/>
            <w:shd w:val="clear" w:color="000000" w:fill="005DAA"/>
            <w:vAlign w:val="center"/>
            <w:hideMark/>
          </w:tcPr>
          <w:p w:rsidR="00523B88" w:rsidRPr="00285298" w:rsidRDefault="00523B88" w:rsidP="00285298">
            <w:pPr>
              <w:spacing w:after="0"/>
              <w:jc w:val="center"/>
              <w:rPr>
                <w:rFonts w:ascii="Calibri" w:hAnsi="Calibri"/>
                <w:b/>
                <w:bCs/>
                <w:color w:val="FFFFFF"/>
              </w:rPr>
            </w:pPr>
            <w:r w:rsidRPr="00285298">
              <w:rPr>
                <w:rFonts w:ascii="Calibri" w:hAnsi="Calibri"/>
                <w:b/>
                <w:bCs/>
                <w:color w:val="FFFFFF"/>
              </w:rPr>
              <w:t>Freezer Savings (kWh)</w:t>
            </w:r>
          </w:p>
        </w:tc>
      </w:tr>
      <w:tr w:rsidR="00523B88" w:rsidRPr="00285298" w:rsidTr="00130EBA">
        <w:trPr>
          <w:trHeight w:val="281"/>
        </w:trPr>
        <w:tc>
          <w:tcPr>
            <w:tcW w:w="3064" w:type="pct"/>
            <w:vMerge/>
            <w:tcBorders>
              <w:bottom w:val="single" w:sz="4" w:space="0" w:color="BFBFBF"/>
            </w:tcBorders>
            <w:vAlign w:val="center"/>
            <w:hideMark/>
          </w:tcPr>
          <w:p w:rsidR="00523B88" w:rsidRPr="00285298" w:rsidRDefault="00523B88" w:rsidP="00285298">
            <w:pPr>
              <w:spacing w:after="0"/>
              <w:rPr>
                <w:rFonts w:ascii="Calibri" w:hAnsi="Calibri"/>
                <w:b/>
                <w:bCs/>
                <w:color w:val="FFFFFF"/>
                <w:sz w:val="20"/>
                <w:szCs w:val="20"/>
              </w:rPr>
            </w:pPr>
          </w:p>
        </w:tc>
        <w:tc>
          <w:tcPr>
            <w:tcW w:w="1081" w:type="pct"/>
            <w:vMerge/>
            <w:tcBorders>
              <w:bottom w:val="single" w:sz="4" w:space="0" w:color="BFBFBF"/>
            </w:tcBorders>
            <w:vAlign w:val="center"/>
            <w:hideMark/>
          </w:tcPr>
          <w:p w:rsidR="00523B88" w:rsidRPr="00285298" w:rsidRDefault="00523B88" w:rsidP="00285298">
            <w:pPr>
              <w:spacing w:after="0"/>
              <w:rPr>
                <w:rFonts w:ascii="Calibri" w:hAnsi="Calibri"/>
                <w:b/>
                <w:bCs/>
                <w:color w:val="FFFFFF"/>
                <w:sz w:val="20"/>
                <w:szCs w:val="20"/>
              </w:rPr>
            </w:pPr>
          </w:p>
        </w:tc>
        <w:tc>
          <w:tcPr>
            <w:tcW w:w="855" w:type="pct"/>
            <w:vMerge/>
            <w:tcBorders>
              <w:bottom w:val="single" w:sz="4" w:space="0" w:color="BFBFBF"/>
            </w:tcBorders>
            <w:vAlign w:val="center"/>
            <w:hideMark/>
          </w:tcPr>
          <w:p w:rsidR="00523B88" w:rsidRPr="00285298" w:rsidRDefault="00523B88" w:rsidP="00285298">
            <w:pPr>
              <w:spacing w:after="0"/>
              <w:rPr>
                <w:rFonts w:ascii="Calibri" w:hAnsi="Calibri"/>
                <w:b/>
                <w:bCs/>
                <w:color w:val="FFFFFF"/>
                <w:sz w:val="20"/>
                <w:szCs w:val="20"/>
              </w:rPr>
            </w:pPr>
          </w:p>
        </w:tc>
      </w:tr>
      <w:tr w:rsidR="00523B88" w:rsidRPr="00285298" w:rsidTr="00293449">
        <w:tc>
          <w:tcPr>
            <w:tcW w:w="3064" w:type="pct"/>
            <w:shd w:val="clear" w:color="auto" w:fill="auto"/>
            <w:vAlign w:val="center"/>
            <w:hideMark/>
          </w:tcPr>
          <w:p w:rsidR="00523B88" w:rsidRPr="00285298" w:rsidRDefault="00523B88" w:rsidP="00285298">
            <w:pPr>
              <w:spacing w:after="0"/>
              <w:rPr>
                <w:rFonts w:ascii="Calibri" w:hAnsi="Calibri"/>
                <w:color w:val="000000"/>
                <w:sz w:val="20"/>
                <w:szCs w:val="20"/>
              </w:rPr>
            </w:pPr>
            <w:r w:rsidRPr="00285298">
              <w:rPr>
                <w:rFonts w:ascii="Calibri" w:hAnsi="Calibri"/>
                <w:color w:val="000000"/>
                <w:sz w:val="20"/>
                <w:szCs w:val="20"/>
              </w:rPr>
              <w:t>Connecticut Program Savings Document, Eight Edition, 2013</w:t>
            </w:r>
          </w:p>
        </w:tc>
        <w:tc>
          <w:tcPr>
            <w:tcW w:w="1081" w:type="pct"/>
            <w:shd w:val="clear" w:color="auto" w:fill="auto"/>
            <w:vAlign w:val="center"/>
            <w:hideMark/>
          </w:tcPr>
          <w:p w:rsidR="00523B88" w:rsidRPr="00285298" w:rsidRDefault="00523B88" w:rsidP="00293449">
            <w:pPr>
              <w:spacing w:after="0"/>
              <w:jc w:val="right"/>
              <w:rPr>
                <w:rFonts w:ascii="Calibri" w:hAnsi="Calibri"/>
                <w:color w:val="000000"/>
                <w:sz w:val="20"/>
                <w:szCs w:val="20"/>
              </w:rPr>
            </w:pPr>
            <w:r w:rsidRPr="00285298">
              <w:rPr>
                <w:rFonts w:ascii="Calibri" w:hAnsi="Calibri"/>
                <w:color w:val="000000"/>
                <w:sz w:val="20"/>
                <w:szCs w:val="20"/>
              </w:rPr>
              <w:t>Varies</w:t>
            </w:r>
          </w:p>
        </w:tc>
        <w:tc>
          <w:tcPr>
            <w:tcW w:w="855" w:type="pct"/>
            <w:shd w:val="clear" w:color="auto" w:fill="auto"/>
            <w:vAlign w:val="center"/>
            <w:hideMark/>
          </w:tcPr>
          <w:p w:rsidR="00523B88" w:rsidRPr="00285298" w:rsidRDefault="00523B88" w:rsidP="00293449">
            <w:pPr>
              <w:spacing w:after="0"/>
              <w:jc w:val="right"/>
              <w:rPr>
                <w:rFonts w:ascii="Calibri" w:hAnsi="Calibri"/>
                <w:color w:val="000000"/>
                <w:sz w:val="20"/>
                <w:szCs w:val="20"/>
              </w:rPr>
            </w:pPr>
            <w:r w:rsidRPr="00285298">
              <w:rPr>
                <w:rFonts w:ascii="Calibri" w:hAnsi="Calibri"/>
                <w:color w:val="000000"/>
                <w:sz w:val="20"/>
                <w:szCs w:val="20"/>
              </w:rPr>
              <w:t>Varies</w:t>
            </w:r>
          </w:p>
        </w:tc>
      </w:tr>
      <w:tr w:rsidR="00523B88" w:rsidRPr="00285298" w:rsidTr="00293449">
        <w:tc>
          <w:tcPr>
            <w:tcW w:w="3064" w:type="pct"/>
            <w:shd w:val="clear" w:color="auto" w:fill="auto"/>
            <w:vAlign w:val="center"/>
            <w:hideMark/>
          </w:tcPr>
          <w:p w:rsidR="00523B88" w:rsidRPr="00285298" w:rsidRDefault="00523B88" w:rsidP="00285298">
            <w:pPr>
              <w:spacing w:after="0"/>
              <w:rPr>
                <w:rFonts w:ascii="Calibri" w:hAnsi="Calibri"/>
                <w:color w:val="000000"/>
                <w:sz w:val="20"/>
                <w:szCs w:val="20"/>
              </w:rPr>
            </w:pPr>
            <w:r w:rsidRPr="00285298">
              <w:rPr>
                <w:rFonts w:ascii="Calibri" w:hAnsi="Calibri"/>
                <w:color w:val="000000"/>
                <w:sz w:val="20"/>
                <w:szCs w:val="20"/>
              </w:rPr>
              <w:t>Connecticut Program Savings Document, 2011</w:t>
            </w:r>
          </w:p>
        </w:tc>
        <w:tc>
          <w:tcPr>
            <w:tcW w:w="1081" w:type="pct"/>
            <w:shd w:val="clear" w:color="auto" w:fill="auto"/>
            <w:vAlign w:val="center"/>
            <w:hideMark/>
          </w:tcPr>
          <w:p w:rsidR="00523B88" w:rsidRPr="00285298" w:rsidRDefault="00523B88" w:rsidP="00A22A1F">
            <w:pPr>
              <w:spacing w:after="0"/>
              <w:jc w:val="right"/>
              <w:rPr>
                <w:rFonts w:ascii="Calibri" w:hAnsi="Calibri"/>
                <w:color w:val="000000"/>
                <w:sz w:val="20"/>
                <w:szCs w:val="20"/>
              </w:rPr>
            </w:pPr>
            <w:r w:rsidRPr="00285298">
              <w:rPr>
                <w:rFonts w:ascii="Calibri" w:hAnsi="Calibri"/>
                <w:color w:val="000000"/>
                <w:sz w:val="20"/>
                <w:szCs w:val="20"/>
              </w:rPr>
              <w:t>247</w:t>
            </w:r>
          </w:p>
        </w:tc>
        <w:tc>
          <w:tcPr>
            <w:tcW w:w="855" w:type="pct"/>
            <w:shd w:val="clear" w:color="auto" w:fill="auto"/>
            <w:vAlign w:val="center"/>
            <w:hideMark/>
          </w:tcPr>
          <w:p w:rsidR="00523B88" w:rsidRPr="00285298" w:rsidRDefault="00A22A1F" w:rsidP="00A22A1F">
            <w:pPr>
              <w:spacing w:after="0"/>
              <w:jc w:val="right"/>
              <w:rPr>
                <w:rFonts w:ascii="Calibri" w:hAnsi="Calibri"/>
                <w:color w:val="000000"/>
                <w:sz w:val="20"/>
                <w:szCs w:val="20"/>
              </w:rPr>
            </w:pPr>
            <w:r>
              <w:rPr>
                <w:rFonts w:ascii="Calibri" w:hAnsi="Calibri"/>
                <w:color w:val="000000"/>
                <w:sz w:val="20"/>
                <w:szCs w:val="20"/>
              </w:rPr>
              <w:t>112</w:t>
            </w:r>
          </w:p>
        </w:tc>
      </w:tr>
      <w:tr w:rsidR="00523B88" w:rsidRPr="00285298" w:rsidTr="00293449">
        <w:tc>
          <w:tcPr>
            <w:tcW w:w="3064" w:type="pct"/>
            <w:shd w:val="clear" w:color="auto" w:fill="auto"/>
            <w:vAlign w:val="center"/>
            <w:hideMark/>
          </w:tcPr>
          <w:p w:rsidR="00523B88" w:rsidRPr="00285298" w:rsidRDefault="00523B88" w:rsidP="00285298">
            <w:pPr>
              <w:spacing w:after="0"/>
              <w:rPr>
                <w:rFonts w:ascii="Calibri" w:hAnsi="Calibri"/>
                <w:color w:val="000000"/>
                <w:sz w:val="20"/>
                <w:szCs w:val="20"/>
              </w:rPr>
            </w:pPr>
            <w:r w:rsidRPr="00285298">
              <w:rPr>
                <w:rFonts w:ascii="Calibri" w:hAnsi="Calibri"/>
                <w:color w:val="000000"/>
                <w:sz w:val="20"/>
                <w:szCs w:val="20"/>
              </w:rPr>
              <w:t>Illinois Statewide Technical Reference Manual, Version 2.0, 2013</w:t>
            </w:r>
          </w:p>
        </w:tc>
        <w:tc>
          <w:tcPr>
            <w:tcW w:w="1081" w:type="pct"/>
            <w:shd w:val="clear" w:color="auto" w:fill="auto"/>
            <w:vAlign w:val="center"/>
            <w:hideMark/>
          </w:tcPr>
          <w:p w:rsidR="00523B88" w:rsidRPr="00285298" w:rsidRDefault="00A22A1F" w:rsidP="00A22A1F">
            <w:pPr>
              <w:spacing w:after="0"/>
              <w:jc w:val="right"/>
              <w:rPr>
                <w:rFonts w:ascii="Calibri" w:hAnsi="Calibri"/>
                <w:color w:val="000000"/>
                <w:sz w:val="20"/>
                <w:szCs w:val="20"/>
              </w:rPr>
            </w:pPr>
            <w:r>
              <w:rPr>
                <w:rFonts w:ascii="Calibri" w:hAnsi="Calibri"/>
                <w:color w:val="000000"/>
                <w:sz w:val="20"/>
                <w:szCs w:val="20"/>
              </w:rPr>
              <w:t>806</w:t>
            </w:r>
          </w:p>
        </w:tc>
        <w:tc>
          <w:tcPr>
            <w:tcW w:w="855" w:type="pct"/>
            <w:shd w:val="clear" w:color="auto" w:fill="auto"/>
            <w:vAlign w:val="center"/>
            <w:hideMark/>
          </w:tcPr>
          <w:p w:rsidR="00523B88" w:rsidRPr="00285298" w:rsidRDefault="00A22A1F" w:rsidP="00A22A1F">
            <w:pPr>
              <w:spacing w:after="0"/>
              <w:jc w:val="right"/>
              <w:rPr>
                <w:rFonts w:ascii="Calibri" w:hAnsi="Calibri"/>
                <w:color w:val="000000"/>
                <w:sz w:val="20"/>
                <w:szCs w:val="20"/>
              </w:rPr>
            </w:pPr>
            <w:r>
              <w:rPr>
                <w:rFonts w:ascii="Calibri" w:hAnsi="Calibri"/>
                <w:color w:val="000000"/>
                <w:sz w:val="20"/>
                <w:szCs w:val="20"/>
              </w:rPr>
              <w:t>1,097</w:t>
            </w:r>
          </w:p>
        </w:tc>
      </w:tr>
      <w:tr w:rsidR="00523B88" w:rsidRPr="00285298" w:rsidTr="00293449">
        <w:tc>
          <w:tcPr>
            <w:tcW w:w="3064" w:type="pct"/>
            <w:shd w:val="clear" w:color="auto" w:fill="auto"/>
            <w:vAlign w:val="center"/>
            <w:hideMark/>
          </w:tcPr>
          <w:p w:rsidR="00523B88" w:rsidRPr="00285298" w:rsidRDefault="00523B88" w:rsidP="00285298">
            <w:pPr>
              <w:spacing w:after="0"/>
              <w:rPr>
                <w:rFonts w:ascii="Calibri" w:hAnsi="Calibri"/>
                <w:color w:val="000000"/>
                <w:sz w:val="20"/>
                <w:szCs w:val="20"/>
              </w:rPr>
            </w:pPr>
            <w:r w:rsidRPr="00285298">
              <w:rPr>
                <w:rFonts w:ascii="Calibri" w:hAnsi="Calibri"/>
                <w:color w:val="000000"/>
                <w:sz w:val="20"/>
                <w:szCs w:val="20"/>
              </w:rPr>
              <w:t>Massachusetts Home Energy Services Impact Evaluation</w:t>
            </w:r>
          </w:p>
        </w:tc>
        <w:tc>
          <w:tcPr>
            <w:tcW w:w="1081" w:type="pct"/>
            <w:shd w:val="clear" w:color="auto" w:fill="auto"/>
            <w:vAlign w:val="center"/>
            <w:hideMark/>
          </w:tcPr>
          <w:p w:rsidR="00523B88" w:rsidRPr="00285298" w:rsidRDefault="00A22A1F" w:rsidP="00A22A1F">
            <w:pPr>
              <w:spacing w:after="0"/>
              <w:jc w:val="right"/>
              <w:rPr>
                <w:rFonts w:ascii="Calibri" w:hAnsi="Calibri"/>
                <w:color w:val="000000"/>
                <w:sz w:val="20"/>
                <w:szCs w:val="20"/>
              </w:rPr>
            </w:pPr>
            <w:r>
              <w:rPr>
                <w:rFonts w:ascii="Calibri" w:hAnsi="Calibri"/>
                <w:color w:val="000000"/>
                <w:sz w:val="20"/>
                <w:szCs w:val="20"/>
              </w:rPr>
              <w:t>762</w:t>
            </w:r>
          </w:p>
        </w:tc>
        <w:tc>
          <w:tcPr>
            <w:tcW w:w="855" w:type="pct"/>
            <w:shd w:val="clear" w:color="auto" w:fill="auto"/>
            <w:vAlign w:val="center"/>
            <w:hideMark/>
          </w:tcPr>
          <w:p w:rsidR="00523B88" w:rsidRPr="00285298" w:rsidRDefault="00A22A1F" w:rsidP="00A22A1F">
            <w:pPr>
              <w:spacing w:after="0"/>
              <w:jc w:val="right"/>
              <w:rPr>
                <w:rFonts w:ascii="Calibri" w:hAnsi="Calibri"/>
                <w:color w:val="000000"/>
                <w:sz w:val="20"/>
                <w:szCs w:val="20"/>
              </w:rPr>
            </w:pPr>
            <w:r>
              <w:rPr>
                <w:rFonts w:ascii="Calibri" w:hAnsi="Calibri"/>
                <w:color w:val="000000"/>
                <w:sz w:val="20"/>
                <w:szCs w:val="20"/>
              </w:rPr>
              <w:t>238</w:t>
            </w:r>
          </w:p>
        </w:tc>
      </w:tr>
      <w:tr w:rsidR="00523B88" w:rsidRPr="00285298" w:rsidTr="00293449">
        <w:tc>
          <w:tcPr>
            <w:tcW w:w="3064" w:type="pct"/>
            <w:shd w:val="clear" w:color="auto" w:fill="auto"/>
            <w:vAlign w:val="center"/>
            <w:hideMark/>
          </w:tcPr>
          <w:p w:rsidR="00523B88" w:rsidRPr="00285298" w:rsidRDefault="00523B88" w:rsidP="00285298">
            <w:pPr>
              <w:spacing w:after="0"/>
              <w:rPr>
                <w:rFonts w:ascii="Calibri" w:hAnsi="Calibri"/>
                <w:color w:val="000000"/>
                <w:sz w:val="20"/>
                <w:szCs w:val="20"/>
              </w:rPr>
            </w:pPr>
            <w:r w:rsidRPr="00285298">
              <w:rPr>
                <w:rFonts w:ascii="Calibri" w:hAnsi="Calibri"/>
                <w:color w:val="000000"/>
                <w:sz w:val="20"/>
                <w:szCs w:val="20"/>
              </w:rPr>
              <w:t>Pennsylvania PUC Technical Reference Manual, 2014</w:t>
            </w:r>
          </w:p>
        </w:tc>
        <w:tc>
          <w:tcPr>
            <w:tcW w:w="1081" w:type="pct"/>
            <w:shd w:val="clear" w:color="auto" w:fill="auto"/>
            <w:vAlign w:val="center"/>
            <w:hideMark/>
          </w:tcPr>
          <w:p w:rsidR="00523B88" w:rsidRPr="00285298" w:rsidRDefault="00A22A1F" w:rsidP="00A22A1F">
            <w:pPr>
              <w:spacing w:after="0"/>
              <w:jc w:val="right"/>
              <w:rPr>
                <w:rFonts w:ascii="Calibri" w:hAnsi="Calibri"/>
                <w:color w:val="000000"/>
                <w:sz w:val="20"/>
                <w:szCs w:val="20"/>
              </w:rPr>
            </w:pPr>
            <w:r>
              <w:rPr>
                <w:rFonts w:ascii="Calibri" w:hAnsi="Calibri"/>
                <w:color w:val="000000"/>
                <w:sz w:val="20"/>
                <w:szCs w:val="20"/>
              </w:rPr>
              <w:t>586</w:t>
            </w:r>
          </w:p>
        </w:tc>
        <w:tc>
          <w:tcPr>
            <w:tcW w:w="855" w:type="pct"/>
            <w:shd w:val="clear" w:color="auto" w:fill="auto"/>
            <w:vAlign w:val="center"/>
            <w:hideMark/>
          </w:tcPr>
          <w:p w:rsidR="00523B88" w:rsidRPr="00285298" w:rsidRDefault="00A22A1F" w:rsidP="00A22A1F">
            <w:pPr>
              <w:spacing w:after="0"/>
              <w:jc w:val="right"/>
              <w:rPr>
                <w:rFonts w:ascii="Calibri" w:hAnsi="Calibri"/>
                <w:color w:val="000000"/>
                <w:sz w:val="20"/>
                <w:szCs w:val="20"/>
              </w:rPr>
            </w:pPr>
            <w:r>
              <w:rPr>
                <w:rFonts w:ascii="Calibri" w:hAnsi="Calibri"/>
                <w:color w:val="000000"/>
                <w:sz w:val="20"/>
                <w:szCs w:val="20"/>
              </w:rPr>
              <w:t>714</w:t>
            </w:r>
          </w:p>
        </w:tc>
      </w:tr>
      <w:tr w:rsidR="00523B88" w:rsidRPr="00285298" w:rsidTr="00293449">
        <w:tc>
          <w:tcPr>
            <w:tcW w:w="3064" w:type="pct"/>
            <w:shd w:val="clear" w:color="auto" w:fill="auto"/>
            <w:vAlign w:val="center"/>
            <w:hideMark/>
          </w:tcPr>
          <w:p w:rsidR="00523B88" w:rsidRPr="00285298" w:rsidRDefault="00523B88" w:rsidP="00285298">
            <w:pPr>
              <w:spacing w:after="0"/>
              <w:rPr>
                <w:rFonts w:ascii="Calibri" w:hAnsi="Calibri"/>
                <w:color w:val="000000"/>
                <w:sz w:val="20"/>
                <w:szCs w:val="20"/>
              </w:rPr>
            </w:pPr>
            <w:r w:rsidRPr="00285298">
              <w:rPr>
                <w:rFonts w:ascii="Calibri" w:hAnsi="Calibri"/>
                <w:color w:val="000000"/>
                <w:sz w:val="20"/>
                <w:szCs w:val="20"/>
              </w:rPr>
              <w:t>Indiana Technical Resource Manual, Version 1.0, 2013</w:t>
            </w:r>
          </w:p>
        </w:tc>
        <w:tc>
          <w:tcPr>
            <w:tcW w:w="1081" w:type="pct"/>
            <w:shd w:val="clear" w:color="auto" w:fill="auto"/>
            <w:vAlign w:val="center"/>
            <w:hideMark/>
          </w:tcPr>
          <w:p w:rsidR="00523B88" w:rsidRPr="00285298" w:rsidRDefault="00A22A1F" w:rsidP="00A22A1F">
            <w:pPr>
              <w:spacing w:after="0"/>
              <w:jc w:val="right"/>
              <w:rPr>
                <w:rFonts w:ascii="Calibri" w:hAnsi="Calibri"/>
                <w:color w:val="000000"/>
                <w:sz w:val="20"/>
                <w:szCs w:val="20"/>
              </w:rPr>
            </w:pPr>
            <w:r>
              <w:rPr>
                <w:rFonts w:ascii="Calibri" w:hAnsi="Calibri"/>
                <w:color w:val="000000"/>
                <w:sz w:val="20"/>
                <w:szCs w:val="20"/>
              </w:rPr>
              <w:t>1,251</w:t>
            </w:r>
          </w:p>
        </w:tc>
        <w:tc>
          <w:tcPr>
            <w:tcW w:w="855" w:type="pct"/>
            <w:shd w:val="clear" w:color="auto" w:fill="auto"/>
            <w:vAlign w:val="center"/>
            <w:hideMark/>
          </w:tcPr>
          <w:p w:rsidR="00523B88" w:rsidRPr="00285298" w:rsidRDefault="00A22A1F" w:rsidP="00A22A1F">
            <w:pPr>
              <w:spacing w:after="0"/>
              <w:jc w:val="right"/>
              <w:rPr>
                <w:rFonts w:ascii="Calibri" w:hAnsi="Calibri"/>
                <w:color w:val="000000"/>
                <w:sz w:val="20"/>
                <w:szCs w:val="20"/>
              </w:rPr>
            </w:pPr>
            <w:r>
              <w:rPr>
                <w:rFonts w:ascii="Calibri" w:hAnsi="Calibri"/>
                <w:color w:val="000000"/>
                <w:sz w:val="20"/>
                <w:szCs w:val="20"/>
              </w:rPr>
              <w:t>942</w:t>
            </w:r>
          </w:p>
        </w:tc>
      </w:tr>
      <w:tr w:rsidR="00523B88" w:rsidRPr="00285298" w:rsidTr="00130EBA">
        <w:tc>
          <w:tcPr>
            <w:tcW w:w="3064" w:type="pct"/>
            <w:shd w:val="clear" w:color="auto" w:fill="auto"/>
            <w:vAlign w:val="center"/>
            <w:hideMark/>
          </w:tcPr>
          <w:p w:rsidR="00523B88" w:rsidRPr="00285298" w:rsidRDefault="00523B88" w:rsidP="00285298">
            <w:pPr>
              <w:spacing w:after="0"/>
              <w:rPr>
                <w:rFonts w:ascii="Calibri" w:hAnsi="Calibri"/>
                <w:color w:val="000000"/>
                <w:sz w:val="20"/>
                <w:szCs w:val="20"/>
              </w:rPr>
            </w:pPr>
            <w:r w:rsidRPr="00285298">
              <w:rPr>
                <w:rFonts w:ascii="Calibri" w:hAnsi="Calibri"/>
                <w:color w:val="000000"/>
                <w:sz w:val="20"/>
                <w:szCs w:val="20"/>
              </w:rPr>
              <w:t>Mid-Atlantic Technical Reference Manual, Version 3.0, 2013</w:t>
            </w:r>
          </w:p>
        </w:tc>
        <w:tc>
          <w:tcPr>
            <w:tcW w:w="1081" w:type="pct"/>
            <w:shd w:val="clear" w:color="auto" w:fill="auto"/>
            <w:vAlign w:val="center"/>
            <w:hideMark/>
          </w:tcPr>
          <w:p w:rsidR="00523B88" w:rsidRPr="00285298" w:rsidRDefault="00A22A1F" w:rsidP="00A22A1F">
            <w:pPr>
              <w:spacing w:after="0"/>
              <w:jc w:val="right"/>
              <w:rPr>
                <w:rFonts w:ascii="Calibri" w:hAnsi="Calibri"/>
                <w:color w:val="000000"/>
                <w:sz w:val="20"/>
                <w:szCs w:val="20"/>
              </w:rPr>
            </w:pPr>
            <w:r>
              <w:rPr>
                <w:rFonts w:ascii="Calibri" w:hAnsi="Calibri"/>
                <w:color w:val="000000"/>
                <w:sz w:val="20"/>
                <w:szCs w:val="20"/>
              </w:rPr>
              <w:t>678</w:t>
            </w:r>
          </w:p>
        </w:tc>
        <w:tc>
          <w:tcPr>
            <w:tcW w:w="855" w:type="pct"/>
            <w:shd w:val="clear" w:color="auto" w:fill="auto"/>
            <w:vAlign w:val="center"/>
            <w:hideMark/>
          </w:tcPr>
          <w:p w:rsidR="00523B88" w:rsidRPr="00285298" w:rsidRDefault="00523B88" w:rsidP="00285298">
            <w:pPr>
              <w:spacing w:after="0"/>
              <w:rPr>
                <w:rFonts w:ascii="Calibri" w:hAnsi="Calibri"/>
                <w:color w:val="000000"/>
                <w:sz w:val="20"/>
                <w:szCs w:val="20"/>
              </w:rPr>
            </w:pPr>
            <w:r w:rsidRPr="00285298">
              <w:rPr>
                <w:rFonts w:ascii="Calibri" w:hAnsi="Calibri"/>
                <w:color w:val="000000"/>
                <w:sz w:val="20"/>
                <w:szCs w:val="20"/>
              </w:rPr>
              <w:t> </w:t>
            </w:r>
          </w:p>
        </w:tc>
      </w:tr>
    </w:tbl>
    <w:p w:rsidR="00523B88" w:rsidRDefault="00523B88" w:rsidP="00285298">
      <w:pPr>
        <w:pStyle w:val="NormalAfterTablesandFigures"/>
      </w:pPr>
    </w:p>
    <w:p w:rsidR="00523B88" w:rsidRDefault="00523B88" w:rsidP="00285298">
      <w:r>
        <w:t xml:space="preserve">Of the six sources identified for the refrigerator measure, only five were for measures </w:t>
      </w:r>
      <w:r w:rsidR="00C73799">
        <w:t xml:space="preserve">with </w:t>
      </w:r>
      <w:r>
        <w:t>retired unit</w:t>
      </w:r>
      <w:r w:rsidR="0038661F">
        <w:t>s</w:t>
      </w:r>
      <w:r>
        <w:t xml:space="preserve"> actively replaced by newer, more efficient unit</w:t>
      </w:r>
      <w:r w:rsidR="0038661F">
        <w:t>s</w:t>
      </w:r>
      <w:r>
        <w:t xml:space="preserve">, as </w:t>
      </w:r>
      <w:r w:rsidR="00C73799">
        <w:t xml:space="preserve">set forth </w:t>
      </w:r>
      <w:r>
        <w:t>in the PSD.</w:t>
      </w:r>
      <w:r w:rsidR="002953AD">
        <w:t xml:space="preserve"> </w:t>
      </w:r>
      <w:r>
        <w:t>The sixth source, the Illinois TRM, included a refrigerator recycling program.</w:t>
      </w:r>
      <w:r w:rsidR="002953AD">
        <w:t xml:space="preserve"> </w:t>
      </w:r>
      <w:r>
        <w:t xml:space="preserve">Though </w:t>
      </w:r>
      <w:r w:rsidR="00C73799">
        <w:t xml:space="preserve">these </w:t>
      </w:r>
      <w:r>
        <w:t xml:space="preserve">data </w:t>
      </w:r>
      <w:r w:rsidR="00C73799">
        <w:t>were</w:t>
      </w:r>
      <w:r>
        <w:t xml:space="preserve"> not directly comparable to the measure in question, the retired unit energy consumption </w:t>
      </w:r>
      <w:r w:rsidR="00C73799">
        <w:t xml:space="preserve">proved </w:t>
      </w:r>
      <w:r>
        <w:t>helpful in identifying an input for use in the Connecticut evaluation.</w:t>
      </w:r>
    </w:p>
    <w:p w:rsidR="00523B88" w:rsidRDefault="00523B88" w:rsidP="00B84693">
      <w:r>
        <w:lastRenderedPageBreak/>
        <w:t>Similarly to the refrigerator measure, only three of five sources identified for the freezer replacement measure had measures that included replacing the retired unit with a newer, more efficient unit.</w:t>
      </w:r>
      <w:r w:rsidR="002953AD">
        <w:t xml:space="preserve"> </w:t>
      </w:r>
      <w:r w:rsidR="00CE63B6">
        <w:t>O</w:t>
      </w:r>
      <w:r>
        <w:t xml:space="preserve">ther data collected from these sources included retired unit energy consumption, which </w:t>
      </w:r>
      <w:r w:rsidR="00CE63B6">
        <w:t xml:space="preserve">proved </w:t>
      </w:r>
      <w:r>
        <w:t>helpful in evaluati</w:t>
      </w:r>
      <w:r w:rsidR="00CE63B6">
        <w:t>ng</w:t>
      </w:r>
      <w:r>
        <w:t xml:space="preserve"> missing inputs for the Connecticut evaluation.</w:t>
      </w:r>
      <w:r w:rsidR="002953AD">
        <w:t xml:space="preserve"> </w:t>
      </w:r>
      <w:r w:rsidR="005C2163">
        <w:fldChar w:fldCharType="begin"/>
      </w:r>
      <w:r w:rsidR="00A22A1F">
        <w:instrText xml:space="preserve"> REF _Ref387156290 \h </w:instrText>
      </w:r>
      <w:r w:rsidR="005C2163">
        <w:fldChar w:fldCharType="separate"/>
      </w:r>
      <w:r w:rsidR="00CD20CF">
        <w:t xml:space="preserve">Table </w:t>
      </w:r>
      <w:r w:rsidR="00CD20CF">
        <w:rPr>
          <w:noProof/>
        </w:rPr>
        <w:t>95</w:t>
      </w:r>
      <w:r w:rsidR="005C2163">
        <w:fldChar w:fldCharType="end"/>
      </w:r>
      <w:r w:rsidR="00A22A1F">
        <w:t xml:space="preserve"> and </w:t>
      </w:r>
      <w:r w:rsidR="005C2163">
        <w:fldChar w:fldCharType="begin"/>
      </w:r>
      <w:r w:rsidR="00A22A1F">
        <w:instrText xml:space="preserve"> REF _Ref388525504 \h </w:instrText>
      </w:r>
      <w:r w:rsidR="005C2163">
        <w:fldChar w:fldCharType="separate"/>
      </w:r>
      <w:r w:rsidR="00CD20CF">
        <w:t xml:space="preserve">Table </w:t>
      </w:r>
      <w:r w:rsidR="00CD20CF">
        <w:rPr>
          <w:noProof/>
        </w:rPr>
        <w:t>96</w:t>
      </w:r>
      <w:r w:rsidR="005C2163">
        <w:fldChar w:fldCharType="end"/>
      </w:r>
      <w:r w:rsidR="00A22A1F">
        <w:t xml:space="preserve"> </w:t>
      </w:r>
      <w:r w:rsidR="00CE63B6">
        <w:t>show i</w:t>
      </w:r>
      <w:r>
        <w:t>nputs used to evaluate these measures.</w:t>
      </w:r>
    </w:p>
    <w:p w:rsidR="00523B88" w:rsidRDefault="00523B88" w:rsidP="00B84693">
      <w:pPr>
        <w:pStyle w:val="Caption"/>
      </w:pPr>
      <w:bookmarkStart w:id="163" w:name="_Ref387156290"/>
      <w:r>
        <w:t xml:space="preserve">Table </w:t>
      </w:r>
      <w:r w:rsidR="002506E1">
        <w:fldChar w:fldCharType="begin"/>
      </w:r>
      <w:r w:rsidR="002506E1">
        <w:instrText xml:space="preserve"> SEQ Table \* ARABIC </w:instrText>
      </w:r>
      <w:r w:rsidR="002506E1">
        <w:fldChar w:fldCharType="separate"/>
      </w:r>
      <w:r w:rsidR="00CD20CF">
        <w:rPr>
          <w:noProof/>
        </w:rPr>
        <w:t>95</w:t>
      </w:r>
      <w:r w:rsidR="002506E1">
        <w:rPr>
          <w:noProof/>
        </w:rPr>
        <w:fldChar w:fldCharType="end"/>
      </w:r>
      <w:bookmarkEnd w:id="163"/>
      <w:r>
        <w:t>.</w:t>
      </w:r>
      <w:r w:rsidR="002953AD">
        <w:t xml:space="preserve"> </w:t>
      </w:r>
      <w:r>
        <w:t>Refrigerator Inputs</w:t>
      </w:r>
    </w:p>
    <w:tbl>
      <w:tblPr>
        <w:tblW w:w="500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364"/>
        <w:gridCol w:w="807"/>
        <w:gridCol w:w="899"/>
        <w:gridCol w:w="1081"/>
        <w:gridCol w:w="899"/>
        <w:gridCol w:w="991"/>
        <w:gridCol w:w="1168"/>
        <w:gridCol w:w="1367"/>
      </w:tblGrid>
      <w:tr w:rsidR="0038661F" w:rsidRPr="00285298" w:rsidTr="0038661F">
        <w:trPr>
          <w:jc w:val="center"/>
        </w:trPr>
        <w:tc>
          <w:tcPr>
            <w:tcW w:w="1233" w:type="pct"/>
            <w:shd w:val="clear" w:color="000000" w:fill="005DAA"/>
            <w:vAlign w:val="center"/>
            <w:hideMark/>
          </w:tcPr>
          <w:p w:rsidR="00523B88" w:rsidRPr="00285298" w:rsidRDefault="00523B88" w:rsidP="00B84693">
            <w:pPr>
              <w:spacing w:after="0"/>
              <w:jc w:val="center"/>
              <w:rPr>
                <w:rFonts w:ascii="Calibri" w:hAnsi="Calibri"/>
                <w:b/>
                <w:bCs/>
                <w:color w:val="FFFFFF"/>
              </w:rPr>
            </w:pPr>
            <w:r w:rsidRPr="00285298">
              <w:rPr>
                <w:rFonts w:ascii="Calibri" w:hAnsi="Calibri"/>
                <w:b/>
                <w:bCs/>
                <w:color w:val="FFFFFF"/>
              </w:rPr>
              <w:t>Input</w:t>
            </w:r>
          </w:p>
        </w:tc>
        <w:tc>
          <w:tcPr>
            <w:tcW w:w="421" w:type="pct"/>
            <w:shd w:val="clear" w:color="000000" w:fill="005DAA"/>
            <w:vAlign w:val="center"/>
            <w:hideMark/>
          </w:tcPr>
          <w:p w:rsidR="00523B88" w:rsidRPr="00285298" w:rsidRDefault="00523B88" w:rsidP="00B84693">
            <w:pPr>
              <w:spacing w:after="0"/>
              <w:jc w:val="center"/>
              <w:rPr>
                <w:rFonts w:ascii="Calibri" w:hAnsi="Calibri"/>
                <w:b/>
                <w:bCs/>
                <w:color w:val="FFFFFF"/>
              </w:rPr>
            </w:pPr>
            <w:r w:rsidRPr="00285298">
              <w:rPr>
                <w:rFonts w:ascii="Calibri" w:hAnsi="Calibri"/>
                <w:b/>
                <w:bCs/>
                <w:color w:val="FFFFFF"/>
              </w:rPr>
              <w:t>2013 PSD</w:t>
            </w:r>
          </w:p>
        </w:tc>
        <w:tc>
          <w:tcPr>
            <w:tcW w:w="469" w:type="pct"/>
            <w:shd w:val="clear" w:color="000000" w:fill="005DAA"/>
            <w:vAlign w:val="center"/>
            <w:hideMark/>
          </w:tcPr>
          <w:p w:rsidR="00523B88" w:rsidRPr="00285298" w:rsidRDefault="00523B88" w:rsidP="00B84693">
            <w:pPr>
              <w:spacing w:after="0"/>
              <w:jc w:val="center"/>
              <w:rPr>
                <w:rFonts w:ascii="Calibri" w:hAnsi="Calibri"/>
                <w:b/>
                <w:bCs/>
                <w:color w:val="FFFFFF"/>
              </w:rPr>
            </w:pPr>
            <w:r w:rsidRPr="00285298">
              <w:rPr>
                <w:rFonts w:ascii="Calibri" w:hAnsi="Calibri"/>
                <w:b/>
                <w:bCs/>
                <w:color w:val="FFFFFF"/>
              </w:rPr>
              <w:t>2011 PSD</w:t>
            </w:r>
          </w:p>
        </w:tc>
        <w:tc>
          <w:tcPr>
            <w:tcW w:w="564" w:type="pct"/>
            <w:shd w:val="clear" w:color="000000" w:fill="005DAA"/>
            <w:vAlign w:val="center"/>
            <w:hideMark/>
          </w:tcPr>
          <w:p w:rsidR="00523B88" w:rsidRPr="00285298" w:rsidRDefault="00523B88" w:rsidP="00B84693">
            <w:pPr>
              <w:spacing w:after="0"/>
              <w:jc w:val="center"/>
              <w:rPr>
                <w:rFonts w:ascii="Calibri" w:hAnsi="Calibri"/>
                <w:b/>
                <w:bCs/>
                <w:color w:val="FFFFFF"/>
              </w:rPr>
            </w:pPr>
            <w:r w:rsidRPr="00285298">
              <w:rPr>
                <w:rFonts w:ascii="Calibri" w:hAnsi="Calibri"/>
                <w:b/>
                <w:bCs/>
                <w:color w:val="FFFFFF"/>
              </w:rPr>
              <w:t>Illinois</w:t>
            </w:r>
          </w:p>
        </w:tc>
        <w:tc>
          <w:tcPr>
            <w:tcW w:w="469" w:type="pct"/>
            <w:shd w:val="clear" w:color="000000" w:fill="005DAA"/>
            <w:vAlign w:val="center"/>
            <w:hideMark/>
          </w:tcPr>
          <w:p w:rsidR="00523B88" w:rsidRPr="00285298" w:rsidRDefault="00523B88" w:rsidP="00B84693">
            <w:pPr>
              <w:spacing w:after="0"/>
              <w:jc w:val="center"/>
              <w:rPr>
                <w:rFonts w:ascii="Calibri" w:hAnsi="Calibri"/>
                <w:b/>
                <w:bCs/>
                <w:color w:val="FFFFFF"/>
              </w:rPr>
            </w:pPr>
            <w:r w:rsidRPr="00285298">
              <w:rPr>
                <w:rFonts w:ascii="Calibri" w:hAnsi="Calibri"/>
                <w:b/>
                <w:bCs/>
                <w:color w:val="FFFFFF"/>
              </w:rPr>
              <w:t>MA</w:t>
            </w:r>
          </w:p>
        </w:tc>
        <w:tc>
          <w:tcPr>
            <w:tcW w:w="517" w:type="pct"/>
            <w:shd w:val="clear" w:color="000000" w:fill="005DAA"/>
            <w:vAlign w:val="center"/>
            <w:hideMark/>
          </w:tcPr>
          <w:p w:rsidR="00523B88" w:rsidRPr="00285298" w:rsidRDefault="00523B88" w:rsidP="00B84693">
            <w:pPr>
              <w:spacing w:after="0"/>
              <w:jc w:val="center"/>
              <w:rPr>
                <w:rFonts w:ascii="Calibri" w:hAnsi="Calibri"/>
                <w:b/>
                <w:bCs/>
                <w:color w:val="FFFFFF"/>
              </w:rPr>
            </w:pPr>
            <w:r w:rsidRPr="00285298">
              <w:rPr>
                <w:rFonts w:ascii="Calibri" w:hAnsi="Calibri"/>
                <w:b/>
                <w:bCs/>
                <w:color w:val="FFFFFF"/>
              </w:rPr>
              <w:t>PA 2014</w:t>
            </w:r>
          </w:p>
        </w:tc>
        <w:tc>
          <w:tcPr>
            <w:tcW w:w="610" w:type="pct"/>
            <w:shd w:val="clear" w:color="000000" w:fill="005DAA"/>
            <w:vAlign w:val="center"/>
            <w:hideMark/>
          </w:tcPr>
          <w:p w:rsidR="00523B88" w:rsidRPr="00285298" w:rsidRDefault="00523B88" w:rsidP="00B84693">
            <w:pPr>
              <w:spacing w:after="0"/>
              <w:jc w:val="center"/>
              <w:rPr>
                <w:rFonts w:ascii="Calibri" w:hAnsi="Calibri"/>
                <w:b/>
                <w:bCs/>
                <w:color w:val="FFFFFF"/>
              </w:rPr>
            </w:pPr>
            <w:r w:rsidRPr="00285298">
              <w:rPr>
                <w:rFonts w:ascii="Calibri" w:hAnsi="Calibri"/>
                <w:b/>
                <w:bCs/>
                <w:color w:val="FFFFFF"/>
              </w:rPr>
              <w:t>Indiana</w:t>
            </w:r>
          </w:p>
        </w:tc>
        <w:tc>
          <w:tcPr>
            <w:tcW w:w="714" w:type="pct"/>
            <w:shd w:val="clear" w:color="000000" w:fill="005DAA"/>
            <w:vAlign w:val="center"/>
            <w:hideMark/>
          </w:tcPr>
          <w:p w:rsidR="00523B88" w:rsidRPr="00285298" w:rsidRDefault="00523B88" w:rsidP="00B84693">
            <w:pPr>
              <w:spacing w:after="0"/>
              <w:jc w:val="center"/>
              <w:rPr>
                <w:rFonts w:ascii="Calibri" w:hAnsi="Calibri"/>
                <w:b/>
                <w:bCs/>
                <w:color w:val="FFFFFF"/>
              </w:rPr>
            </w:pPr>
            <w:r w:rsidRPr="00285298">
              <w:rPr>
                <w:rFonts w:ascii="Calibri" w:hAnsi="Calibri"/>
                <w:b/>
                <w:bCs/>
                <w:color w:val="FFFFFF"/>
              </w:rPr>
              <w:t>Mid-Atlantic 2013</w:t>
            </w:r>
          </w:p>
        </w:tc>
      </w:tr>
      <w:tr w:rsidR="0038661F" w:rsidRPr="00285298" w:rsidTr="0038661F">
        <w:trPr>
          <w:jc w:val="center"/>
        </w:trPr>
        <w:tc>
          <w:tcPr>
            <w:tcW w:w="1233" w:type="pct"/>
            <w:shd w:val="clear" w:color="auto" w:fill="auto"/>
            <w:vAlign w:val="center"/>
            <w:hideMark/>
          </w:tcPr>
          <w:p w:rsidR="00523B88" w:rsidRPr="00285298" w:rsidRDefault="00523B88" w:rsidP="00B84693">
            <w:pPr>
              <w:spacing w:after="0"/>
              <w:rPr>
                <w:rFonts w:ascii="Calibri" w:hAnsi="Calibri"/>
                <w:color w:val="000000"/>
                <w:sz w:val="20"/>
                <w:szCs w:val="20"/>
              </w:rPr>
            </w:pPr>
            <w:r w:rsidRPr="00285298">
              <w:rPr>
                <w:rFonts w:ascii="Calibri" w:hAnsi="Calibri"/>
                <w:color w:val="000000"/>
                <w:sz w:val="20"/>
                <w:szCs w:val="20"/>
              </w:rPr>
              <w:t>UEC Replaced Unit (kWh)</w:t>
            </w:r>
          </w:p>
        </w:tc>
        <w:tc>
          <w:tcPr>
            <w:tcW w:w="421" w:type="pct"/>
            <w:shd w:val="clear" w:color="auto" w:fill="auto"/>
            <w:vAlign w:val="center"/>
            <w:hideMark/>
          </w:tcPr>
          <w:p w:rsidR="00523B88" w:rsidRPr="00285298" w:rsidRDefault="00523B88" w:rsidP="00B84693">
            <w:pPr>
              <w:spacing w:after="0"/>
              <w:jc w:val="right"/>
              <w:rPr>
                <w:rFonts w:ascii="Calibri" w:hAnsi="Calibri"/>
                <w:color w:val="000000"/>
                <w:sz w:val="20"/>
                <w:szCs w:val="20"/>
              </w:rPr>
            </w:pPr>
            <w:r w:rsidRPr="00285298">
              <w:rPr>
                <w:rFonts w:ascii="Calibri" w:hAnsi="Calibri"/>
                <w:color w:val="000000"/>
                <w:sz w:val="20"/>
                <w:szCs w:val="20"/>
              </w:rPr>
              <w:t> </w:t>
            </w:r>
          </w:p>
        </w:tc>
        <w:tc>
          <w:tcPr>
            <w:tcW w:w="469" w:type="pct"/>
            <w:shd w:val="clear" w:color="auto" w:fill="auto"/>
            <w:vAlign w:val="center"/>
            <w:hideMark/>
          </w:tcPr>
          <w:p w:rsidR="00523B88" w:rsidRPr="00285298" w:rsidRDefault="00523B88" w:rsidP="00B84693">
            <w:pPr>
              <w:spacing w:after="0"/>
              <w:jc w:val="right"/>
              <w:rPr>
                <w:rFonts w:ascii="Calibri" w:hAnsi="Calibri"/>
                <w:color w:val="000000"/>
                <w:sz w:val="20"/>
                <w:szCs w:val="20"/>
              </w:rPr>
            </w:pPr>
            <w:r w:rsidRPr="00285298">
              <w:rPr>
                <w:rFonts w:ascii="Calibri" w:hAnsi="Calibri"/>
                <w:color w:val="000000"/>
                <w:sz w:val="20"/>
                <w:szCs w:val="20"/>
              </w:rPr>
              <w:t> </w:t>
            </w:r>
          </w:p>
        </w:tc>
        <w:tc>
          <w:tcPr>
            <w:tcW w:w="564" w:type="pct"/>
            <w:shd w:val="clear" w:color="auto" w:fill="auto"/>
            <w:vAlign w:val="center"/>
            <w:hideMark/>
          </w:tcPr>
          <w:p w:rsidR="00523B88" w:rsidRPr="00285298" w:rsidRDefault="00A22A1F" w:rsidP="00B84693">
            <w:pPr>
              <w:spacing w:after="0"/>
              <w:jc w:val="right"/>
              <w:rPr>
                <w:rFonts w:ascii="Calibri" w:hAnsi="Calibri"/>
                <w:color w:val="000000"/>
                <w:sz w:val="20"/>
                <w:szCs w:val="20"/>
              </w:rPr>
            </w:pPr>
            <w:r>
              <w:rPr>
                <w:rFonts w:ascii="Calibri" w:hAnsi="Calibri"/>
                <w:color w:val="000000"/>
                <w:sz w:val="20"/>
                <w:szCs w:val="20"/>
              </w:rPr>
              <w:t>806</w:t>
            </w:r>
          </w:p>
        </w:tc>
        <w:tc>
          <w:tcPr>
            <w:tcW w:w="469" w:type="pct"/>
            <w:shd w:val="clear" w:color="auto" w:fill="auto"/>
            <w:vAlign w:val="center"/>
            <w:hideMark/>
          </w:tcPr>
          <w:p w:rsidR="00523B88" w:rsidRPr="00285298" w:rsidRDefault="00A22A1F" w:rsidP="00B84693">
            <w:pPr>
              <w:spacing w:after="0"/>
              <w:jc w:val="right"/>
              <w:rPr>
                <w:rFonts w:ascii="Calibri" w:hAnsi="Calibri"/>
                <w:color w:val="000000"/>
                <w:sz w:val="20"/>
                <w:szCs w:val="20"/>
              </w:rPr>
            </w:pPr>
            <w:r>
              <w:rPr>
                <w:rFonts w:ascii="Calibri" w:hAnsi="Calibri"/>
                <w:color w:val="000000"/>
                <w:sz w:val="20"/>
                <w:szCs w:val="20"/>
              </w:rPr>
              <w:t>1,180</w:t>
            </w:r>
          </w:p>
        </w:tc>
        <w:tc>
          <w:tcPr>
            <w:tcW w:w="517" w:type="pct"/>
            <w:shd w:val="clear" w:color="auto" w:fill="auto"/>
            <w:vAlign w:val="center"/>
            <w:hideMark/>
          </w:tcPr>
          <w:p w:rsidR="00523B88" w:rsidRPr="00285298" w:rsidRDefault="00523B88" w:rsidP="00B84693">
            <w:pPr>
              <w:spacing w:after="0"/>
              <w:jc w:val="right"/>
              <w:rPr>
                <w:rFonts w:ascii="Calibri" w:hAnsi="Calibri"/>
                <w:color w:val="000000"/>
                <w:sz w:val="20"/>
                <w:szCs w:val="20"/>
              </w:rPr>
            </w:pPr>
            <w:r w:rsidRPr="00285298">
              <w:rPr>
                <w:rFonts w:ascii="Calibri" w:hAnsi="Calibri"/>
                <w:color w:val="000000"/>
                <w:sz w:val="20"/>
                <w:szCs w:val="20"/>
              </w:rPr>
              <w:t>1,01</w:t>
            </w:r>
            <w:r w:rsidR="00A22A1F">
              <w:rPr>
                <w:rFonts w:ascii="Calibri" w:hAnsi="Calibri"/>
                <w:color w:val="000000"/>
                <w:sz w:val="20"/>
                <w:szCs w:val="20"/>
              </w:rPr>
              <w:t>8</w:t>
            </w:r>
          </w:p>
        </w:tc>
        <w:tc>
          <w:tcPr>
            <w:tcW w:w="610" w:type="pct"/>
            <w:shd w:val="clear" w:color="auto" w:fill="auto"/>
            <w:vAlign w:val="center"/>
            <w:hideMark/>
          </w:tcPr>
          <w:p w:rsidR="00523B88" w:rsidRPr="00285298" w:rsidRDefault="00A22A1F" w:rsidP="00B84693">
            <w:pPr>
              <w:spacing w:after="0"/>
              <w:jc w:val="right"/>
              <w:rPr>
                <w:rFonts w:ascii="Calibri" w:hAnsi="Calibri"/>
                <w:color w:val="000000"/>
                <w:sz w:val="20"/>
                <w:szCs w:val="20"/>
              </w:rPr>
            </w:pPr>
            <w:r>
              <w:rPr>
                <w:rFonts w:ascii="Calibri" w:hAnsi="Calibri"/>
                <w:color w:val="000000"/>
                <w:sz w:val="20"/>
                <w:szCs w:val="20"/>
              </w:rPr>
              <w:t>1,696</w:t>
            </w:r>
          </w:p>
        </w:tc>
        <w:tc>
          <w:tcPr>
            <w:tcW w:w="714" w:type="pct"/>
            <w:shd w:val="clear" w:color="auto" w:fill="auto"/>
            <w:vAlign w:val="center"/>
            <w:hideMark/>
          </w:tcPr>
          <w:p w:rsidR="00523B88" w:rsidRPr="00285298" w:rsidRDefault="00A22A1F" w:rsidP="00B84693">
            <w:pPr>
              <w:spacing w:after="0"/>
              <w:jc w:val="right"/>
              <w:rPr>
                <w:rFonts w:ascii="Calibri" w:hAnsi="Calibri"/>
                <w:color w:val="000000"/>
                <w:sz w:val="20"/>
                <w:szCs w:val="20"/>
              </w:rPr>
            </w:pPr>
            <w:r>
              <w:rPr>
                <w:rFonts w:ascii="Calibri" w:hAnsi="Calibri"/>
                <w:color w:val="000000"/>
                <w:sz w:val="20"/>
                <w:szCs w:val="20"/>
              </w:rPr>
              <w:t>1,146</w:t>
            </w:r>
          </w:p>
        </w:tc>
      </w:tr>
      <w:tr w:rsidR="0038661F" w:rsidRPr="00285298" w:rsidTr="0038661F">
        <w:trPr>
          <w:jc w:val="center"/>
        </w:trPr>
        <w:tc>
          <w:tcPr>
            <w:tcW w:w="1233" w:type="pct"/>
            <w:shd w:val="clear" w:color="auto" w:fill="auto"/>
            <w:vAlign w:val="center"/>
            <w:hideMark/>
          </w:tcPr>
          <w:p w:rsidR="00523B88" w:rsidRPr="00285298" w:rsidRDefault="00523B88" w:rsidP="00B84693">
            <w:pPr>
              <w:spacing w:after="0"/>
              <w:rPr>
                <w:rFonts w:ascii="Calibri" w:hAnsi="Calibri"/>
                <w:color w:val="000000"/>
                <w:sz w:val="20"/>
                <w:szCs w:val="20"/>
              </w:rPr>
            </w:pPr>
            <w:r w:rsidRPr="00285298">
              <w:rPr>
                <w:rFonts w:ascii="Calibri" w:hAnsi="Calibri"/>
                <w:color w:val="000000"/>
                <w:sz w:val="20"/>
                <w:szCs w:val="20"/>
              </w:rPr>
              <w:t>UEC New Unit (kWh)</w:t>
            </w:r>
          </w:p>
        </w:tc>
        <w:tc>
          <w:tcPr>
            <w:tcW w:w="421" w:type="pct"/>
            <w:shd w:val="clear" w:color="auto" w:fill="auto"/>
            <w:vAlign w:val="center"/>
            <w:hideMark/>
          </w:tcPr>
          <w:p w:rsidR="00523B88" w:rsidRPr="00285298" w:rsidRDefault="00523B88" w:rsidP="00B84693">
            <w:pPr>
              <w:spacing w:after="0"/>
              <w:jc w:val="right"/>
              <w:rPr>
                <w:rFonts w:ascii="Calibri" w:hAnsi="Calibri"/>
                <w:color w:val="000000"/>
                <w:sz w:val="20"/>
                <w:szCs w:val="20"/>
              </w:rPr>
            </w:pPr>
            <w:r w:rsidRPr="00285298">
              <w:rPr>
                <w:rFonts w:ascii="Calibri" w:hAnsi="Calibri"/>
                <w:color w:val="000000"/>
                <w:sz w:val="20"/>
                <w:szCs w:val="20"/>
              </w:rPr>
              <w:t> </w:t>
            </w:r>
          </w:p>
        </w:tc>
        <w:tc>
          <w:tcPr>
            <w:tcW w:w="469" w:type="pct"/>
            <w:shd w:val="clear" w:color="auto" w:fill="auto"/>
            <w:vAlign w:val="center"/>
            <w:hideMark/>
          </w:tcPr>
          <w:p w:rsidR="00523B88" w:rsidRPr="00285298" w:rsidRDefault="00523B88" w:rsidP="00B84693">
            <w:pPr>
              <w:spacing w:after="0"/>
              <w:jc w:val="right"/>
              <w:rPr>
                <w:rFonts w:ascii="Calibri" w:hAnsi="Calibri"/>
                <w:color w:val="000000"/>
                <w:sz w:val="20"/>
                <w:szCs w:val="20"/>
              </w:rPr>
            </w:pPr>
            <w:r w:rsidRPr="00285298">
              <w:rPr>
                <w:rFonts w:ascii="Calibri" w:hAnsi="Calibri"/>
                <w:color w:val="000000"/>
                <w:sz w:val="20"/>
                <w:szCs w:val="20"/>
              </w:rPr>
              <w:t> </w:t>
            </w:r>
          </w:p>
        </w:tc>
        <w:tc>
          <w:tcPr>
            <w:tcW w:w="564" w:type="pct"/>
            <w:shd w:val="clear" w:color="auto" w:fill="auto"/>
            <w:vAlign w:val="center"/>
            <w:hideMark/>
          </w:tcPr>
          <w:p w:rsidR="00523B88" w:rsidRPr="00285298" w:rsidRDefault="00523B88" w:rsidP="00B84693">
            <w:pPr>
              <w:spacing w:after="0"/>
              <w:jc w:val="right"/>
              <w:rPr>
                <w:rFonts w:ascii="Calibri" w:hAnsi="Calibri"/>
                <w:color w:val="000000"/>
                <w:sz w:val="20"/>
                <w:szCs w:val="20"/>
              </w:rPr>
            </w:pPr>
            <w:r w:rsidRPr="00285298">
              <w:rPr>
                <w:rFonts w:ascii="Calibri" w:hAnsi="Calibri"/>
                <w:color w:val="000000"/>
                <w:sz w:val="20"/>
                <w:szCs w:val="20"/>
              </w:rPr>
              <w:t> </w:t>
            </w:r>
          </w:p>
        </w:tc>
        <w:tc>
          <w:tcPr>
            <w:tcW w:w="469" w:type="pct"/>
            <w:shd w:val="clear" w:color="auto" w:fill="auto"/>
            <w:vAlign w:val="center"/>
            <w:hideMark/>
          </w:tcPr>
          <w:p w:rsidR="00523B88" w:rsidRPr="00285298" w:rsidRDefault="00A22A1F" w:rsidP="00B84693">
            <w:pPr>
              <w:spacing w:after="0"/>
              <w:jc w:val="right"/>
              <w:rPr>
                <w:rFonts w:ascii="Calibri" w:hAnsi="Calibri"/>
                <w:color w:val="000000"/>
                <w:sz w:val="20"/>
                <w:szCs w:val="20"/>
              </w:rPr>
            </w:pPr>
            <w:r>
              <w:rPr>
                <w:rFonts w:ascii="Calibri" w:hAnsi="Calibri"/>
                <w:color w:val="000000"/>
                <w:sz w:val="20"/>
                <w:szCs w:val="20"/>
              </w:rPr>
              <w:t>418</w:t>
            </w:r>
          </w:p>
        </w:tc>
        <w:tc>
          <w:tcPr>
            <w:tcW w:w="517" w:type="pct"/>
            <w:shd w:val="clear" w:color="auto" w:fill="auto"/>
            <w:vAlign w:val="center"/>
            <w:hideMark/>
          </w:tcPr>
          <w:p w:rsidR="00523B88" w:rsidRPr="00285298" w:rsidRDefault="00523B88" w:rsidP="00B84693">
            <w:pPr>
              <w:spacing w:after="0"/>
              <w:jc w:val="right"/>
              <w:rPr>
                <w:rFonts w:ascii="Calibri" w:hAnsi="Calibri"/>
                <w:color w:val="000000"/>
                <w:sz w:val="20"/>
                <w:szCs w:val="20"/>
              </w:rPr>
            </w:pPr>
            <w:r w:rsidRPr="00285298">
              <w:rPr>
                <w:rFonts w:ascii="Calibri" w:hAnsi="Calibri"/>
                <w:color w:val="000000"/>
                <w:sz w:val="20"/>
                <w:szCs w:val="20"/>
              </w:rPr>
              <w:t>431</w:t>
            </w:r>
          </w:p>
        </w:tc>
        <w:tc>
          <w:tcPr>
            <w:tcW w:w="610" w:type="pct"/>
            <w:shd w:val="clear" w:color="auto" w:fill="auto"/>
            <w:vAlign w:val="center"/>
            <w:hideMark/>
          </w:tcPr>
          <w:p w:rsidR="00523B88" w:rsidRPr="00285298" w:rsidRDefault="00A22A1F" w:rsidP="00B84693">
            <w:pPr>
              <w:spacing w:after="0"/>
              <w:jc w:val="right"/>
              <w:rPr>
                <w:rFonts w:ascii="Calibri" w:hAnsi="Calibri"/>
                <w:color w:val="000000"/>
                <w:sz w:val="20"/>
                <w:szCs w:val="20"/>
              </w:rPr>
            </w:pPr>
            <w:r>
              <w:rPr>
                <w:rFonts w:ascii="Calibri" w:hAnsi="Calibri"/>
                <w:color w:val="000000"/>
                <w:sz w:val="20"/>
                <w:szCs w:val="20"/>
              </w:rPr>
              <w:t>445</w:t>
            </w:r>
          </w:p>
        </w:tc>
        <w:tc>
          <w:tcPr>
            <w:tcW w:w="714" w:type="pct"/>
            <w:shd w:val="clear" w:color="auto" w:fill="auto"/>
            <w:vAlign w:val="center"/>
            <w:hideMark/>
          </w:tcPr>
          <w:p w:rsidR="00523B88" w:rsidRPr="00285298" w:rsidRDefault="00523B88" w:rsidP="00B84693">
            <w:pPr>
              <w:spacing w:after="0"/>
              <w:jc w:val="right"/>
              <w:rPr>
                <w:rFonts w:ascii="Calibri" w:hAnsi="Calibri"/>
                <w:color w:val="000000"/>
                <w:sz w:val="20"/>
                <w:szCs w:val="20"/>
              </w:rPr>
            </w:pPr>
            <w:r w:rsidRPr="00285298">
              <w:rPr>
                <w:rFonts w:ascii="Calibri" w:hAnsi="Calibri"/>
                <w:color w:val="000000"/>
                <w:sz w:val="20"/>
                <w:szCs w:val="20"/>
              </w:rPr>
              <w:t>468</w:t>
            </w:r>
          </w:p>
        </w:tc>
      </w:tr>
      <w:tr w:rsidR="0038661F" w:rsidRPr="00285298" w:rsidTr="0038661F">
        <w:trPr>
          <w:jc w:val="center"/>
        </w:trPr>
        <w:tc>
          <w:tcPr>
            <w:tcW w:w="1233" w:type="pct"/>
            <w:shd w:val="clear" w:color="auto" w:fill="auto"/>
            <w:vAlign w:val="center"/>
            <w:hideMark/>
          </w:tcPr>
          <w:p w:rsidR="00523B88" w:rsidRPr="00285298" w:rsidRDefault="00523B88" w:rsidP="00B84693">
            <w:pPr>
              <w:spacing w:after="0"/>
              <w:rPr>
                <w:rFonts w:ascii="Calibri" w:hAnsi="Calibri"/>
                <w:color w:val="000000"/>
                <w:sz w:val="20"/>
                <w:szCs w:val="20"/>
              </w:rPr>
            </w:pPr>
            <w:r w:rsidRPr="00285298">
              <w:rPr>
                <w:rFonts w:ascii="Calibri" w:hAnsi="Calibri"/>
                <w:color w:val="000000"/>
                <w:sz w:val="20"/>
                <w:szCs w:val="20"/>
              </w:rPr>
              <w:t>Site-Lab Factor (%)</w:t>
            </w:r>
          </w:p>
        </w:tc>
        <w:tc>
          <w:tcPr>
            <w:tcW w:w="421" w:type="pct"/>
            <w:shd w:val="clear" w:color="auto" w:fill="auto"/>
            <w:vAlign w:val="center"/>
            <w:hideMark/>
          </w:tcPr>
          <w:p w:rsidR="00523B88" w:rsidRPr="00285298" w:rsidRDefault="00523B88" w:rsidP="00B84693">
            <w:pPr>
              <w:spacing w:after="0"/>
              <w:jc w:val="right"/>
              <w:rPr>
                <w:rFonts w:ascii="Calibri" w:hAnsi="Calibri"/>
                <w:color w:val="000000"/>
                <w:sz w:val="20"/>
                <w:szCs w:val="20"/>
              </w:rPr>
            </w:pPr>
            <w:r w:rsidRPr="00285298">
              <w:rPr>
                <w:rFonts w:ascii="Calibri" w:hAnsi="Calibri"/>
                <w:color w:val="000000"/>
                <w:sz w:val="20"/>
                <w:szCs w:val="20"/>
              </w:rPr>
              <w:t>0.88</w:t>
            </w:r>
          </w:p>
        </w:tc>
        <w:tc>
          <w:tcPr>
            <w:tcW w:w="469" w:type="pct"/>
            <w:shd w:val="clear" w:color="auto" w:fill="auto"/>
            <w:vAlign w:val="center"/>
            <w:hideMark/>
          </w:tcPr>
          <w:p w:rsidR="00523B88" w:rsidRPr="00285298" w:rsidRDefault="00523B88" w:rsidP="00B84693">
            <w:pPr>
              <w:spacing w:after="0"/>
              <w:jc w:val="right"/>
              <w:rPr>
                <w:rFonts w:ascii="Calibri" w:hAnsi="Calibri"/>
                <w:color w:val="000000"/>
                <w:sz w:val="20"/>
                <w:szCs w:val="20"/>
              </w:rPr>
            </w:pPr>
            <w:r w:rsidRPr="00285298">
              <w:rPr>
                <w:rFonts w:ascii="Calibri" w:hAnsi="Calibri"/>
                <w:color w:val="000000"/>
                <w:sz w:val="20"/>
                <w:szCs w:val="20"/>
              </w:rPr>
              <w:t>0.88</w:t>
            </w:r>
          </w:p>
        </w:tc>
        <w:tc>
          <w:tcPr>
            <w:tcW w:w="564" w:type="pct"/>
            <w:shd w:val="clear" w:color="auto" w:fill="auto"/>
            <w:vAlign w:val="center"/>
            <w:hideMark/>
          </w:tcPr>
          <w:p w:rsidR="00523B88" w:rsidRPr="00285298" w:rsidRDefault="00523B88" w:rsidP="00B84693">
            <w:pPr>
              <w:spacing w:after="0"/>
              <w:jc w:val="right"/>
              <w:rPr>
                <w:rFonts w:ascii="Calibri" w:hAnsi="Calibri"/>
                <w:color w:val="000000"/>
                <w:sz w:val="20"/>
                <w:szCs w:val="20"/>
              </w:rPr>
            </w:pPr>
            <w:r w:rsidRPr="00285298">
              <w:rPr>
                <w:rFonts w:ascii="Calibri" w:hAnsi="Calibri"/>
                <w:color w:val="000000"/>
                <w:sz w:val="20"/>
                <w:szCs w:val="20"/>
              </w:rPr>
              <w:t> </w:t>
            </w:r>
          </w:p>
        </w:tc>
        <w:tc>
          <w:tcPr>
            <w:tcW w:w="469" w:type="pct"/>
            <w:shd w:val="clear" w:color="auto" w:fill="auto"/>
            <w:vAlign w:val="center"/>
            <w:hideMark/>
          </w:tcPr>
          <w:p w:rsidR="00523B88" w:rsidRPr="00285298" w:rsidRDefault="00523B88" w:rsidP="00B84693">
            <w:pPr>
              <w:spacing w:after="0"/>
              <w:jc w:val="right"/>
              <w:rPr>
                <w:rFonts w:ascii="Calibri" w:hAnsi="Calibri"/>
                <w:color w:val="000000"/>
                <w:sz w:val="20"/>
                <w:szCs w:val="20"/>
              </w:rPr>
            </w:pPr>
            <w:r w:rsidRPr="00285298">
              <w:rPr>
                <w:rFonts w:ascii="Calibri" w:hAnsi="Calibri"/>
                <w:color w:val="000000"/>
                <w:sz w:val="20"/>
                <w:szCs w:val="20"/>
              </w:rPr>
              <w:t> </w:t>
            </w:r>
          </w:p>
        </w:tc>
        <w:tc>
          <w:tcPr>
            <w:tcW w:w="517" w:type="pct"/>
            <w:shd w:val="clear" w:color="auto" w:fill="auto"/>
            <w:vAlign w:val="center"/>
            <w:hideMark/>
          </w:tcPr>
          <w:p w:rsidR="00523B88" w:rsidRPr="00285298" w:rsidRDefault="00523B88" w:rsidP="00B84693">
            <w:pPr>
              <w:spacing w:after="0"/>
              <w:jc w:val="right"/>
              <w:rPr>
                <w:rFonts w:ascii="Calibri" w:hAnsi="Calibri"/>
                <w:color w:val="000000"/>
                <w:sz w:val="20"/>
                <w:szCs w:val="20"/>
              </w:rPr>
            </w:pPr>
            <w:r w:rsidRPr="00285298">
              <w:rPr>
                <w:rFonts w:ascii="Calibri" w:hAnsi="Calibri"/>
                <w:color w:val="000000"/>
                <w:sz w:val="20"/>
                <w:szCs w:val="20"/>
              </w:rPr>
              <w:t> </w:t>
            </w:r>
          </w:p>
        </w:tc>
        <w:tc>
          <w:tcPr>
            <w:tcW w:w="610" w:type="pct"/>
            <w:shd w:val="clear" w:color="auto" w:fill="auto"/>
            <w:vAlign w:val="center"/>
            <w:hideMark/>
          </w:tcPr>
          <w:p w:rsidR="00523B88" w:rsidRPr="00285298" w:rsidRDefault="00523B88" w:rsidP="00B84693">
            <w:pPr>
              <w:spacing w:after="0"/>
              <w:jc w:val="right"/>
              <w:rPr>
                <w:rFonts w:ascii="Calibri" w:hAnsi="Calibri"/>
                <w:color w:val="000000"/>
                <w:sz w:val="20"/>
                <w:szCs w:val="20"/>
              </w:rPr>
            </w:pPr>
            <w:r w:rsidRPr="00285298">
              <w:rPr>
                <w:rFonts w:ascii="Calibri" w:hAnsi="Calibri"/>
                <w:color w:val="000000"/>
                <w:sz w:val="20"/>
                <w:szCs w:val="20"/>
              </w:rPr>
              <w:t> </w:t>
            </w:r>
          </w:p>
        </w:tc>
        <w:tc>
          <w:tcPr>
            <w:tcW w:w="714" w:type="pct"/>
            <w:shd w:val="clear" w:color="auto" w:fill="auto"/>
            <w:vAlign w:val="center"/>
            <w:hideMark/>
          </w:tcPr>
          <w:p w:rsidR="00523B88" w:rsidRPr="00285298" w:rsidRDefault="00523B88" w:rsidP="00B84693">
            <w:pPr>
              <w:spacing w:after="0"/>
              <w:jc w:val="right"/>
              <w:rPr>
                <w:rFonts w:ascii="Calibri" w:hAnsi="Calibri"/>
                <w:color w:val="000000"/>
                <w:sz w:val="20"/>
                <w:szCs w:val="20"/>
              </w:rPr>
            </w:pPr>
            <w:r w:rsidRPr="00285298">
              <w:rPr>
                <w:rFonts w:ascii="Calibri" w:hAnsi="Calibri"/>
                <w:color w:val="000000"/>
                <w:sz w:val="20"/>
                <w:szCs w:val="20"/>
              </w:rPr>
              <w:t> </w:t>
            </w:r>
          </w:p>
        </w:tc>
      </w:tr>
      <w:tr w:rsidR="0038661F" w:rsidRPr="00285298" w:rsidTr="0038661F">
        <w:trPr>
          <w:jc w:val="center"/>
        </w:trPr>
        <w:tc>
          <w:tcPr>
            <w:tcW w:w="1233" w:type="pct"/>
            <w:shd w:val="clear" w:color="auto" w:fill="auto"/>
            <w:vAlign w:val="center"/>
            <w:hideMark/>
          </w:tcPr>
          <w:p w:rsidR="00523B88" w:rsidRPr="00285298" w:rsidRDefault="00523B88" w:rsidP="00B84693">
            <w:pPr>
              <w:spacing w:after="0"/>
              <w:rPr>
                <w:rFonts w:ascii="Calibri" w:hAnsi="Calibri"/>
                <w:color w:val="000000"/>
                <w:sz w:val="20"/>
                <w:szCs w:val="20"/>
              </w:rPr>
            </w:pPr>
            <w:r w:rsidRPr="00285298">
              <w:rPr>
                <w:rFonts w:ascii="Calibri" w:hAnsi="Calibri"/>
                <w:color w:val="000000"/>
                <w:sz w:val="20"/>
                <w:szCs w:val="20"/>
              </w:rPr>
              <w:t>Claimed Savings (kWh)</w:t>
            </w:r>
          </w:p>
        </w:tc>
        <w:tc>
          <w:tcPr>
            <w:tcW w:w="421" w:type="pct"/>
            <w:shd w:val="clear" w:color="auto" w:fill="auto"/>
            <w:vAlign w:val="center"/>
            <w:hideMark/>
          </w:tcPr>
          <w:p w:rsidR="00523B88" w:rsidRPr="00285298" w:rsidRDefault="00523B88" w:rsidP="00B84693">
            <w:pPr>
              <w:spacing w:after="0"/>
              <w:jc w:val="right"/>
              <w:rPr>
                <w:rFonts w:ascii="Calibri" w:hAnsi="Calibri"/>
                <w:color w:val="000000"/>
                <w:sz w:val="20"/>
                <w:szCs w:val="20"/>
              </w:rPr>
            </w:pPr>
            <w:r w:rsidRPr="00285298">
              <w:rPr>
                <w:rFonts w:ascii="Calibri" w:hAnsi="Calibri"/>
                <w:color w:val="000000"/>
                <w:sz w:val="20"/>
                <w:szCs w:val="20"/>
              </w:rPr>
              <w:t> </w:t>
            </w:r>
          </w:p>
        </w:tc>
        <w:tc>
          <w:tcPr>
            <w:tcW w:w="469" w:type="pct"/>
            <w:shd w:val="clear" w:color="auto" w:fill="auto"/>
            <w:vAlign w:val="center"/>
            <w:hideMark/>
          </w:tcPr>
          <w:p w:rsidR="00523B88" w:rsidRPr="00285298" w:rsidRDefault="00A22A1F" w:rsidP="00B84693">
            <w:pPr>
              <w:spacing w:after="0"/>
              <w:jc w:val="right"/>
              <w:rPr>
                <w:rFonts w:ascii="Calibri" w:hAnsi="Calibri"/>
                <w:color w:val="000000"/>
                <w:sz w:val="20"/>
                <w:szCs w:val="20"/>
              </w:rPr>
            </w:pPr>
            <w:r>
              <w:rPr>
                <w:rFonts w:ascii="Calibri" w:hAnsi="Calibri"/>
                <w:color w:val="000000"/>
                <w:sz w:val="20"/>
                <w:szCs w:val="20"/>
              </w:rPr>
              <w:t>247</w:t>
            </w:r>
          </w:p>
        </w:tc>
        <w:tc>
          <w:tcPr>
            <w:tcW w:w="564" w:type="pct"/>
            <w:shd w:val="clear" w:color="auto" w:fill="auto"/>
            <w:vAlign w:val="center"/>
            <w:hideMark/>
          </w:tcPr>
          <w:p w:rsidR="00523B88" w:rsidRPr="00285298" w:rsidRDefault="00A22A1F" w:rsidP="00B84693">
            <w:pPr>
              <w:spacing w:after="0"/>
              <w:jc w:val="right"/>
              <w:rPr>
                <w:rFonts w:ascii="Calibri" w:hAnsi="Calibri"/>
                <w:color w:val="000000"/>
                <w:sz w:val="20"/>
                <w:szCs w:val="20"/>
              </w:rPr>
            </w:pPr>
            <w:r>
              <w:rPr>
                <w:rFonts w:ascii="Calibri" w:hAnsi="Calibri"/>
                <w:color w:val="000000"/>
                <w:sz w:val="20"/>
                <w:szCs w:val="20"/>
              </w:rPr>
              <w:t>806</w:t>
            </w:r>
          </w:p>
        </w:tc>
        <w:tc>
          <w:tcPr>
            <w:tcW w:w="469" w:type="pct"/>
            <w:shd w:val="clear" w:color="auto" w:fill="auto"/>
            <w:vAlign w:val="center"/>
            <w:hideMark/>
          </w:tcPr>
          <w:p w:rsidR="00523B88" w:rsidRPr="00285298" w:rsidRDefault="00A22A1F" w:rsidP="00B84693">
            <w:pPr>
              <w:spacing w:after="0"/>
              <w:jc w:val="right"/>
              <w:rPr>
                <w:rFonts w:ascii="Calibri" w:hAnsi="Calibri"/>
                <w:color w:val="000000"/>
                <w:sz w:val="20"/>
                <w:szCs w:val="20"/>
              </w:rPr>
            </w:pPr>
            <w:r>
              <w:rPr>
                <w:rFonts w:ascii="Calibri" w:hAnsi="Calibri"/>
                <w:color w:val="000000"/>
                <w:sz w:val="20"/>
                <w:szCs w:val="20"/>
              </w:rPr>
              <w:t>762</w:t>
            </w:r>
          </w:p>
        </w:tc>
        <w:tc>
          <w:tcPr>
            <w:tcW w:w="517" w:type="pct"/>
            <w:shd w:val="clear" w:color="auto" w:fill="auto"/>
            <w:vAlign w:val="center"/>
            <w:hideMark/>
          </w:tcPr>
          <w:p w:rsidR="00523B88" w:rsidRPr="00285298" w:rsidRDefault="00A22A1F" w:rsidP="00B84693">
            <w:pPr>
              <w:spacing w:after="0"/>
              <w:jc w:val="right"/>
              <w:rPr>
                <w:rFonts w:ascii="Calibri" w:hAnsi="Calibri"/>
                <w:color w:val="000000"/>
                <w:sz w:val="20"/>
                <w:szCs w:val="20"/>
              </w:rPr>
            </w:pPr>
            <w:r>
              <w:rPr>
                <w:rFonts w:ascii="Calibri" w:hAnsi="Calibri"/>
                <w:color w:val="000000"/>
                <w:sz w:val="20"/>
                <w:szCs w:val="20"/>
              </w:rPr>
              <w:t>586</w:t>
            </w:r>
          </w:p>
        </w:tc>
        <w:tc>
          <w:tcPr>
            <w:tcW w:w="610" w:type="pct"/>
            <w:shd w:val="clear" w:color="auto" w:fill="auto"/>
            <w:vAlign w:val="center"/>
            <w:hideMark/>
          </w:tcPr>
          <w:p w:rsidR="00523B88" w:rsidRPr="00285298" w:rsidRDefault="00A22A1F" w:rsidP="00B84693">
            <w:pPr>
              <w:spacing w:after="0"/>
              <w:jc w:val="right"/>
              <w:rPr>
                <w:rFonts w:ascii="Calibri" w:hAnsi="Calibri"/>
                <w:color w:val="000000"/>
                <w:sz w:val="20"/>
                <w:szCs w:val="20"/>
              </w:rPr>
            </w:pPr>
            <w:r>
              <w:rPr>
                <w:rFonts w:ascii="Calibri" w:hAnsi="Calibri"/>
                <w:color w:val="000000"/>
                <w:sz w:val="20"/>
                <w:szCs w:val="20"/>
              </w:rPr>
              <w:t>1,251</w:t>
            </w:r>
          </w:p>
        </w:tc>
        <w:tc>
          <w:tcPr>
            <w:tcW w:w="714" w:type="pct"/>
            <w:shd w:val="clear" w:color="auto" w:fill="auto"/>
            <w:vAlign w:val="center"/>
            <w:hideMark/>
          </w:tcPr>
          <w:p w:rsidR="00523B88" w:rsidRPr="00285298" w:rsidRDefault="00523B88" w:rsidP="00B84693">
            <w:pPr>
              <w:spacing w:after="0"/>
              <w:jc w:val="right"/>
              <w:rPr>
                <w:rFonts w:ascii="Calibri" w:hAnsi="Calibri"/>
                <w:color w:val="000000"/>
                <w:sz w:val="20"/>
                <w:szCs w:val="20"/>
              </w:rPr>
            </w:pPr>
            <w:r w:rsidRPr="00285298">
              <w:rPr>
                <w:rFonts w:ascii="Calibri" w:hAnsi="Calibri"/>
                <w:color w:val="000000"/>
                <w:sz w:val="20"/>
                <w:szCs w:val="20"/>
              </w:rPr>
              <w:t>67</w:t>
            </w:r>
            <w:r w:rsidR="00A22A1F">
              <w:rPr>
                <w:rFonts w:ascii="Calibri" w:hAnsi="Calibri"/>
                <w:color w:val="000000"/>
                <w:sz w:val="20"/>
                <w:szCs w:val="20"/>
              </w:rPr>
              <w:t>8</w:t>
            </w:r>
          </w:p>
        </w:tc>
      </w:tr>
    </w:tbl>
    <w:p w:rsidR="00523B88" w:rsidRDefault="00523B88" w:rsidP="00B84693">
      <w:pPr>
        <w:pStyle w:val="NormalAfterTablesandFigures"/>
      </w:pPr>
    </w:p>
    <w:p w:rsidR="00523B88" w:rsidRDefault="00523B88" w:rsidP="00B84693">
      <w:pPr>
        <w:pStyle w:val="Caption"/>
      </w:pPr>
      <w:bookmarkStart w:id="164" w:name="_Ref388525504"/>
      <w:r>
        <w:t xml:space="preserve">Table </w:t>
      </w:r>
      <w:r w:rsidR="002506E1">
        <w:fldChar w:fldCharType="begin"/>
      </w:r>
      <w:r w:rsidR="002506E1">
        <w:instrText xml:space="preserve"> SEQ Table \* ARABIC </w:instrText>
      </w:r>
      <w:r w:rsidR="002506E1">
        <w:fldChar w:fldCharType="separate"/>
      </w:r>
      <w:r w:rsidR="00CD20CF">
        <w:rPr>
          <w:noProof/>
        </w:rPr>
        <w:t>96</w:t>
      </w:r>
      <w:r w:rsidR="002506E1">
        <w:rPr>
          <w:noProof/>
        </w:rPr>
        <w:fldChar w:fldCharType="end"/>
      </w:r>
      <w:bookmarkEnd w:id="164"/>
      <w:r>
        <w:t>.</w:t>
      </w:r>
      <w:r w:rsidR="002953AD">
        <w:t xml:space="preserve"> </w:t>
      </w:r>
      <w:r>
        <w:t>Freezer Inputs</w:t>
      </w:r>
    </w:p>
    <w:tbl>
      <w:tblPr>
        <w:tblW w:w="500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25"/>
        <w:gridCol w:w="1287"/>
        <w:gridCol w:w="1287"/>
        <w:gridCol w:w="1111"/>
        <w:gridCol w:w="929"/>
        <w:gridCol w:w="1157"/>
        <w:gridCol w:w="1080"/>
      </w:tblGrid>
      <w:tr w:rsidR="00523B88" w:rsidRPr="0060367B" w:rsidTr="00E87223">
        <w:trPr>
          <w:jc w:val="center"/>
        </w:trPr>
        <w:tc>
          <w:tcPr>
            <w:tcW w:w="1423" w:type="pct"/>
            <w:shd w:val="clear" w:color="000000" w:fill="005DAA"/>
            <w:vAlign w:val="center"/>
            <w:hideMark/>
          </w:tcPr>
          <w:p w:rsidR="00523B88" w:rsidRPr="00D80A1B" w:rsidRDefault="00523B88" w:rsidP="00B84693">
            <w:pPr>
              <w:spacing w:after="0"/>
              <w:jc w:val="center"/>
              <w:rPr>
                <w:rFonts w:ascii="Calibri" w:hAnsi="Calibri"/>
                <w:b/>
                <w:bCs/>
                <w:color w:val="FFFFFF"/>
              </w:rPr>
            </w:pPr>
            <w:r w:rsidRPr="00D80A1B">
              <w:rPr>
                <w:rFonts w:ascii="Calibri" w:hAnsi="Calibri"/>
                <w:b/>
                <w:bCs/>
                <w:color w:val="FFFFFF"/>
              </w:rPr>
              <w:t>Input</w:t>
            </w:r>
          </w:p>
        </w:tc>
        <w:tc>
          <w:tcPr>
            <w:tcW w:w="672" w:type="pct"/>
            <w:shd w:val="clear" w:color="000000" w:fill="005DAA"/>
            <w:vAlign w:val="center"/>
            <w:hideMark/>
          </w:tcPr>
          <w:p w:rsidR="00523B88" w:rsidRPr="00D80A1B" w:rsidRDefault="00523B88" w:rsidP="00B84693">
            <w:pPr>
              <w:spacing w:after="0"/>
              <w:jc w:val="center"/>
              <w:rPr>
                <w:rFonts w:ascii="Calibri" w:hAnsi="Calibri"/>
                <w:b/>
                <w:bCs/>
                <w:color w:val="FFFFFF"/>
              </w:rPr>
            </w:pPr>
            <w:r w:rsidRPr="00D80A1B">
              <w:rPr>
                <w:rFonts w:ascii="Calibri" w:hAnsi="Calibri"/>
                <w:b/>
                <w:bCs/>
                <w:color w:val="FFFFFF"/>
              </w:rPr>
              <w:t>2013 PSD</w:t>
            </w:r>
          </w:p>
        </w:tc>
        <w:tc>
          <w:tcPr>
            <w:tcW w:w="672" w:type="pct"/>
            <w:shd w:val="clear" w:color="000000" w:fill="005DAA"/>
            <w:vAlign w:val="center"/>
            <w:hideMark/>
          </w:tcPr>
          <w:p w:rsidR="00523B88" w:rsidRPr="00D80A1B" w:rsidRDefault="00523B88" w:rsidP="00B84693">
            <w:pPr>
              <w:spacing w:after="0"/>
              <w:jc w:val="center"/>
              <w:rPr>
                <w:rFonts w:ascii="Calibri" w:hAnsi="Calibri"/>
                <w:b/>
                <w:bCs/>
                <w:color w:val="FFFFFF"/>
              </w:rPr>
            </w:pPr>
            <w:r w:rsidRPr="00D80A1B">
              <w:rPr>
                <w:rFonts w:ascii="Calibri" w:hAnsi="Calibri"/>
                <w:b/>
                <w:bCs/>
                <w:color w:val="FFFFFF"/>
              </w:rPr>
              <w:t>2011 PSD</w:t>
            </w:r>
          </w:p>
        </w:tc>
        <w:tc>
          <w:tcPr>
            <w:tcW w:w="580" w:type="pct"/>
            <w:shd w:val="clear" w:color="000000" w:fill="005DAA"/>
            <w:vAlign w:val="center"/>
            <w:hideMark/>
          </w:tcPr>
          <w:p w:rsidR="00523B88" w:rsidRPr="00D80A1B" w:rsidRDefault="00523B88" w:rsidP="00B84693">
            <w:pPr>
              <w:spacing w:after="0"/>
              <w:jc w:val="center"/>
              <w:rPr>
                <w:rFonts w:ascii="Calibri" w:hAnsi="Calibri"/>
                <w:b/>
                <w:bCs/>
                <w:color w:val="FFFFFF"/>
              </w:rPr>
            </w:pPr>
            <w:r w:rsidRPr="00D80A1B">
              <w:rPr>
                <w:rFonts w:ascii="Calibri" w:hAnsi="Calibri"/>
                <w:b/>
                <w:bCs/>
                <w:color w:val="FFFFFF"/>
              </w:rPr>
              <w:t>Illinois</w:t>
            </w:r>
          </w:p>
        </w:tc>
        <w:tc>
          <w:tcPr>
            <w:tcW w:w="485" w:type="pct"/>
            <w:shd w:val="clear" w:color="000000" w:fill="005DAA"/>
            <w:vAlign w:val="center"/>
            <w:hideMark/>
          </w:tcPr>
          <w:p w:rsidR="00523B88" w:rsidRPr="00D80A1B" w:rsidRDefault="00523B88" w:rsidP="00B84693">
            <w:pPr>
              <w:spacing w:after="0"/>
              <w:jc w:val="center"/>
              <w:rPr>
                <w:rFonts w:ascii="Calibri" w:hAnsi="Calibri"/>
                <w:b/>
                <w:bCs/>
                <w:color w:val="FFFFFF"/>
              </w:rPr>
            </w:pPr>
            <w:r w:rsidRPr="00D80A1B">
              <w:rPr>
                <w:rFonts w:ascii="Calibri" w:hAnsi="Calibri"/>
                <w:b/>
                <w:bCs/>
                <w:color w:val="FFFFFF"/>
              </w:rPr>
              <w:t>MA</w:t>
            </w:r>
          </w:p>
        </w:tc>
        <w:tc>
          <w:tcPr>
            <w:tcW w:w="604" w:type="pct"/>
            <w:shd w:val="clear" w:color="000000" w:fill="005DAA"/>
            <w:vAlign w:val="center"/>
            <w:hideMark/>
          </w:tcPr>
          <w:p w:rsidR="00523B88" w:rsidRPr="00D80A1B" w:rsidRDefault="00523B88" w:rsidP="00B84693">
            <w:pPr>
              <w:spacing w:after="0"/>
              <w:jc w:val="center"/>
              <w:rPr>
                <w:rFonts w:ascii="Calibri" w:hAnsi="Calibri"/>
                <w:b/>
                <w:bCs/>
                <w:color w:val="FFFFFF"/>
              </w:rPr>
            </w:pPr>
            <w:r w:rsidRPr="00D80A1B">
              <w:rPr>
                <w:rFonts w:ascii="Calibri" w:hAnsi="Calibri"/>
                <w:b/>
                <w:bCs/>
                <w:color w:val="FFFFFF"/>
              </w:rPr>
              <w:t>PA 2014</w:t>
            </w:r>
          </w:p>
        </w:tc>
        <w:tc>
          <w:tcPr>
            <w:tcW w:w="565" w:type="pct"/>
            <w:shd w:val="clear" w:color="000000" w:fill="005DAA"/>
            <w:vAlign w:val="center"/>
            <w:hideMark/>
          </w:tcPr>
          <w:p w:rsidR="00523B88" w:rsidRPr="00D80A1B" w:rsidRDefault="00523B88" w:rsidP="00B84693">
            <w:pPr>
              <w:spacing w:after="0"/>
              <w:jc w:val="center"/>
              <w:rPr>
                <w:rFonts w:ascii="Calibri" w:hAnsi="Calibri"/>
                <w:b/>
                <w:bCs/>
                <w:color w:val="FFFFFF"/>
              </w:rPr>
            </w:pPr>
            <w:r w:rsidRPr="00D80A1B">
              <w:rPr>
                <w:rFonts w:ascii="Calibri" w:hAnsi="Calibri"/>
                <w:b/>
                <w:bCs/>
                <w:color w:val="FFFFFF"/>
              </w:rPr>
              <w:t>Indiana</w:t>
            </w:r>
          </w:p>
        </w:tc>
      </w:tr>
      <w:tr w:rsidR="00523B88" w:rsidRPr="0060367B" w:rsidTr="00E87223">
        <w:trPr>
          <w:jc w:val="center"/>
        </w:trPr>
        <w:tc>
          <w:tcPr>
            <w:tcW w:w="1423" w:type="pct"/>
            <w:shd w:val="clear" w:color="auto" w:fill="auto"/>
            <w:vAlign w:val="center"/>
            <w:hideMark/>
          </w:tcPr>
          <w:p w:rsidR="00523B88" w:rsidRPr="00D80A1B" w:rsidRDefault="00523B88" w:rsidP="00B84693">
            <w:pPr>
              <w:spacing w:after="0"/>
              <w:rPr>
                <w:rFonts w:ascii="Calibri" w:hAnsi="Calibri"/>
                <w:color w:val="000000"/>
                <w:sz w:val="20"/>
                <w:szCs w:val="20"/>
              </w:rPr>
            </w:pPr>
            <w:r w:rsidRPr="00D80A1B">
              <w:rPr>
                <w:rFonts w:ascii="Calibri" w:hAnsi="Calibri"/>
                <w:color w:val="000000"/>
                <w:sz w:val="20"/>
                <w:szCs w:val="20"/>
              </w:rPr>
              <w:t>UEC Replaced Unit (kWh)</w:t>
            </w:r>
          </w:p>
        </w:tc>
        <w:tc>
          <w:tcPr>
            <w:tcW w:w="672" w:type="pct"/>
            <w:shd w:val="clear" w:color="auto" w:fill="auto"/>
            <w:vAlign w:val="center"/>
            <w:hideMark/>
          </w:tcPr>
          <w:p w:rsidR="00523B88" w:rsidRPr="00D80A1B" w:rsidRDefault="00523B88" w:rsidP="00B84693">
            <w:pPr>
              <w:spacing w:after="0"/>
              <w:jc w:val="right"/>
              <w:rPr>
                <w:rFonts w:ascii="Calibri" w:hAnsi="Calibri"/>
                <w:color w:val="000000"/>
                <w:sz w:val="20"/>
                <w:szCs w:val="20"/>
              </w:rPr>
            </w:pPr>
            <w:r w:rsidRPr="00D80A1B">
              <w:rPr>
                <w:rFonts w:ascii="Calibri" w:hAnsi="Calibri"/>
                <w:color w:val="000000"/>
                <w:sz w:val="20"/>
                <w:szCs w:val="20"/>
              </w:rPr>
              <w:t> </w:t>
            </w:r>
          </w:p>
        </w:tc>
        <w:tc>
          <w:tcPr>
            <w:tcW w:w="672" w:type="pct"/>
            <w:shd w:val="clear" w:color="auto" w:fill="auto"/>
            <w:vAlign w:val="center"/>
            <w:hideMark/>
          </w:tcPr>
          <w:p w:rsidR="00523B88" w:rsidRPr="00D80A1B" w:rsidRDefault="00523B88" w:rsidP="00B84693">
            <w:pPr>
              <w:spacing w:after="0"/>
              <w:jc w:val="right"/>
              <w:rPr>
                <w:rFonts w:ascii="Calibri" w:hAnsi="Calibri"/>
                <w:color w:val="000000"/>
                <w:sz w:val="20"/>
                <w:szCs w:val="20"/>
              </w:rPr>
            </w:pPr>
            <w:r w:rsidRPr="00D80A1B">
              <w:rPr>
                <w:rFonts w:ascii="Calibri" w:hAnsi="Calibri"/>
                <w:color w:val="000000"/>
                <w:sz w:val="20"/>
                <w:szCs w:val="20"/>
              </w:rPr>
              <w:t> </w:t>
            </w:r>
          </w:p>
        </w:tc>
        <w:tc>
          <w:tcPr>
            <w:tcW w:w="580" w:type="pct"/>
            <w:shd w:val="clear" w:color="auto" w:fill="auto"/>
            <w:vAlign w:val="center"/>
            <w:hideMark/>
          </w:tcPr>
          <w:p w:rsidR="00523B88" w:rsidRPr="00D80A1B" w:rsidRDefault="00A22A1F" w:rsidP="00B84693">
            <w:pPr>
              <w:spacing w:after="0"/>
              <w:jc w:val="right"/>
              <w:rPr>
                <w:rFonts w:ascii="Calibri" w:hAnsi="Calibri"/>
                <w:color w:val="000000"/>
                <w:sz w:val="20"/>
                <w:szCs w:val="20"/>
              </w:rPr>
            </w:pPr>
            <w:r>
              <w:rPr>
                <w:rFonts w:ascii="Calibri" w:hAnsi="Calibri"/>
                <w:color w:val="000000"/>
                <w:sz w:val="20"/>
                <w:szCs w:val="20"/>
              </w:rPr>
              <w:t>1,097</w:t>
            </w:r>
          </w:p>
        </w:tc>
        <w:tc>
          <w:tcPr>
            <w:tcW w:w="485" w:type="pct"/>
            <w:shd w:val="clear" w:color="auto" w:fill="auto"/>
            <w:vAlign w:val="center"/>
            <w:hideMark/>
          </w:tcPr>
          <w:p w:rsidR="00523B88" w:rsidRPr="00D80A1B" w:rsidRDefault="00A22A1F" w:rsidP="00B84693">
            <w:pPr>
              <w:spacing w:after="0"/>
              <w:jc w:val="right"/>
              <w:rPr>
                <w:rFonts w:ascii="Calibri" w:hAnsi="Calibri"/>
                <w:color w:val="000000"/>
                <w:sz w:val="20"/>
                <w:szCs w:val="20"/>
              </w:rPr>
            </w:pPr>
            <w:r>
              <w:rPr>
                <w:rFonts w:ascii="Calibri" w:hAnsi="Calibri"/>
                <w:color w:val="000000"/>
                <w:sz w:val="20"/>
                <w:szCs w:val="20"/>
              </w:rPr>
              <w:t>696</w:t>
            </w:r>
          </w:p>
        </w:tc>
        <w:tc>
          <w:tcPr>
            <w:tcW w:w="604" w:type="pct"/>
            <w:shd w:val="clear" w:color="auto" w:fill="auto"/>
            <w:vAlign w:val="center"/>
            <w:hideMark/>
          </w:tcPr>
          <w:p w:rsidR="00523B88" w:rsidRPr="00D80A1B" w:rsidRDefault="00A22A1F" w:rsidP="00B84693">
            <w:pPr>
              <w:spacing w:after="0"/>
              <w:jc w:val="right"/>
              <w:rPr>
                <w:rFonts w:ascii="Calibri" w:hAnsi="Calibri"/>
                <w:color w:val="000000"/>
                <w:sz w:val="20"/>
                <w:szCs w:val="20"/>
              </w:rPr>
            </w:pPr>
            <w:r>
              <w:rPr>
                <w:rFonts w:ascii="Calibri" w:hAnsi="Calibri"/>
                <w:color w:val="000000"/>
                <w:sz w:val="20"/>
                <w:szCs w:val="20"/>
              </w:rPr>
              <w:t>1,065</w:t>
            </w:r>
          </w:p>
        </w:tc>
        <w:tc>
          <w:tcPr>
            <w:tcW w:w="565" w:type="pct"/>
            <w:shd w:val="clear" w:color="auto" w:fill="auto"/>
            <w:vAlign w:val="center"/>
            <w:hideMark/>
          </w:tcPr>
          <w:p w:rsidR="00523B88" w:rsidRPr="00D80A1B" w:rsidRDefault="00A22A1F" w:rsidP="00B84693">
            <w:pPr>
              <w:spacing w:after="0"/>
              <w:jc w:val="right"/>
              <w:rPr>
                <w:rFonts w:ascii="Calibri" w:hAnsi="Calibri"/>
                <w:color w:val="000000"/>
                <w:sz w:val="20"/>
                <w:szCs w:val="20"/>
              </w:rPr>
            </w:pPr>
            <w:r>
              <w:rPr>
                <w:rFonts w:ascii="Calibri" w:hAnsi="Calibri"/>
                <w:color w:val="000000"/>
                <w:sz w:val="20"/>
                <w:szCs w:val="20"/>
              </w:rPr>
              <w:t>942</w:t>
            </w:r>
          </w:p>
        </w:tc>
      </w:tr>
      <w:tr w:rsidR="00523B88" w:rsidRPr="0060367B" w:rsidTr="00E87223">
        <w:trPr>
          <w:jc w:val="center"/>
        </w:trPr>
        <w:tc>
          <w:tcPr>
            <w:tcW w:w="1423" w:type="pct"/>
            <w:shd w:val="clear" w:color="auto" w:fill="auto"/>
            <w:vAlign w:val="center"/>
            <w:hideMark/>
          </w:tcPr>
          <w:p w:rsidR="00523B88" w:rsidRPr="00D80A1B" w:rsidRDefault="00523B88" w:rsidP="00B84693">
            <w:pPr>
              <w:spacing w:after="0"/>
              <w:rPr>
                <w:rFonts w:ascii="Calibri" w:hAnsi="Calibri"/>
                <w:color w:val="000000"/>
                <w:sz w:val="20"/>
                <w:szCs w:val="20"/>
              </w:rPr>
            </w:pPr>
            <w:r w:rsidRPr="00D80A1B">
              <w:rPr>
                <w:rFonts w:ascii="Calibri" w:hAnsi="Calibri"/>
                <w:color w:val="000000"/>
                <w:sz w:val="20"/>
                <w:szCs w:val="20"/>
              </w:rPr>
              <w:t>UEC New Unit (kWh)</w:t>
            </w:r>
          </w:p>
        </w:tc>
        <w:tc>
          <w:tcPr>
            <w:tcW w:w="672" w:type="pct"/>
            <w:shd w:val="clear" w:color="auto" w:fill="auto"/>
            <w:vAlign w:val="center"/>
            <w:hideMark/>
          </w:tcPr>
          <w:p w:rsidR="00523B88" w:rsidRPr="00D80A1B" w:rsidRDefault="00523B88" w:rsidP="00B84693">
            <w:pPr>
              <w:spacing w:after="0"/>
              <w:jc w:val="right"/>
              <w:rPr>
                <w:rFonts w:ascii="Calibri" w:hAnsi="Calibri"/>
                <w:color w:val="000000"/>
                <w:sz w:val="20"/>
                <w:szCs w:val="20"/>
              </w:rPr>
            </w:pPr>
            <w:r w:rsidRPr="00D80A1B">
              <w:rPr>
                <w:rFonts w:ascii="Calibri" w:hAnsi="Calibri"/>
                <w:color w:val="000000"/>
                <w:sz w:val="20"/>
                <w:szCs w:val="20"/>
              </w:rPr>
              <w:t> </w:t>
            </w:r>
          </w:p>
        </w:tc>
        <w:tc>
          <w:tcPr>
            <w:tcW w:w="672" w:type="pct"/>
            <w:shd w:val="clear" w:color="auto" w:fill="auto"/>
            <w:vAlign w:val="center"/>
            <w:hideMark/>
          </w:tcPr>
          <w:p w:rsidR="00523B88" w:rsidRPr="00D80A1B" w:rsidRDefault="00523B88" w:rsidP="00B84693">
            <w:pPr>
              <w:spacing w:after="0"/>
              <w:jc w:val="right"/>
              <w:rPr>
                <w:rFonts w:ascii="Calibri" w:hAnsi="Calibri"/>
                <w:color w:val="000000"/>
                <w:sz w:val="20"/>
                <w:szCs w:val="20"/>
              </w:rPr>
            </w:pPr>
            <w:r w:rsidRPr="00D80A1B">
              <w:rPr>
                <w:rFonts w:ascii="Calibri" w:hAnsi="Calibri"/>
                <w:color w:val="000000"/>
                <w:sz w:val="20"/>
                <w:szCs w:val="20"/>
              </w:rPr>
              <w:t> </w:t>
            </w:r>
          </w:p>
        </w:tc>
        <w:tc>
          <w:tcPr>
            <w:tcW w:w="580" w:type="pct"/>
            <w:shd w:val="clear" w:color="auto" w:fill="auto"/>
            <w:vAlign w:val="center"/>
            <w:hideMark/>
          </w:tcPr>
          <w:p w:rsidR="00523B88" w:rsidRPr="00D80A1B" w:rsidRDefault="00523B88" w:rsidP="00B84693">
            <w:pPr>
              <w:spacing w:after="0"/>
              <w:jc w:val="right"/>
              <w:rPr>
                <w:rFonts w:ascii="Calibri" w:hAnsi="Calibri"/>
                <w:color w:val="000000"/>
                <w:sz w:val="20"/>
                <w:szCs w:val="20"/>
              </w:rPr>
            </w:pPr>
            <w:r w:rsidRPr="00D80A1B">
              <w:rPr>
                <w:rFonts w:ascii="Calibri" w:hAnsi="Calibri"/>
                <w:color w:val="000000"/>
                <w:sz w:val="20"/>
                <w:szCs w:val="20"/>
              </w:rPr>
              <w:t> </w:t>
            </w:r>
          </w:p>
        </w:tc>
        <w:tc>
          <w:tcPr>
            <w:tcW w:w="485" w:type="pct"/>
            <w:shd w:val="clear" w:color="auto" w:fill="auto"/>
            <w:vAlign w:val="center"/>
            <w:hideMark/>
          </w:tcPr>
          <w:p w:rsidR="00523B88" w:rsidRPr="00D80A1B" w:rsidRDefault="00A22A1F" w:rsidP="00B84693">
            <w:pPr>
              <w:spacing w:after="0"/>
              <w:jc w:val="right"/>
              <w:rPr>
                <w:rFonts w:ascii="Calibri" w:hAnsi="Calibri"/>
                <w:color w:val="000000"/>
                <w:sz w:val="20"/>
                <w:szCs w:val="20"/>
              </w:rPr>
            </w:pPr>
            <w:r>
              <w:rPr>
                <w:rFonts w:ascii="Calibri" w:hAnsi="Calibri"/>
                <w:color w:val="000000"/>
                <w:sz w:val="20"/>
                <w:szCs w:val="20"/>
              </w:rPr>
              <w:t>458</w:t>
            </w:r>
          </w:p>
        </w:tc>
        <w:tc>
          <w:tcPr>
            <w:tcW w:w="604" w:type="pct"/>
            <w:shd w:val="clear" w:color="auto" w:fill="auto"/>
            <w:vAlign w:val="center"/>
            <w:hideMark/>
          </w:tcPr>
          <w:p w:rsidR="00523B88" w:rsidRPr="00D80A1B" w:rsidRDefault="00A22A1F" w:rsidP="00B84693">
            <w:pPr>
              <w:spacing w:after="0"/>
              <w:jc w:val="right"/>
              <w:rPr>
                <w:rFonts w:ascii="Calibri" w:hAnsi="Calibri"/>
                <w:color w:val="000000"/>
                <w:sz w:val="20"/>
                <w:szCs w:val="20"/>
              </w:rPr>
            </w:pPr>
            <w:r>
              <w:rPr>
                <w:rFonts w:ascii="Calibri" w:hAnsi="Calibri"/>
                <w:color w:val="000000"/>
                <w:sz w:val="20"/>
                <w:szCs w:val="20"/>
              </w:rPr>
              <w:t>351</w:t>
            </w:r>
          </w:p>
        </w:tc>
        <w:tc>
          <w:tcPr>
            <w:tcW w:w="565" w:type="pct"/>
            <w:shd w:val="clear" w:color="auto" w:fill="auto"/>
            <w:vAlign w:val="center"/>
            <w:hideMark/>
          </w:tcPr>
          <w:p w:rsidR="00523B88" w:rsidRPr="00D80A1B" w:rsidRDefault="00523B88" w:rsidP="00B84693">
            <w:pPr>
              <w:spacing w:after="0"/>
              <w:jc w:val="right"/>
              <w:rPr>
                <w:rFonts w:ascii="Calibri" w:hAnsi="Calibri"/>
                <w:color w:val="000000"/>
                <w:sz w:val="20"/>
                <w:szCs w:val="20"/>
              </w:rPr>
            </w:pPr>
            <w:r w:rsidRPr="00D80A1B">
              <w:rPr>
                <w:rFonts w:ascii="Calibri" w:hAnsi="Calibri"/>
                <w:color w:val="000000"/>
                <w:sz w:val="20"/>
                <w:szCs w:val="20"/>
              </w:rPr>
              <w:t> </w:t>
            </w:r>
          </w:p>
        </w:tc>
      </w:tr>
      <w:tr w:rsidR="00523B88" w:rsidRPr="0060367B" w:rsidTr="00E87223">
        <w:trPr>
          <w:jc w:val="center"/>
        </w:trPr>
        <w:tc>
          <w:tcPr>
            <w:tcW w:w="1423" w:type="pct"/>
            <w:shd w:val="clear" w:color="auto" w:fill="auto"/>
            <w:vAlign w:val="center"/>
            <w:hideMark/>
          </w:tcPr>
          <w:p w:rsidR="00523B88" w:rsidRPr="00D80A1B" w:rsidRDefault="00523B88" w:rsidP="00B84693">
            <w:pPr>
              <w:spacing w:after="0"/>
              <w:rPr>
                <w:rFonts w:ascii="Calibri" w:hAnsi="Calibri"/>
                <w:color w:val="000000"/>
                <w:sz w:val="20"/>
                <w:szCs w:val="20"/>
              </w:rPr>
            </w:pPr>
            <w:r w:rsidRPr="00D80A1B">
              <w:rPr>
                <w:rFonts w:ascii="Calibri" w:hAnsi="Calibri"/>
                <w:color w:val="000000"/>
                <w:sz w:val="20"/>
                <w:szCs w:val="20"/>
              </w:rPr>
              <w:t>Claimed Savings (kWh)</w:t>
            </w:r>
          </w:p>
        </w:tc>
        <w:tc>
          <w:tcPr>
            <w:tcW w:w="672" w:type="pct"/>
            <w:shd w:val="clear" w:color="auto" w:fill="auto"/>
            <w:vAlign w:val="center"/>
            <w:hideMark/>
          </w:tcPr>
          <w:p w:rsidR="00523B88" w:rsidRPr="00D80A1B" w:rsidRDefault="00523B88" w:rsidP="00B84693">
            <w:pPr>
              <w:spacing w:after="0"/>
              <w:jc w:val="right"/>
              <w:rPr>
                <w:rFonts w:ascii="Calibri" w:hAnsi="Calibri"/>
                <w:color w:val="000000"/>
                <w:sz w:val="20"/>
                <w:szCs w:val="20"/>
              </w:rPr>
            </w:pPr>
            <w:r w:rsidRPr="00D80A1B">
              <w:rPr>
                <w:rFonts w:ascii="Calibri" w:hAnsi="Calibri"/>
                <w:color w:val="000000"/>
                <w:sz w:val="20"/>
                <w:szCs w:val="20"/>
              </w:rPr>
              <w:t> </w:t>
            </w:r>
          </w:p>
        </w:tc>
        <w:tc>
          <w:tcPr>
            <w:tcW w:w="672" w:type="pct"/>
            <w:shd w:val="clear" w:color="auto" w:fill="auto"/>
            <w:vAlign w:val="center"/>
            <w:hideMark/>
          </w:tcPr>
          <w:p w:rsidR="00523B88" w:rsidRPr="00D80A1B" w:rsidRDefault="00A22A1F" w:rsidP="00B84693">
            <w:pPr>
              <w:spacing w:after="0"/>
              <w:jc w:val="right"/>
              <w:rPr>
                <w:rFonts w:ascii="Calibri" w:hAnsi="Calibri"/>
                <w:color w:val="000000"/>
                <w:sz w:val="20"/>
                <w:szCs w:val="20"/>
              </w:rPr>
            </w:pPr>
            <w:r>
              <w:rPr>
                <w:rFonts w:ascii="Calibri" w:hAnsi="Calibri"/>
                <w:color w:val="000000"/>
                <w:sz w:val="20"/>
                <w:szCs w:val="20"/>
              </w:rPr>
              <w:t>112</w:t>
            </w:r>
          </w:p>
        </w:tc>
        <w:tc>
          <w:tcPr>
            <w:tcW w:w="580" w:type="pct"/>
            <w:shd w:val="clear" w:color="auto" w:fill="auto"/>
            <w:vAlign w:val="center"/>
            <w:hideMark/>
          </w:tcPr>
          <w:p w:rsidR="00523B88" w:rsidRPr="00D80A1B" w:rsidRDefault="00A22A1F" w:rsidP="00B84693">
            <w:pPr>
              <w:spacing w:after="0"/>
              <w:jc w:val="right"/>
              <w:rPr>
                <w:rFonts w:ascii="Calibri" w:hAnsi="Calibri"/>
                <w:color w:val="000000"/>
                <w:sz w:val="20"/>
                <w:szCs w:val="20"/>
              </w:rPr>
            </w:pPr>
            <w:r>
              <w:rPr>
                <w:rFonts w:ascii="Calibri" w:hAnsi="Calibri"/>
                <w:color w:val="000000"/>
                <w:sz w:val="20"/>
                <w:szCs w:val="20"/>
              </w:rPr>
              <w:t>1,097</w:t>
            </w:r>
          </w:p>
        </w:tc>
        <w:tc>
          <w:tcPr>
            <w:tcW w:w="485" w:type="pct"/>
            <w:shd w:val="clear" w:color="auto" w:fill="auto"/>
            <w:vAlign w:val="center"/>
            <w:hideMark/>
          </w:tcPr>
          <w:p w:rsidR="00523B88" w:rsidRPr="00D80A1B" w:rsidRDefault="00A22A1F" w:rsidP="00B84693">
            <w:pPr>
              <w:spacing w:after="0"/>
              <w:jc w:val="right"/>
              <w:rPr>
                <w:rFonts w:ascii="Calibri" w:hAnsi="Calibri"/>
                <w:color w:val="000000"/>
                <w:sz w:val="20"/>
                <w:szCs w:val="20"/>
              </w:rPr>
            </w:pPr>
            <w:r>
              <w:rPr>
                <w:rFonts w:ascii="Calibri" w:hAnsi="Calibri"/>
                <w:color w:val="000000"/>
                <w:sz w:val="20"/>
                <w:szCs w:val="20"/>
              </w:rPr>
              <w:t>238</w:t>
            </w:r>
          </w:p>
        </w:tc>
        <w:tc>
          <w:tcPr>
            <w:tcW w:w="604" w:type="pct"/>
            <w:shd w:val="clear" w:color="auto" w:fill="auto"/>
            <w:vAlign w:val="center"/>
            <w:hideMark/>
          </w:tcPr>
          <w:p w:rsidR="00523B88" w:rsidRPr="00D80A1B" w:rsidRDefault="00A22A1F" w:rsidP="00B84693">
            <w:pPr>
              <w:spacing w:after="0"/>
              <w:jc w:val="right"/>
              <w:rPr>
                <w:rFonts w:ascii="Calibri" w:hAnsi="Calibri"/>
                <w:color w:val="000000"/>
                <w:sz w:val="20"/>
                <w:szCs w:val="20"/>
              </w:rPr>
            </w:pPr>
            <w:r>
              <w:rPr>
                <w:rFonts w:ascii="Calibri" w:hAnsi="Calibri"/>
                <w:color w:val="000000"/>
                <w:sz w:val="20"/>
                <w:szCs w:val="20"/>
              </w:rPr>
              <w:t>714</w:t>
            </w:r>
          </w:p>
        </w:tc>
        <w:tc>
          <w:tcPr>
            <w:tcW w:w="565" w:type="pct"/>
            <w:shd w:val="clear" w:color="auto" w:fill="auto"/>
            <w:vAlign w:val="center"/>
            <w:hideMark/>
          </w:tcPr>
          <w:p w:rsidR="00523B88" w:rsidRPr="00D80A1B" w:rsidRDefault="00A22A1F" w:rsidP="00B84693">
            <w:pPr>
              <w:spacing w:after="0"/>
              <w:jc w:val="right"/>
              <w:rPr>
                <w:rFonts w:ascii="Calibri" w:hAnsi="Calibri"/>
                <w:color w:val="000000"/>
                <w:sz w:val="20"/>
                <w:szCs w:val="20"/>
              </w:rPr>
            </w:pPr>
            <w:r>
              <w:rPr>
                <w:rFonts w:ascii="Calibri" w:hAnsi="Calibri"/>
                <w:color w:val="000000"/>
                <w:sz w:val="20"/>
                <w:szCs w:val="20"/>
              </w:rPr>
              <w:t>942</w:t>
            </w:r>
          </w:p>
        </w:tc>
      </w:tr>
    </w:tbl>
    <w:p w:rsidR="00D80A1B" w:rsidRDefault="00D80A1B" w:rsidP="00D80A1B">
      <w:pPr>
        <w:pStyle w:val="NormalAfterTablesandFigures"/>
      </w:pPr>
    </w:p>
    <w:p w:rsidR="00523B88" w:rsidRDefault="00523B88" w:rsidP="00D80A1B">
      <w:pPr>
        <w:pStyle w:val="NormalBeforeList"/>
      </w:pPr>
      <w:r>
        <w:t xml:space="preserve">The </w:t>
      </w:r>
      <w:r w:rsidR="0038661F">
        <w:t xml:space="preserve">PSD outlined the following </w:t>
      </w:r>
      <w:r>
        <w:t>equation for each of these measures:</w:t>
      </w:r>
    </w:p>
    <w:p w:rsidR="00523B88" w:rsidRPr="00290530" w:rsidRDefault="002506E1" w:rsidP="00523B88">
      <m:oMathPara>
        <m:oMath>
          <m:sSub>
            <m:sSubPr>
              <m:ctrlPr>
                <w:rPr>
                  <w:rFonts w:ascii="Cambria Math" w:hAnsi="Cambria Math"/>
                  <w:i/>
                </w:rPr>
              </m:ctrlPr>
            </m:sSubPr>
            <m:e>
              <m:r>
                <w:rPr>
                  <w:rFonts w:ascii="Cambria Math" w:hAnsi="Cambria Math"/>
                </w:rPr>
                <m:t>kWh</m:t>
              </m:r>
            </m:e>
            <m:sub>
              <m:r>
                <w:rPr>
                  <w:rFonts w:ascii="Cambria Math" w:hAnsi="Cambria Math"/>
                </w:rPr>
                <m:t>Refrgerator</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replaced</m:t>
              </m:r>
            </m:sub>
          </m:sSub>
          <m:r>
            <w:rPr>
              <w:rFonts w:ascii="Cambria Math" w:hAnsi="Cambria Math"/>
            </w:rPr>
            <m:t>-</m:t>
          </m:r>
          <m:sSub>
            <m:sSubPr>
              <m:ctrlPr>
                <w:rPr>
                  <w:rFonts w:ascii="Cambria Math" w:hAnsi="Cambria Math"/>
                  <w:i/>
                </w:rPr>
              </m:ctrlPr>
            </m:sSubPr>
            <m:e>
              <m:r>
                <w:rPr>
                  <w:rFonts w:ascii="Cambria Math" w:hAnsi="Cambria Math"/>
                </w:rPr>
                <m:t>SLF*E</m:t>
              </m:r>
            </m:e>
            <m:sub>
              <m:r>
                <w:rPr>
                  <w:rFonts w:ascii="Cambria Math" w:hAnsi="Cambria Math"/>
                </w:rPr>
                <m:t>installed</m:t>
              </m:r>
            </m:sub>
          </m:sSub>
        </m:oMath>
      </m:oMathPara>
    </w:p>
    <w:p w:rsidR="00523B88" w:rsidRPr="00290530" w:rsidRDefault="002506E1" w:rsidP="00523B88">
      <m:oMathPara>
        <m:oMath>
          <m:sSub>
            <m:sSubPr>
              <m:ctrlPr>
                <w:rPr>
                  <w:rFonts w:ascii="Cambria Math" w:hAnsi="Cambria Math"/>
                  <w:i/>
                </w:rPr>
              </m:ctrlPr>
            </m:sSubPr>
            <m:e>
              <m:r>
                <w:rPr>
                  <w:rFonts w:ascii="Cambria Math" w:hAnsi="Cambria Math"/>
                </w:rPr>
                <m:t>kWh</m:t>
              </m:r>
            </m:e>
            <m:sub>
              <m:r>
                <w:rPr>
                  <w:rFonts w:ascii="Cambria Math" w:hAnsi="Cambria Math"/>
                </w:rPr>
                <m:t>Freezer</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replaced</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installed</m:t>
              </m:r>
            </m:sub>
          </m:sSub>
        </m:oMath>
      </m:oMathPara>
    </w:p>
    <w:p w:rsidR="00523B88" w:rsidRDefault="00523B88" w:rsidP="003D4F09">
      <w:pPr>
        <w:spacing w:after="120"/>
      </w:pPr>
      <w:r>
        <w:t>Where:</w:t>
      </w:r>
    </w:p>
    <w:p w:rsidR="00523B88" w:rsidRDefault="002506E1" w:rsidP="00D80A1B">
      <w:pPr>
        <w:ind w:left="720"/>
      </w:pPr>
      <m:oMath>
        <m:sSub>
          <m:sSubPr>
            <m:ctrlPr>
              <w:rPr>
                <w:rFonts w:ascii="Cambria Math" w:hAnsi="Cambria Math"/>
                <w:i/>
              </w:rPr>
            </m:ctrlPr>
          </m:sSubPr>
          <m:e>
            <m:r>
              <w:rPr>
                <w:rFonts w:ascii="Cambria Math" w:hAnsi="Cambria Math"/>
              </w:rPr>
              <m:t>E</m:t>
            </m:r>
          </m:e>
          <m:sub>
            <m:r>
              <w:rPr>
                <w:rFonts w:ascii="Cambria Math" w:hAnsi="Cambria Math"/>
              </w:rPr>
              <m:t>replaced</m:t>
            </m:r>
          </m:sub>
        </m:sSub>
      </m:oMath>
      <w:r w:rsidR="002953AD">
        <w:t xml:space="preserve"> </w:t>
      </w:r>
      <w:r w:rsidR="00523B88">
        <w:t>= The rated energy consumption of the replaced unit</w:t>
      </w:r>
    </w:p>
    <w:p w:rsidR="00523B88" w:rsidRDefault="00CE63B6" w:rsidP="00410C58">
      <w:r>
        <w:t xml:space="preserve">These </w:t>
      </w:r>
      <w:r w:rsidR="00523B88">
        <w:t xml:space="preserve">data </w:t>
      </w:r>
      <w:r>
        <w:t>were</w:t>
      </w:r>
      <w:r w:rsidR="00523B88">
        <w:t xml:space="preserve"> not available for the majority of units in the tracking data (nearly 99% of the reported measures </w:t>
      </w:r>
      <w:r>
        <w:t xml:space="preserve">lacked </w:t>
      </w:r>
      <w:r w:rsidR="00523B88">
        <w:t>this information).</w:t>
      </w:r>
      <w:r w:rsidR="002953AD">
        <w:t xml:space="preserve"> </w:t>
      </w:r>
      <w:r w:rsidR="00523B88">
        <w:t xml:space="preserve">As a result, the </w:t>
      </w:r>
      <w:r>
        <w:t>E</w:t>
      </w:r>
      <w:r w:rsidR="00523B88">
        <w:t xml:space="preserve">valuation </w:t>
      </w:r>
      <w:r>
        <w:t>T</w:t>
      </w:r>
      <w:r w:rsidR="00523B88">
        <w:t>eam used the benchmarked sources to estimate unit energy consumption of the replaced units.</w:t>
      </w:r>
      <w:r w:rsidR="002953AD">
        <w:t xml:space="preserve"> </w:t>
      </w:r>
      <w:r>
        <w:t>E</w:t>
      </w:r>
      <w:r w:rsidR="00523B88">
        <w:t>nergy consumption for replaced refrigerators was 1</w:t>
      </w:r>
      <w:r>
        <w:t>,</w:t>
      </w:r>
      <w:r w:rsidR="00523B88">
        <w:t>180 kWh and consumption for replaced freezers was 696 kWh.</w:t>
      </w:r>
    </w:p>
    <w:p w:rsidR="00523B88" w:rsidRDefault="002506E1" w:rsidP="00D80A1B">
      <w:pPr>
        <w:jc w:val="center"/>
      </w:pPr>
      <m:oMath>
        <m:sSub>
          <m:sSubPr>
            <m:ctrlPr>
              <w:rPr>
                <w:rFonts w:ascii="Cambria Math" w:hAnsi="Cambria Math"/>
                <w:i/>
              </w:rPr>
            </m:ctrlPr>
          </m:sSubPr>
          <m:e>
            <m:r>
              <w:rPr>
                <w:rFonts w:ascii="Cambria Math" w:hAnsi="Cambria Math"/>
              </w:rPr>
              <m:t>E</m:t>
            </m:r>
          </m:e>
          <m:sub>
            <m:r>
              <w:rPr>
                <w:rFonts w:ascii="Cambria Math" w:hAnsi="Cambria Math"/>
              </w:rPr>
              <m:t>installed</m:t>
            </m:r>
          </m:sub>
        </m:sSub>
      </m:oMath>
      <w:r w:rsidR="002953AD">
        <w:t xml:space="preserve"> </w:t>
      </w:r>
      <w:r w:rsidR="00523B88">
        <w:t>= The rated energy consumption of the replacement unit</w:t>
      </w:r>
    </w:p>
    <w:p w:rsidR="00523B88" w:rsidRDefault="0038661F" w:rsidP="00410C58">
      <w:r>
        <w:t>The program data effectively tracked d</w:t>
      </w:r>
      <w:r w:rsidR="00523B88">
        <w:t>ata for the replacement unit</w:t>
      </w:r>
      <w:r>
        <w:t>s</w:t>
      </w:r>
      <w:r w:rsidR="00523B88">
        <w:t>.</w:t>
      </w:r>
      <w:r w:rsidR="002953AD">
        <w:t xml:space="preserve"> </w:t>
      </w:r>
      <w:r w:rsidR="00CE63B6">
        <w:t>E</w:t>
      </w:r>
      <w:r w:rsidR="00523B88">
        <w:t xml:space="preserve">quipment model numbers were matched against the ENERGY STAR database to determine the rated energy consumption </w:t>
      </w:r>
      <w:r w:rsidR="00CE63B6">
        <w:t xml:space="preserve">for </w:t>
      </w:r>
      <w:r w:rsidR="00523B88">
        <w:t>each unit.</w:t>
      </w:r>
      <w:r w:rsidR="002953AD">
        <w:t xml:space="preserve"> </w:t>
      </w:r>
      <w:r w:rsidR="00523B88">
        <w:t xml:space="preserve">The average energy consumption of the installed units was determined </w:t>
      </w:r>
      <w:r>
        <w:t xml:space="preserve">as </w:t>
      </w:r>
      <w:r w:rsidR="00523B88">
        <w:t>462.7 kWh for refrigerators and</w:t>
      </w:r>
      <w:r w:rsidR="00CE63B6">
        <w:t xml:space="preserve"> </w:t>
      </w:r>
      <w:r w:rsidR="00523B88">
        <w:t>567.0 kWh for freezers.</w:t>
      </w:r>
      <w:r w:rsidR="002953AD">
        <w:t xml:space="preserve"> </w:t>
      </w:r>
    </w:p>
    <w:p w:rsidR="00523B88" w:rsidRDefault="00523B88" w:rsidP="00CE63B6">
      <w:pPr>
        <w:ind w:left="720"/>
      </w:pPr>
      <m:oMath>
        <m:r>
          <w:rPr>
            <w:rFonts w:ascii="Cambria Math" w:hAnsi="Cambria Math"/>
          </w:rPr>
          <m:t>SLF</m:t>
        </m:r>
      </m:oMath>
      <w:r>
        <w:t xml:space="preserve"> = An adjustment factor to account for differences in unit operation</w:t>
      </w:r>
      <w:r w:rsidR="0038661F">
        <w:t>s</w:t>
      </w:r>
      <w:r w:rsidR="002953AD">
        <w:t xml:space="preserve"> </w:t>
      </w:r>
      <w:r>
        <w:t>between the laboratory test setting and the actual in-home setting</w:t>
      </w:r>
    </w:p>
    <w:p w:rsidR="00523B88" w:rsidRDefault="00523B88" w:rsidP="00CE63B6">
      <w:r>
        <w:lastRenderedPageBreak/>
        <w:t xml:space="preserve">This site-lab factor </w:t>
      </w:r>
      <w:r w:rsidR="00CE63B6">
        <w:t xml:space="preserve">proved </w:t>
      </w:r>
      <w:r>
        <w:t>unique to the Connecticut PSD and was not found in any benchmarking sources.</w:t>
      </w:r>
      <w:r w:rsidR="002953AD">
        <w:t xml:space="preserve"> </w:t>
      </w:r>
      <w:r>
        <w:t>However, the same interaction was found in two separate metering studies</w:t>
      </w:r>
      <w:r w:rsidR="00CE63B6">
        <w:t>:</w:t>
      </w:r>
      <w:r>
        <w:t xml:space="preserve"> one performed in 2004 and another performed in 2009.</w:t>
      </w:r>
      <w:r w:rsidR="002953AD">
        <w:t xml:space="preserve"> </w:t>
      </w:r>
      <w:r>
        <w:t xml:space="preserve">These studies found the actual energy consumption of </w:t>
      </w:r>
      <w:r w:rsidR="00CE63B6">
        <w:t xml:space="preserve">ENERGY STAR </w:t>
      </w:r>
      <w:r>
        <w:t>refrigerators was 88.1% of the rated energy consumption on the label.</w:t>
      </w:r>
      <w:r w:rsidR="002953AD">
        <w:t xml:space="preserve"> </w:t>
      </w:r>
      <w:r w:rsidR="00CE63B6">
        <w:t>O</w:t>
      </w:r>
      <w:r>
        <w:t>verall energy savings equations then became:</w:t>
      </w:r>
    </w:p>
    <w:p w:rsidR="00523B88" w:rsidRPr="0001659E" w:rsidRDefault="002506E1" w:rsidP="00523B88">
      <m:oMathPara>
        <m:oMath>
          <m:sSub>
            <m:sSubPr>
              <m:ctrlPr>
                <w:rPr>
                  <w:rFonts w:ascii="Cambria Math" w:hAnsi="Cambria Math"/>
                  <w:i/>
                </w:rPr>
              </m:ctrlPr>
            </m:sSubPr>
            <m:e>
              <m:r>
                <w:rPr>
                  <w:rFonts w:ascii="Cambria Math" w:hAnsi="Cambria Math"/>
                </w:rPr>
                <m:t>kWh</m:t>
              </m:r>
            </m:e>
            <m:sub>
              <m:r>
                <w:rPr>
                  <w:rFonts w:ascii="Cambria Math" w:hAnsi="Cambria Math"/>
                </w:rPr>
                <m:t>Refrigerator</m:t>
              </m:r>
            </m:sub>
          </m:sSub>
          <m:r>
            <w:rPr>
              <w:rFonts w:ascii="Cambria Math" w:hAnsi="Cambria Math"/>
            </w:rPr>
            <m:t>=1180.0 -0.881*461.8=773.1kWh</m:t>
          </m:r>
        </m:oMath>
      </m:oMathPara>
    </w:p>
    <w:p w:rsidR="00523B88" w:rsidRPr="0001659E" w:rsidRDefault="002506E1" w:rsidP="00523B88">
      <m:oMathPara>
        <m:oMath>
          <m:sSub>
            <m:sSubPr>
              <m:ctrlPr>
                <w:rPr>
                  <w:rFonts w:ascii="Cambria Math" w:hAnsi="Cambria Math"/>
                  <w:i/>
                </w:rPr>
              </m:ctrlPr>
            </m:sSubPr>
            <m:e>
              <m:r>
                <w:rPr>
                  <w:rFonts w:ascii="Cambria Math" w:hAnsi="Cambria Math"/>
                </w:rPr>
                <m:t>kWh</m:t>
              </m:r>
            </m:e>
            <m:sub>
              <m:r>
                <w:rPr>
                  <w:rFonts w:ascii="Cambria Math" w:hAnsi="Cambria Math"/>
                </w:rPr>
                <m:t>Freezer</m:t>
              </m:r>
            </m:sub>
          </m:sSub>
          <m:r>
            <w:rPr>
              <w:rFonts w:ascii="Cambria Math" w:hAnsi="Cambria Math"/>
            </w:rPr>
            <m:t>=696.0 -452.0=244.0kWh</m:t>
          </m:r>
        </m:oMath>
      </m:oMathPara>
    </w:p>
    <w:p w:rsidR="00523B88" w:rsidRDefault="00523B88" w:rsidP="00D80A1B"/>
    <w:p w:rsidR="00523B88" w:rsidRDefault="00523B88" w:rsidP="00D80A1B"/>
    <w:p w:rsidR="00523B88" w:rsidRPr="002953AD" w:rsidRDefault="00523B88" w:rsidP="002953AD"/>
    <w:p w:rsidR="00523B88" w:rsidRDefault="00523B88" w:rsidP="00523B88">
      <w:pPr>
        <w:tabs>
          <w:tab w:val="left" w:pos="2880"/>
        </w:tabs>
        <w:ind w:left="3420" w:hanging="2430"/>
        <w:sectPr w:rsidR="00523B88" w:rsidSect="00985CC7">
          <w:footerReference w:type="even" r:id="rId36"/>
          <w:footerReference w:type="default" r:id="rId37"/>
          <w:pgSz w:w="12240" w:h="15840"/>
          <w:pgMar w:top="1440" w:right="1440" w:bottom="1440" w:left="1440" w:header="720" w:footer="720" w:gutter="0"/>
          <w:cols w:space="720"/>
          <w:docGrid w:linePitch="360"/>
        </w:sectPr>
      </w:pPr>
    </w:p>
    <w:p w:rsidR="004C442A" w:rsidRDefault="004C442A" w:rsidP="004C442A">
      <w:pPr>
        <w:pStyle w:val="Heading1"/>
      </w:pPr>
      <w:bookmarkStart w:id="165" w:name="_Ref384192801"/>
      <w:bookmarkStart w:id="166" w:name="_Ref388699828"/>
      <w:bookmarkStart w:id="167" w:name="_Toc389663856"/>
      <w:bookmarkStart w:id="168" w:name="_Ref382208010"/>
      <w:r>
        <w:lastRenderedPageBreak/>
        <w:t xml:space="preserve">Appendix C. </w:t>
      </w:r>
      <w:bookmarkEnd w:id="165"/>
      <w:r>
        <w:t>Simulation Modeling Details</w:t>
      </w:r>
      <w:bookmarkEnd w:id="166"/>
      <w:bookmarkEnd w:id="167"/>
    </w:p>
    <w:p w:rsidR="005E29A9" w:rsidRPr="008D7940" w:rsidRDefault="005E29A9" w:rsidP="00664CD0">
      <w:pPr>
        <w:pStyle w:val="NormalBeforeList"/>
      </w:pPr>
      <w:r w:rsidRPr="008D7940">
        <w:t>Simulation modeling consisted of the following tasks:</w:t>
      </w:r>
    </w:p>
    <w:p w:rsidR="005E29A9" w:rsidRPr="008D7940" w:rsidRDefault="005E29A9" w:rsidP="00664CD0">
      <w:pPr>
        <w:pStyle w:val="Bulletlevel1"/>
      </w:pPr>
      <w:r w:rsidRPr="008D7940">
        <w:t>Analyzing participant data for each heating fuel, building, and program type</w:t>
      </w:r>
      <w:r w:rsidR="00406B76">
        <w:t>;</w:t>
      </w:r>
    </w:p>
    <w:p w:rsidR="005E29A9" w:rsidRPr="008D7940" w:rsidRDefault="005E29A9" w:rsidP="00664CD0">
      <w:pPr>
        <w:pStyle w:val="Bulletlevel1"/>
      </w:pPr>
      <w:r w:rsidRPr="008D7940">
        <w:t>Disaggregat</w:t>
      </w:r>
      <w:r w:rsidR="00406B76">
        <w:t>ing</w:t>
      </w:r>
      <w:r w:rsidRPr="008D7940">
        <w:t xml:space="preserve"> billing data into end</w:t>
      </w:r>
      <w:r w:rsidR="00406B76">
        <w:t xml:space="preserve"> </w:t>
      </w:r>
      <w:r w:rsidRPr="008D7940">
        <w:t>uses</w:t>
      </w:r>
      <w:r w:rsidR="00406B76">
        <w:t>;</w:t>
      </w:r>
    </w:p>
    <w:p w:rsidR="005E29A9" w:rsidRPr="008D7940" w:rsidRDefault="005E29A9" w:rsidP="00664CD0">
      <w:pPr>
        <w:pStyle w:val="Bulletlevel1"/>
      </w:pPr>
      <w:r w:rsidRPr="008D7940">
        <w:t>Calibrat</w:t>
      </w:r>
      <w:r w:rsidR="00406B76">
        <w:t xml:space="preserve">ing </w:t>
      </w:r>
      <w:r w:rsidRPr="008D7940">
        <w:t>the model using participant data to inform building characteristics</w:t>
      </w:r>
      <w:r w:rsidR="00406B76">
        <w:t>; and</w:t>
      </w:r>
    </w:p>
    <w:p w:rsidR="005E29A9" w:rsidRPr="008D7940" w:rsidRDefault="005E29A9" w:rsidP="00664CD0">
      <w:pPr>
        <w:pStyle w:val="Bulletlevel1-last"/>
      </w:pPr>
      <w:r w:rsidRPr="008D7940">
        <w:t>Determin</w:t>
      </w:r>
      <w:r w:rsidR="00406B76">
        <w:t>ing</w:t>
      </w:r>
      <w:r w:rsidRPr="008D7940">
        <w:t xml:space="preserve"> measure-level savings by running DOE-2 models</w:t>
      </w:r>
      <w:r w:rsidR="0038661F">
        <w:t>,</w:t>
      </w:r>
      <w:r w:rsidRPr="008D7940">
        <w:t xml:space="preserve"> calibrated to baseline consumption values</w:t>
      </w:r>
      <w:r w:rsidR="00406B76">
        <w:t>.</w:t>
      </w:r>
    </w:p>
    <w:p w:rsidR="006C4D9B" w:rsidRPr="00E96B30" w:rsidRDefault="006C4D9B" w:rsidP="00E96B30">
      <w:pPr>
        <w:spacing w:before="200" w:after="0"/>
        <w:rPr>
          <w:b/>
          <w:i/>
          <w:color w:val="898A17"/>
          <w:sz w:val="29"/>
          <w:szCs w:val="29"/>
        </w:rPr>
      </w:pPr>
      <w:r w:rsidRPr="00E96B30">
        <w:rPr>
          <w:b/>
          <w:i/>
          <w:color w:val="898A17"/>
          <w:sz w:val="29"/>
          <w:szCs w:val="29"/>
        </w:rPr>
        <w:t>Analysis of Participant Data</w:t>
      </w:r>
    </w:p>
    <w:p w:rsidR="001F7BC4" w:rsidRDefault="001F7BC4" w:rsidP="00664CD0">
      <w:r>
        <w:t>Billing data were used to determine energy use for annual heating, cooling, and base loads for each house type, fuel, and program through a variable degree day analysis.</w:t>
      </w:r>
      <w:r w:rsidR="00DE1457">
        <w:t xml:space="preserve"> </w:t>
      </w:r>
      <w:r>
        <w:t>The analysis determined average monthly consumption for each fuel and annual consumption for heating, cooling</w:t>
      </w:r>
      <w:r w:rsidR="00406B76">
        <w:t>,</w:t>
      </w:r>
      <w:r>
        <w:t xml:space="preserve"> and base load</w:t>
      </w:r>
      <w:r w:rsidR="00406B76">
        <w:t>s</w:t>
      </w:r>
      <w:r>
        <w:t>.</w:t>
      </w:r>
      <w:r w:rsidR="00DE1457">
        <w:t xml:space="preserve"> </w:t>
      </w:r>
      <w:r>
        <w:t>For this analysis, base loads refer to all non-heating and cooling end uses.</w:t>
      </w:r>
      <w:r w:rsidR="00DE1457">
        <w:t xml:space="preserve"> </w:t>
      </w:r>
      <w:r>
        <w:t xml:space="preserve">The analysis did not provide monthly consumption by end use. </w:t>
      </w:r>
    </w:p>
    <w:p w:rsidR="00406B76" w:rsidRDefault="001F7BC4" w:rsidP="00664CD0">
      <w:r>
        <w:t xml:space="preserve">As only total monthly consumption values were available for natural gas and electricity but not </w:t>
      </w:r>
      <w:r w:rsidR="0038661F">
        <w:t>for</w:t>
      </w:r>
      <w:r>
        <w:t xml:space="preserve"> end use, annual end</w:t>
      </w:r>
      <w:r w:rsidR="0038661F">
        <w:t>-</w:t>
      </w:r>
      <w:r>
        <w:t xml:space="preserve">use data </w:t>
      </w:r>
      <w:r w:rsidR="00406B76">
        <w:t>were</w:t>
      </w:r>
      <w:r>
        <w:t xml:space="preserve"> distributed to each month when an informed value of monthly consumption could be calculated. </w:t>
      </w:r>
    </w:p>
    <w:p w:rsidR="001F7BC4" w:rsidRDefault="001F7BC4" w:rsidP="00664CD0">
      <w:r w:rsidRPr="008D7940">
        <w:t xml:space="preserve">To determine monthly heating consumption, the </w:t>
      </w:r>
      <w:r>
        <w:t xml:space="preserve">annual heating consumption </w:t>
      </w:r>
      <w:r w:rsidRPr="008D7940">
        <w:t>value developed through variable degree day analysis was applied to each month</w:t>
      </w:r>
      <w:r w:rsidR="00406B76">
        <w:t>,</w:t>
      </w:r>
      <w:r w:rsidRPr="008D7940">
        <w:t xml:space="preserve"> based on the</w:t>
      </w:r>
      <w:r>
        <w:t xml:space="preserve"> proportion </w:t>
      </w:r>
      <w:r w:rsidR="00406B76">
        <w:t xml:space="preserve">of </w:t>
      </w:r>
      <w:r w:rsidR="0006524F">
        <w:t>HDDs</w:t>
      </w:r>
      <w:r>
        <w:t xml:space="preserve"> for each month. For gas</w:t>
      </w:r>
      <w:r w:rsidR="00406B76">
        <w:t>-</w:t>
      </w:r>
      <w:r>
        <w:t>heated homes, the remaining monthly natural gas consumption was assigned to water heating and gas appliances.</w:t>
      </w:r>
      <w:r w:rsidR="00DE1457">
        <w:t xml:space="preserve"> </w:t>
      </w:r>
    </w:p>
    <w:p w:rsidR="00F46CDD" w:rsidRPr="008B7E77" w:rsidRDefault="00F46CDD" w:rsidP="00F46CDD">
      <w:r>
        <w:t>The Evaluation Team weather-normalized the raw monthly billing data for each account using a customer-specific methodology</w:t>
      </w:r>
      <w:r w:rsidR="00B0523C">
        <w:t>,</w:t>
      </w:r>
      <w:r>
        <w:t xml:space="preserve"> comparable to the Princeton Scorekeeping Method (PRISM). This methodology conform</w:t>
      </w:r>
      <w:r w:rsidR="00B0523C">
        <w:t>ed</w:t>
      </w:r>
      <w:r>
        <w:t xml:space="preserve"> to the approach described in </w:t>
      </w:r>
      <w:r w:rsidRPr="00343C86">
        <w:rPr>
          <w:i/>
        </w:rPr>
        <w:t>Chapter 8:</w:t>
      </w:r>
      <w:r>
        <w:rPr>
          <w:i/>
        </w:rPr>
        <w:t xml:space="preserve"> </w:t>
      </w:r>
      <w:r w:rsidRPr="00343C86">
        <w:rPr>
          <w:i/>
        </w:rPr>
        <w:t>Whole-Building Retrofit with Consumption Data Analysis Evaluation Protocol</w:t>
      </w:r>
      <w:r>
        <w:rPr>
          <w:i/>
        </w:rPr>
        <w:t xml:space="preserve"> </w:t>
      </w:r>
      <w:r w:rsidRPr="00691E4F">
        <w:t xml:space="preserve">of </w:t>
      </w:r>
      <w:r w:rsidRPr="00343C86">
        <w:rPr>
          <w:i/>
        </w:rPr>
        <w:t>The Uniform Methods Project</w:t>
      </w:r>
      <w:r>
        <w:rPr>
          <w:i/>
        </w:rPr>
        <w:t>.</w:t>
      </w:r>
      <w:r>
        <w:rPr>
          <w:rStyle w:val="FootnoteReference"/>
        </w:rPr>
        <w:footnoteReference w:id="35"/>
      </w:r>
      <w:r>
        <w:t xml:space="preserve"> </w:t>
      </w:r>
      <w:r w:rsidRPr="008B7E77">
        <w:t xml:space="preserve">These models provided </w:t>
      </w:r>
      <w:r>
        <w:t xml:space="preserve">monthly </w:t>
      </w:r>
      <w:r w:rsidRPr="008B7E77">
        <w:t xml:space="preserve">weather-normalized usage for each account. </w:t>
      </w:r>
    </w:p>
    <w:p w:rsidR="00F46CDD" w:rsidRDefault="00F46CDD" w:rsidP="00F46CDD">
      <w:r>
        <w:t xml:space="preserve">For each participant home, the </w:t>
      </w:r>
      <w:r w:rsidR="00B0523C">
        <w:t>Evaluation T</w:t>
      </w:r>
      <w:r>
        <w:t>eam estimated a heating and cooling model to weather-normalize raw electric billing data, with a fixed heating reference temperature of 65 °F and a fixed cooling reference temperature of 65 °F for the fixed 65</w:t>
      </w:r>
      <w:r w:rsidR="00B0523C">
        <w:t>-</w:t>
      </w:r>
      <w:r>
        <w:t>degree method</w:t>
      </w:r>
      <w:r w:rsidR="00B0523C">
        <w:t xml:space="preserve">. The study </w:t>
      </w:r>
      <w:r>
        <w:t xml:space="preserve">also estimated variable degree day PRISM models allowing heating and cooling reference temperatures to vary from </w:t>
      </w:r>
      <w:r w:rsidR="00B0523C">
        <w:br/>
      </w:r>
      <w:r>
        <w:t xml:space="preserve">45 °F </w:t>
      </w:r>
      <w:r w:rsidR="00B0523C">
        <w:t xml:space="preserve">to </w:t>
      </w:r>
      <w:r>
        <w:t>85 °F .</w:t>
      </w:r>
    </w:p>
    <w:p w:rsidR="00F46CDD" w:rsidRDefault="00F46CDD" w:rsidP="00F46CDD">
      <w:pPr>
        <w:keepNext/>
      </w:pPr>
      <w:r>
        <w:lastRenderedPageBreak/>
        <w:t xml:space="preserve">The model used the following specification: </w:t>
      </w:r>
    </w:p>
    <w:p w:rsidR="0072796B" w:rsidRDefault="0072796B" w:rsidP="0072796B">
      <w:pPr>
        <w:pStyle w:val="Prop-bullets"/>
        <w:tabs>
          <w:tab w:val="left" w:pos="720"/>
        </w:tabs>
        <w:spacing w:before="0" w:after="120"/>
        <w:ind w:left="0" w:firstLine="0"/>
        <w:jc w:val="center"/>
      </w:pPr>
      <w:r w:rsidRPr="00017EF5">
        <w:rPr>
          <w:position w:val="-18"/>
        </w:rPr>
        <w:object w:dxaOrig="458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4pt;height:21.6pt" o:ole="">
            <v:imagedata r:id="rId38" o:title=""/>
          </v:shape>
          <o:OLEObject Type="Embed" ProgID="Equation.3" ShapeID="_x0000_i1025" DrawAspect="Content" ObjectID="_1337605479" r:id="rId39"/>
        </w:object>
      </w:r>
    </w:p>
    <w:p w:rsidR="00F46CDD" w:rsidRPr="00BA031B" w:rsidRDefault="00F46CDD" w:rsidP="003D4F09">
      <w:pPr>
        <w:pStyle w:val="Prop-bullets"/>
        <w:tabs>
          <w:tab w:val="left" w:pos="720"/>
        </w:tabs>
        <w:spacing w:before="0" w:after="120"/>
        <w:ind w:left="0" w:firstLine="0"/>
        <w:rPr>
          <w:rFonts w:asciiTheme="minorHAnsi" w:hAnsiTheme="minorHAnsi"/>
          <w:sz w:val="22"/>
          <w:szCs w:val="22"/>
        </w:rPr>
      </w:pPr>
      <w:r w:rsidRPr="00BA031B">
        <w:rPr>
          <w:rFonts w:asciiTheme="minorHAnsi" w:hAnsiTheme="minorHAnsi"/>
          <w:sz w:val="22"/>
          <w:szCs w:val="22"/>
        </w:rPr>
        <w:t xml:space="preserve">Where for each customer ‘i’ and billing month ‘t’: </w:t>
      </w:r>
    </w:p>
    <w:p w:rsidR="00F46CDD" w:rsidRPr="00BA031B" w:rsidRDefault="00F46CDD" w:rsidP="003D4F09">
      <w:pPr>
        <w:pStyle w:val="Prop-bullets"/>
        <w:tabs>
          <w:tab w:val="clear" w:pos="1080"/>
          <w:tab w:val="left" w:pos="1980"/>
          <w:tab w:val="left" w:pos="2340"/>
        </w:tabs>
        <w:spacing w:before="0" w:after="120"/>
        <w:ind w:left="2340" w:hanging="1620"/>
        <w:rPr>
          <w:rFonts w:asciiTheme="minorHAnsi" w:hAnsiTheme="minorHAnsi"/>
          <w:sz w:val="22"/>
          <w:szCs w:val="22"/>
        </w:rPr>
      </w:pPr>
      <w:r w:rsidRPr="00BA031B">
        <w:rPr>
          <w:rFonts w:asciiTheme="minorHAnsi" w:hAnsiTheme="minorHAnsi"/>
          <w:i/>
          <w:sz w:val="22"/>
          <w:szCs w:val="22"/>
        </w:rPr>
        <w:t>ADC</w:t>
      </w:r>
      <w:r w:rsidRPr="00BA031B">
        <w:rPr>
          <w:rFonts w:asciiTheme="minorHAnsi" w:hAnsiTheme="minorHAnsi"/>
          <w:i/>
          <w:sz w:val="22"/>
          <w:szCs w:val="22"/>
          <w:vertAlign w:val="subscript"/>
        </w:rPr>
        <w:t>it</w:t>
      </w:r>
      <w:r w:rsidRPr="00BA031B">
        <w:rPr>
          <w:rFonts w:asciiTheme="minorHAnsi" w:hAnsiTheme="minorHAnsi"/>
          <w:sz w:val="22"/>
          <w:szCs w:val="22"/>
        </w:rPr>
        <w:tab/>
        <w:t>=</w:t>
      </w:r>
      <w:r w:rsidRPr="00BA031B">
        <w:rPr>
          <w:rFonts w:asciiTheme="minorHAnsi" w:hAnsiTheme="minorHAnsi"/>
          <w:sz w:val="22"/>
          <w:szCs w:val="22"/>
        </w:rPr>
        <w:tab/>
        <w:t>the average daily kWh consumption in the program period</w:t>
      </w:r>
    </w:p>
    <w:p w:rsidR="00F46CDD" w:rsidRPr="00BA031B" w:rsidRDefault="00F46CDD" w:rsidP="003D4F09">
      <w:pPr>
        <w:pStyle w:val="Prop-bullets"/>
        <w:tabs>
          <w:tab w:val="clear" w:pos="1080"/>
          <w:tab w:val="left" w:pos="1980"/>
          <w:tab w:val="left" w:pos="2340"/>
        </w:tabs>
        <w:spacing w:before="0" w:after="120"/>
        <w:ind w:left="2340" w:hanging="1620"/>
        <w:rPr>
          <w:rFonts w:asciiTheme="minorHAnsi" w:hAnsiTheme="minorHAnsi"/>
          <w:sz w:val="22"/>
          <w:szCs w:val="22"/>
        </w:rPr>
      </w:pPr>
      <w:r w:rsidRPr="00BA031B">
        <w:rPr>
          <w:rFonts w:asciiTheme="minorHAnsi" w:hAnsiTheme="minorHAnsi"/>
          <w:sz w:val="22"/>
          <w:szCs w:val="22"/>
        </w:rPr>
        <w:sym w:font="Symbol" w:char="F061"/>
      </w:r>
      <w:r w:rsidRPr="00BA031B">
        <w:rPr>
          <w:rFonts w:asciiTheme="minorHAnsi" w:hAnsiTheme="minorHAnsi"/>
          <w:sz w:val="22"/>
          <w:szCs w:val="22"/>
          <w:vertAlign w:val="subscript"/>
        </w:rPr>
        <w:t>i</w:t>
      </w:r>
      <w:r w:rsidRPr="00BA031B">
        <w:rPr>
          <w:rFonts w:asciiTheme="minorHAnsi" w:hAnsiTheme="minorHAnsi"/>
          <w:sz w:val="22"/>
          <w:szCs w:val="22"/>
        </w:rPr>
        <w:tab/>
        <w:t>=</w:t>
      </w:r>
      <w:r w:rsidRPr="00BA031B">
        <w:rPr>
          <w:rFonts w:asciiTheme="minorHAnsi" w:hAnsiTheme="minorHAnsi"/>
          <w:sz w:val="22"/>
          <w:szCs w:val="22"/>
        </w:rPr>
        <w:tab/>
        <w:t xml:space="preserve">the participant intercept; represents the average daily kWh base load </w:t>
      </w:r>
    </w:p>
    <w:p w:rsidR="00F46CDD" w:rsidRPr="00BA031B" w:rsidRDefault="00F46CDD" w:rsidP="003D4F09">
      <w:pPr>
        <w:pStyle w:val="Prop-bullets"/>
        <w:tabs>
          <w:tab w:val="clear" w:pos="1080"/>
          <w:tab w:val="left" w:pos="1980"/>
          <w:tab w:val="left" w:pos="2340"/>
        </w:tabs>
        <w:spacing w:before="0" w:after="120"/>
        <w:ind w:left="2340" w:hanging="1620"/>
        <w:rPr>
          <w:rFonts w:asciiTheme="minorHAnsi" w:hAnsiTheme="minorHAnsi"/>
          <w:sz w:val="22"/>
          <w:szCs w:val="22"/>
        </w:rPr>
      </w:pPr>
      <w:r w:rsidRPr="00BA031B">
        <w:rPr>
          <w:rFonts w:asciiTheme="minorHAnsi" w:hAnsiTheme="minorHAnsi"/>
          <w:i/>
          <w:sz w:val="22"/>
          <w:szCs w:val="22"/>
        </w:rPr>
        <w:t>β</w:t>
      </w:r>
      <w:r w:rsidRPr="00BA031B">
        <w:rPr>
          <w:rFonts w:asciiTheme="minorHAnsi" w:hAnsiTheme="minorHAnsi"/>
          <w:i/>
          <w:sz w:val="22"/>
          <w:szCs w:val="22"/>
          <w:vertAlign w:val="subscript"/>
        </w:rPr>
        <w:t>1</w:t>
      </w:r>
      <w:r w:rsidRPr="00BA031B">
        <w:rPr>
          <w:rFonts w:asciiTheme="minorHAnsi" w:hAnsiTheme="minorHAnsi"/>
          <w:sz w:val="22"/>
          <w:szCs w:val="22"/>
          <w:vertAlign w:val="subscript"/>
        </w:rPr>
        <w:tab/>
      </w:r>
      <w:r w:rsidRPr="00BA031B">
        <w:rPr>
          <w:rFonts w:asciiTheme="minorHAnsi" w:hAnsiTheme="minorHAnsi"/>
          <w:sz w:val="22"/>
          <w:szCs w:val="22"/>
        </w:rPr>
        <w:t>=</w:t>
      </w:r>
      <w:r w:rsidRPr="00BA031B">
        <w:rPr>
          <w:rFonts w:asciiTheme="minorHAnsi" w:hAnsiTheme="minorHAnsi"/>
          <w:sz w:val="22"/>
          <w:szCs w:val="22"/>
        </w:rPr>
        <w:tab/>
        <w:t>the model space heating slope</w:t>
      </w:r>
    </w:p>
    <w:p w:rsidR="00F46CDD" w:rsidRPr="00BA031B" w:rsidRDefault="00F46CDD" w:rsidP="003D4F09">
      <w:pPr>
        <w:pStyle w:val="Prop-bullets"/>
        <w:tabs>
          <w:tab w:val="clear" w:pos="1080"/>
          <w:tab w:val="left" w:pos="1980"/>
          <w:tab w:val="left" w:pos="2340"/>
        </w:tabs>
        <w:spacing w:before="0" w:after="120"/>
        <w:ind w:left="2340" w:hanging="1620"/>
        <w:rPr>
          <w:rFonts w:asciiTheme="minorHAnsi" w:hAnsiTheme="minorHAnsi"/>
          <w:sz w:val="22"/>
          <w:szCs w:val="22"/>
        </w:rPr>
      </w:pPr>
      <w:r w:rsidRPr="00BA031B">
        <w:rPr>
          <w:rFonts w:asciiTheme="minorHAnsi" w:hAnsiTheme="minorHAnsi"/>
          <w:i/>
          <w:sz w:val="22"/>
          <w:szCs w:val="22"/>
        </w:rPr>
        <w:t>β</w:t>
      </w:r>
      <w:r w:rsidRPr="00BA031B">
        <w:rPr>
          <w:rFonts w:asciiTheme="minorHAnsi" w:hAnsiTheme="minorHAnsi"/>
          <w:i/>
          <w:sz w:val="22"/>
          <w:szCs w:val="22"/>
          <w:vertAlign w:val="subscript"/>
        </w:rPr>
        <w:t>2</w:t>
      </w:r>
      <w:r w:rsidRPr="00BA031B">
        <w:rPr>
          <w:rFonts w:asciiTheme="minorHAnsi" w:hAnsiTheme="minorHAnsi"/>
          <w:sz w:val="22"/>
          <w:szCs w:val="22"/>
          <w:vertAlign w:val="subscript"/>
        </w:rPr>
        <w:tab/>
      </w:r>
      <w:r w:rsidRPr="00BA031B">
        <w:rPr>
          <w:rFonts w:asciiTheme="minorHAnsi" w:hAnsiTheme="minorHAnsi"/>
          <w:sz w:val="22"/>
          <w:szCs w:val="22"/>
        </w:rPr>
        <w:t>=</w:t>
      </w:r>
      <w:r w:rsidRPr="00BA031B">
        <w:rPr>
          <w:rFonts w:asciiTheme="minorHAnsi" w:hAnsiTheme="minorHAnsi"/>
          <w:sz w:val="22"/>
          <w:szCs w:val="22"/>
        </w:rPr>
        <w:tab/>
        <w:t>the model cooling slope</w:t>
      </w:r>
    </w:p>
    <w:p w:rsidR="00F46CDD" w:rsidRPr="00BA031B" w:rsidRDefault="00F46CDD" w:rsidP="003D4F09">
      <w:pPr>
        <w:pStyle w:val="Prop-bullets"/>
        <w:tabs>
          <w:tab w:val="clear" w:pos="1080"/>
          <w:tab w:val="left" w:pos="1980"/>
          <w:tab w:val="left" w:pos="2340"/>
        </w:tabs>
        <w:spacing w:before="0" w:after="120"/>
        <w:ind w:left="2340" w:hanging="1620"/>
        <w:rPr>
          <w:rFonts w:asciiTheme="minorHAnsi" w:hAnsiTheme="minorHAnsi"/>
          <w:sz w:val="22"/>
          <w:szCs w:val="22"/>
        </w:rPr>
      </w:pPr>
      <w:r w:rsidRPr="00BA031B">
        <w:rPr>
          <w:rFonts w:asciiTheme="minorHAnsi" w:hAnsiTheme="minorHAnsi"/>
          <w:i/>
          <w:sz w:val="22"/>
          <w:szCs w:val="22"/>
        </w:rPr>
        <w:t>AVGHDD</w:t>
      </w:r>
      <w:r w:rsidRPr="00BA031B">
        <w:rPr>
          <w:rFonts w:asciiTheme="minorHAnsi" w:hAnsiTheme="minorHAnsi"/>
          <w:i/>
          <w:sz w:val="22"/>
          <w:szCs w:val="22"/>
          <w:vertAlign w:val="subscript"/>
        </w:rPr>
        <w:t>it</w:t>
      </w:r>
      <w:r w:rsidRPr="00BA031B">
        <w:rPr>
          <w:rFonts w:asciiTheme="minorHAnsi" w:hAnsiTheme="minorHAnsi"/>
          <w:sz w:val="22"/>
          <w:szCs w:val="22"/>
          <w:vertAlign w:val="subscript"/>
        </w:rPr>
        <w:tab/>
      </w:r>
      <w:r w:rsidRPr="00BA031B">
        <w:rPr>
          <w:rFonts w:asciiTheme="minorHAnsi" w:hAnsiTheme="minorHAnsi"/>
          <w:sz w:val="22"/>
          <w:szCs w:val="22"/>
        </w:rPr>
        <w:t>=</w:t>
      </w:r>
      <w:r w:rsidRPr="00BA031B">
        <w:rPr>
          <w:rFonts w:asciiTheme="minorHAnsi" w:hAnsiTheme="minorHAnsi"/>
          <w:sz w:val="22"/>
          <w:szCs w:val="22"/>
        </w:rPr>
        <w:tab/>
        <w:t xml:space="preserve">the 65 °F reference temperature average daily HDDs for the specific location for the fixed reference models, or the best heating reference temperature in the 45 °F </w:t>
      </w:r>
      <w:r w:rsidR="000E7B70">
        <w:rPr>
          <w:rFonts w:asciiTheme="minorHAnsi" w:hAnsiTheme="minorHAnsi"/>
          <w:sz w:val="22"/>
          <w:szCs w:val="22"/>
        </w:rPr>
        <w:t>to</w:t>
      </w:r>
      <w:r w:rsidRPr="00BA031B">
        <w:rPr>
          <w:rFonts w:asciiTheme="minorHAnsi" w:hAnsiTheme="minorHAnsi"/>
          <w:sz w:val="22"/>
          <w:szCs w:val="22"/>
        </w:rPr>
        <w:t xml:space="preserve"> 85 °F range for the variable degree day models</w:t>
      </w:r>
    </w:p>
    <w:p w:rsidR="00F46CDD" w:rsidRPr="00BA031B" w:rsidRDefault="00F46CDD" w:rsidP="003D4F09">
      <w:pPr>
        <w:pStyle w:val="Prop-bullets"/>
        <w:tabs>
          <w:tab w:val="clear" w:pos="1080"/>
          <w:tab w:val="left" w:pos="1980"/>
          <w:tab w:val="left" w:pos="2340"/>
        </w:tabs>
        <w:spacing w:before="0" w:after="120"/>
        <w:ind w:left="2340" w:hanging="1620"/>
        <w:rPr>
          <w:rFonts w:asciiTheme="minorHAnsi" w:hAnsiTheme="minorHAnsi"/>
          <w:sz w:val="22"/>
          <w:szCs w:val="22"/>
        </w:rPr>
      </w:pPr>
      <w:r w:rsidRPr="00BA031B">
        <w:rPr>
          <w:rFonts w:asciiTheme="minorHAnsi" w:hAnsiTheme="minorHAnsi"/>
          <w:i/>
          <w:sz w:val="22"/>
          <w:szCs w:val="22"/>
        </w:rPr>
        <w:t>AVGCDD</w:t>
      </w:r>
      <w:r w:rsidRPr="00BA031B">
        <w:rPr>
          <w:rFonts w:asciiTheme="minorHAnsi" w:hAnsiTheme="minorHAnsi"/>
          <w:i/>
          <w:sz w:val="22"/>
          <w:szCs w:val="22"/>
          <w:vertAlign w:val="subscript"/>
        </w:rPr>
        <w:t>it</w:t>
      </w:r>
      <w:r w:rsidRPr="00BA031B">
        <w:rPr>
          <w:rFonts w:asciiTheme="minorHAnsi" w:hAnsiTheme="minorHAnsi"/>
          <w:sz w:val="22"/>
          <w:szCs w:val="22"/>
          <w:vertAlign w:val="subscript"/>
        </w:rPr>
        <w:tab/>
        <w:t xml:space="preserve"> </w:t>
      </w:r>
      <w:r w:rsidRPr="00BA031B">
        <w:rPr>
          <w:rFonts w:asciiTheme="minorHAnsi" w:hAnsiTheme="minorHAnsi"/>
          <w:sz w:val="22"/>
          <w:szCs w:val="22"/>
        </w:rPr>
        <w:t>=</w:t>
      </w:r>
      <w:r w:rsidRPr="00BA031B">
        <w:rPr>
          <w:rFonts w:asciiTheme="minorHAnsi" w:hAnsiTheme="minorHAnsi"/>
          <w:sz w:val="22"/>
          <w:szCs w:val="22"/>
        </w:rPr>
        <w:tab/>
        <w:t>the 65 °F reference temperature</w:t>
      </w:r>
      <w:r w:rsidRPr="00BA031B" w:rsidDel="00EA7646">
        <w:rPr>
          <w:rFonts w:asciiTheme="minorHAnsi" w:hAnsiTheme="minorHAnsi"/>
          <w:sz w:val="22"/>
          <w:szCs w:val="22"/>
        </w:rPr>
        <w:t xml:space="preserve"> </w:t>
      </w:r>
      <w:r w:rsidRPr="00BA031B">
        <w:rPr>
          <w:rFonts w:asciiTheme="minorHAnsi" w:hAnsiTheme="minorHAnsi"/>
          <w:sz w:val="22"/>
          <w:szCs w:val="22"/>
        </w:rPr>
        <w:t xml:space="preserve">average daily CDDs for the specific location for the fixed reference models, or the best cooling reference temperature in the 45 °F </w:t>
      </w:r>
      <w:r w:rsidR="000E7B70">
        <w:rPr>
          <w:rFonts w:asciiTheme="minorHAnsi" w:hAnsiTheme="minorHAnsi"/>
          <w:sz w:val="22"/>
          <w:szCs w:val="22"/>
        </w:rPr>
        <w:t>to</w:t>
      </w:r>
      <w:r w:rsidRPr="00BA031B">
        <w:rPr>
          <w:rFonts w:asciiTheme="minorHAnsi" w:hAnsiTheme="minorHAnsi"/>
          <w:sz w:val="22"/>
          <w:szCs w:val="22"/>
        </w:rPr>
        <w:t xml:space="preserve"> 85 °F range for the variable degree day models</w:t>
      </w:r>
    </w:p>
    <w:p w:rsidR="00F46CDD" w:rsidRPr="00BA031B" w:rsidRDefault="00F46CDD" w:rsidP="003D4F09">
      <w:pPr>
        <w:pStyle w:val="Prop-bullets"/>
        <w:tabs>
          <w:tab w:val="clear" w:pos="1080"/>
          <w:tab w:val="left" w:pos="1980"/>
          <w:tab w:val="left" w:pos="2340"/>
        </w:tabs>
        <w:spacing w:before="0" w:after="200"/>
        <w:ind w:left="2340" w:hanging="1620"/>
        <w:rPr>
          <w:rFonts w:asciiTheme="minorHAnsi" w:hAnsiTheme="minorHAnsi"/>
          <w:sz w:val="22"/>
          <w:szCs w:val="22"/>
        </w:rPr>
      </w:pPr>
      <w:r w:rsidRPr="00BA031B">
        <w:rPr>
          <w:rFonts w:asciiTheme="minorHAnsi" w:hAnsiTheme="minorHAnsi"/>
          <w:sz w:val="22"/>
          <w:szCs w:val="22"/>
        </w:rPr>
        <w:sym w:font="Symbol" w:char="F065"/>
      </w:r>
      <w:r w:rsidRPr="00BA031B">
        <w:rPr>
          <w:rFonts w:asciiTheme="minorHAnsi" w:hAnsiTheme="minorHAnsi"/>
          <w:sz w:val="22"/>
          <w:szCs w:val="22"/>
          <w:vertAlign w:val="subscript"/>
        </w:rPr>
        <w:t>it</w:t>
      </w:r>
      <w:r w:rsidRPr="00BA031B">
        <w:rPr>
          <w:rFonts w:asciiTheme="minorHAnsi" w:hAnsiTheme="minorHAnsi"/>
          <w:sz w:val="22"/>
          <w:szCs w:val="22"/>
        </w:rPr>
        <w:tab/>
        <w:t>=</w:t>
      </w:r>
      <w:r w:rsidRPr="00BA031B">
        <w:rPr>
          <w:rFonts w:asciiTheme="minorHAnsi" w:hAnsiTheme="minorHAnsi"/>
          <w:sz w:val="22"/>
          <w:szCs w:val="22"/>
        </w:rPr>
        <w:tab/>
        <w:t>the error term</w:t>
      </w:r>
    </w:p>
    <w:p w:rsidR="00F46CDD" w:rsidRPr="00BA031B" w:rsidRDefault="00F46CDD" w:rsidP="003D4F09">
      <w:pPr>
        <w:pStyle w:val="Prop-NormalChar"/>
        <w:spacing w:before="0" w:after="120"/>
        <w:ind w:firstLine="0"/>
        <w:rPr>
          <w:rFonts w:asciiTheme="minorHAnsi" w:hAnsiTheme="minorHAnsi"/>
          <w:sz w:val="22"/>
        </w:rPr>
      </w:pPr>
      <w:r w:rsidRPr="00BA031B">
        <w:rPr>
          <w:rFonts w:asciiTheme="minorHAnsi" w:hAnsiTheme="minorHAnsi"/>
          <w:sz w:val="22"/>
        </w:rPr>
        <w:t>Using the model,</w:t>
      </w:r>
      <w:r w:rsidR="006401CF">
        <w:rPr>
          <w:rFonts w:asciiTheme="minorHAnsi" w:hAnsiTheme="minorHAnsi"/>
          <w:sz w:val="22"/>
        </w:rPr>
        <w:t xml:space="preserve"> </w:t>
      </w:r>
      <w:r w:rsidRPr="00BA031B">
        <w:rPr>
          <w:rFonts w:asciiTheme="minorHAnsi" w:hAnsiTheme="minorHAnsi"/>
          <w:sz w:val="22"/>
        </w:rPr>
        <w:t xml:space="preserve">the </w:t>
      </w:r>
      <w:r w:rsidR="000E7B70">
        <w:rPr>
          <w:rFonts w:asciiTheme="minorHAnsi" w:hAnsiTheme="minorHAnsi"/>
          <w:sz w:val="22"/>
        </w:rPr>
        <w:t>Evaluation T</w:t>
      </w:r>
      <w:r w:rsidRPr="00BA031B">
        <w:rPr>
          <w:rFonts w:asciiTheme="minorHAnsi" w:hAnsiTheme="minorHAnsi"/>
          <w:sz w:val="22"/>
        </w:rPr>
        <w:t>eam computed monthly, weather-normalized consumption for each customer and month (t), as follows:</w:t>
      </w:r>
    </w:p>
    <w:p w:rsidR="0072796B" w:rsidRDefault="0072796B" w:rsidP="0072796B">
      <w:pPr>
        <w:pStyle w:val="Prop-bullets"/>
        <w:keepNext/>
        <w:tabs>
          <w:tab w:val="left" w:pos="720"/>
        </w:tabs>
        <w:spacing w:before="0" w:after="120"/>
        <w:ind w:left="0" w:firstLine="0"/>
        <w:jc w:val="center"/>
      </w:pPr>
      <w:r w:rsidRPr="00017EF5">
        <w:rPr>
          <w:position w:val="-18"/>
        </w:rPr>
        <w:object w:dxaOrig="4760" w:dyaOrig="420">
          <v:shape id="_x0000_i1026" type="#_x0000_t75" style="width:237.6pt;height:21.6pt" o:ole="">
            <v:imagedata r:id="rId40" o:title=""/>
          </v:shape>
          <o:OLEObject Type="Embed" ProgID="Equation.3" ShapeID="_x0000_i1026" DrawAspect="Content" ObjectID="_1337605480" r:id="rId41"/>
        </w:object>
      </w:r>
    </w:p>
    <w:p w:rsidR="00F46CDD" w:rsidRPr="00BA031B" w:rsidRDefault="00F46CDD" w:rsidP="003D4F09">
      <w:pPr>
        <w:pStyle w:val="Prop-bullets"/>
        <w:keepNext/>
        <w:tabs>
          <w:tab w:val="left" w:pos="720"/>
        </w:tabs>
        <w:spacing w:before="0" w:after="120"/>
        <w:ind w:left="0" w:firstLine="0"/>
        <w:rPr>
          <w:rFonts w:asciiTheme="minorHAnsi" w:hAnsiTheme="minorHAnsi"/>
          <w:sz w:val="22"/>
          <w:szCs w:val="22"/>
        </w:rPr>
      </w:pPr>
      <w:r w:rsidRPr="00BA031B">
        <w:rPr>
          <w:rFonts w:asciiTheme="minorHAnsi" w:hAnsiTheme="minorHAnsi"/>
          <w:sz w:val="22"/>
          <w:szCs w:val="22"/>
        </w:rPr>
        <w:t xml:space="preserve">Where for each customer ‘i’ and calendar month ‘t’: </w:t>
      </w:r>
    </w:p>
    <w:p w:rsidR="00F46CDD" w:rsidRPr="00BA031B" w:rsidRDefault="00F46CDD" w:rsidP="00F46CDD">
      <w:pPr>
        <w:pStyle w:val="Prop-bullets"/>
        <w:keepNext/>
        <w:tabs>
          <w:tab w:val="clear" w:pos="1080"/>
          <w:tab w:val="left" w:pos="1980"/>
          <w:tab w:val="left" w:pos="2340"/>
        </w:tabs>
        <w:spacing w:before="0" w:after="120"/>
        <w:ind w:left="2340" w:hanging="1620"/>
        <w:rPr>
          <w:rFonts w:asciiTheme="minorHAnsi" w:hAnsiTheme="minorHAnsi"/>
          <w:sz w:val="22"/>
          <w:szCs w:val="22"/>
        </w:rPr>
      </w:pPr>
      <w:r w:rsidRPr="00BA031B">
        <w:rPr>
          <w:rFonts w:asciiTheme="minorHAnsi" w:hAnsiTheme="minorHAnsi"/>
          <w:i/>
          <w:sz w:val="22"/>
          <w:szCs w:val="22"/>
        </w:rPr>
        <w:t>NMC</w:t>
      </w:r>
      <w:r w:rsidRPr="00BA031B">
        <w:rPr>
          <w:rFonts w:asciiTheme="minorHAnsi" w:hAnsiTheme="minorHAnsi"/>
          <w:i/>
          <w:sz w:val="22"/>
          <w:szCs w:val="22"/>
          <w:vertAlign w:val="subscript"/>
        </w:rPr>
        <w:t>it</w:t>
      </w:r>
      <w:r w:rsidRPr="00BA031B">
        <w:rPr>
          <w:rFonts w:asciiTheme="minorHAnsi" w:hAnsiTheme="minorHAnsi"/>
          <w:sz w:val="22"/>
          <w:szCs w:val="22"/>
        </w:rPr>
        <w:tab/>
        <w:t>=</w:t>
      </w:r>
      <w:r w:rsidRPr="00BA031B">
        <w:rPr>
          <w:rFonts w:asciiTheme="minorHAnsi" w:hAnsiTheme="minorHAnsi"/>
          <w:sz w:val="22"/>
          <w:szCs w:val="22"/>
        </w:rPr>
        <w:tab/>
        <w:t>the normalized monthly kWh consumption in month t</w:t>
      </w:r>
    </w:p>
    <w:p w:rsidR="00F46CDD" w:rsidRPr="00BA031B" w:rsidRDefault="00F46CDD" w:rsidP="00F46CDD">
      <w:pPr>
        <w:pStyle w:val="Prop-bullets"/>
        <w:tabs>
          <w:tab w:val="clear" w:pos="1080"/>
          <w:tab w:val="left" w:pos="1980"/>
          <w:tab w:val="left" w:pos="2340"/>
        </w:tabs>
        <w:spacing w:before="0" w:after="120"/>
        <w:ind w:left="2340" w:hanging="1620"/>
        <w:rPr>
          <w:rFonts w:asciiTheme="minorHAnsi" w:hAnsiTheme="minorHAnsi"/>
          <w:sz w:val="22"/>
          <w:szCs w:val="22"/>
        </w:rPr>
      </w:pPr>
      <w:r w:rsidRPr="00BA031B">
        <w:rPr>
          <w:rFonts w:asciiTheme="minorHAnsi" w:hAnsiTheme="minorHAnsi"/>
          <w:i/>
          <w:sz w:val="22"/>
          <w:szCs w:val="22"/>
        </w:rPr>
        <w:sym w:font="Symbol" w:char="F061"/>
      </w:r>
      <w:r w:rsidRPr="00BA031B">
        <w:rPr>
          <w:rFonts w:asciiTheme="minorHAnsi" w:hAnsiTheme="minorHAnsi"/>
          <w:i/>
          <w:sz w:val="22"/>
          <w:szCs w:val="22"/>
          <w:vertAlign w:val="subscript"/>
        </w:rPr>
        <w:t>i</w:t>
      </w:r>
      <w:r w:rsidRPr="00BA031B">
        <w:rPr>
          <w:rFonts w:asciiTheme="minorHAnsi" w:hAnsiTheme="minorHAnsi"/>
          <w:sz w:val="22"/>
          <w:szCs w:val="22"/>
        </w:rPr>
        <w:tab/>
        <w:t>=</w:t>
      </w:r>
      <w:r w:rsidRPr="00BA031B">
        <w:rPr>
          <w:rFonts w:asciiTheme="minorHAnsi" w:hAnsiTheme="minorHAnsi"/>
          <w:sz w:val="22"/>
          <w:szCs w:val="22"/>
        </w:rPr>
        <w:tab/>
        <w:t>the intercept is the average daily base load kWh for each participant from the model above</w:t>
      </w:r>
    </w:p>
    <w:p w:rsidR="00F46CDD" w:rsidRPr="00BA031B" w:rsidRDefault="00F46CDD" w:rsidP="00F46CDD">
      <w:pPr>
        <w:pStyle w:val="Prop-bullets"/>
        <w:tabs>
          <w:tab w:val="clear" w:pos="1080"/>
          <w:tab w:val="left" w:pos="1980"/>
          <w:tab w:val="left" w:pos="2340"/>
        </w:tabs>
        <w:spacing w:before="0" w:after="120"/>
        <w:ind w:left="2340" w:hanging="1620"/>
        <w:rPr>
          <w:rFonts w:asciiTheme="minorHAnsi" w:hAnsiTheme="minorHAnsi"/>
          <w:sz w:val="22"/>
          <w:szCs w:val="22"/>
        </w:rPr>
      </w:pPr>
      <w:r w:rsidRPr="00BA031B">
        <w:rPr>
          <w:rFonts w:asciiTheme="minorHAnsi" w:hAnsiTheme="minorHAnsi"/>
          <w:i/>
          <w:sz w:val="22"/>
          <w:szCs w:val="22"/>
        </w:rPr>
        <w:t>(</w:t>
      </w:r>
      <w:r w:rsidRPr="00BA031B">
        <w:rPr>
          <w:rFonts w:asciiTheme="minorHAnsi" w:hAnsiTheme="minorHAnsi"/>
          <w:i/>
          <w:sz w:val="22"/>
          <w:szCs w:val="22"/>
        </w:rPr>
        <w:sym w:font="Symbol" w:char="F061"/>
      </w:r>
      <w:r w:rsidRPr="00BA031B">
        <w:rPr>
          <w:rFonts w:asciiTheme="minorHAnsi" w:hAnsiTheme="minorHAnsi"/>
          <w:i/>
          <w:sz w:val="22"/>
          <w:szCs w:val="22"/>
          <w:vertAlign w:val="subscript"/>
        </w:rPr>
        <w:t>i</w:t>
      </w:r>
      <w:r w:rsidRPr="00BA031B">
        <w:rPr>
          <w:rFonts w:asciiTheme="minorHAnsi" w:hAnsiTheme="minorHAnsi"/>
          <w:i/>
          <w:sz w:val="22"/>
          <w:szCs w:val="22"/>
        </w:rPr>
        <w:t xml:space="preserve"> * 365)/12</w:t>
      </w:r>
      <w:r w:rsidRPr="00BA031B">
        <w:rPr>
          <w:rFonts w:asciiTheme="minorHAnsi" w:hAnsiTheme="minorHAnsi"/>
          <w:sz w:val="22"/>
          <w:szCs w:val="22"/>
        </w:rPr>
        <w:tab/>
        <w:t>=</w:t>
      </w:r>
      <w:r w:rsidRPr="00BA031B">
        <w:rPr>
          <w:rFonts w:asciiTheme="minorHAnsi" w:hAnsiTheme="minorHAnsi"/>
          <w:sz w:val="22"/>
          <w:szCs w:val="22"/>
        </w:rPr>
        <w:tab/>
        <w:t>the monthly base load kWh usage (non-weather-sensitive)</w:t>
      </w:r>
    </w:p>
    <w:p w:rsidR="00F46CDD" w:rsidRPr="00BA031B" w:rsidRDefault="00F46CDD" w:rsidP="00F46CDD">
      <w:pPr>
        <w:pStyle w:val="Prop-bullets"/>
        <w:tabs>
          <w:tab w:val="clear" w:pos="1080"/>
          <w:tab w:val="left" w:pos="1980"/>
          <w:tab w:val="left" w:pos="2340"/>
        </w:tabs>
        <w:spacing w:before="0" w:after="120"/>
        <w:ind w:left="2340" w:hanging="1620"/>
        <w:rPr>
          <w:rFonts w:asciiTheme="minorHAnsi" w:hAnsiTheme="minorHAnsi"/>
          <w:sz w:val="22"/>
          <w:szCs w:val="22"/>
        </w:rPr>
      </w:pPr>
      <w:r w:rsidRPr="00BA031B">
        <w:rPr>
          <w:rFonts w:asciiTheme="minorHAnsi" w:hAnsiTheme="minorHAnsi"/>
          <w:i/>
          <w:sz w:val="22"/>
          <w:szCs w:val="22"/>
        </w:rPr>
        <w:t>β</w:t>
      </w:r>
      <w:r w:rsidRPr="00BA031B">
        <w:rPr>
          <w:rFonts w:asciiTheme="minorHAnsi" w:hAnsiTheme="minorHAnsi"/>
          <w:i/>
          <w:sz w:val="22"/>
          <w:szCs w:val="22"/>
          <w:vertAlign w:val="subscript"/>
        </w:rPr>
        <w:t>1</w:t>
      </w:r>
      <w:r w:rsidRPr="00BA031B">
        <w:rPr>
          <w:rFonts w:asciiTheme="minorHAnsi" w:hAnsiTheme="minorHAnsi"/>
          <w:i/>
          <w:sz w:val="22"/>
          <w:szCs w:val="22"/>
          <w:vertAlign w:val="subscript"/>
        </w:rPr>
        <w:tab/>
      </w:r>
      <w:r w:rsidRPr="00BA031B">
        <w:rPr>
          <w:rFonts w:asciiTheme="minorHAnsi" w:hAnsiTheme="minorHAnsi"/>
          <w:sz w:val="22"/>
          <w:szCs w:val="22"/>
        </w:rPr>
        <w:t>=</w:t>
      </w:r>
      <w:r w:rsidRPr="00BA031B">
        <w:rPr>
          <w:rFonts w:asciiTheme="minorHAnsi" w:hAnsiTheme="minorHAnsi"/>
          <w:sz w:val="22"/>
          <w:szCs w:val="22"/>
        </w:rPr>
        <w:tab/>
        <w:t>the heating slope; in effect, usage per heating degree day from the model above</w:t>
      </w:r>
    </w:p>
    <w:p w:rsidR="00F46CDD" w:rsidRPr="00BA031B" w:rsidRDefault="00F46CDD" w:rsidP="00F46CDD">
      <w:pPr>
        <w:pStyle w:val="Prop-bullets"/>
        <w:tabs>
          <w:tab w:val="clear" w:pos="1080"/>
          <w:tab w:val="left" w:pos="1980"/>
          <w:tab w:val="left" w:pos="2340"/>
        </w:tabs>
        <w:spacing w:before="0" w:after="120"/>
        <w:ind w:left="2340" w:hanging="1620"/>
        <w:rPr>
          <w:rFonts w:asciiTheme="minorHAnsi" w:hAnsiTheme="minorHAnsi"/>
          <w:sz w:val="22"/>
          <w:szCs w:val="22"/>
        </w:rPr>
      </w:pPr>
      <w:r w:rsidRPr="00BA031B">
        <w:rPr>
          <w:rFonts w:asciiTheme="minorHAnsi" w:hAnsiTheme="minorHAnsi"/>
          <w:i/>
          <w:sz w:val="22"/>
          <w:szCs w:val="22"/>
        </w:rPr>
        <w:t>LRHDD</w:t>
      </w:r>
      <w:r w:rsidRPr="00BA031B">
        <w:rPr>
          <w:rFonts w:asciiTheme="minorHAnsi" w:hAnsiTheme="minorHAnsi"/>
          <w:i/>
          <w:sz w:val="22"/>
          <w:szCs w:val="22"/>
          <w:vertAlign w:val="subscript"/>
        </w:rPr>
        <w:t>it</w:t>
      </w:r>
      <w:r w:rsidRPr="00BA031B">
        <w:rPr>
          <w:rFonts w:asciiTheme="minorHAnsi" w:hAnsiTheme="minorHAnsi"/>
          <w:sz w:val="22"/>
          <w:szCs w:val="22"/>
        </w:rPr>
        <w:tab/>
        <w:t>=</w:t>
      </w:r>
      <w:r w:rsidRPr="00BA031B">
        <w:rPr>
          <w:rFonts w:asciiTheme="minorHAnsi" w:hAnsiTheme="minorHAnsi"/>
          <w:sz w:val="22"/>
          <w:szCs w:val="22"/>
        </w:rPr>
        <w:tab/>
        <w:t xml:space="preserve">monthly base 65 long-term HDDs of a typical month year (TMY3) in the </w:t>
      </w:r>
      <w:r w:rsidRPr="00BA031B">
        <w:rPr>
          <w:rFonts w:asciiTheme="minorHAnsi" w:hAnsiTheme="minorHAnsi"/>
          <w:sz w:val="22"/>
          <w:szCs w:val="22"/>
        </w:rPr>
        <w:br/>
        <w:t>1991–2005 series from NOAA, based on home location</w:t>
      </w:r>
      <w:r w:rsidR="000E7B70">
        <w:rPr>
          <w:rFonts w:asciiTheme="minorHAnsi" w:hAnsiTheme="minorHAnsi"/>
          <w:sz w:val="22"/>
          <w:szCs w:val="22"/>
        </w:rPr>
        <w:t>s</w:t>
      </w:r>
      <w:r w:rsidRPr="00BA031B">
        <w:rPr>
          <w:rStyle w:val="FootnoteReference"/>
          <w:rFonts w:asciiTheme="minorHAnsi" w:hAnsiTheme="minorHAnsi"/>
          <w:sz w:val="22"/>
          <w:szCs w:val="22"/>
        </w:rPr>
        <w:footnoteReference w:id="36"/>
      </w:r>
    </w:p>
    <w:p w:rsidR="00F46CDD" w:rsidRPr="00BA031B" w:rsidRDefault="00F46CDD" w:rsidP="00F46CDD">
      <w:pPr>
        <w:pStyle w:val="Prop-bullets"/>
        <w:tabs>
          <w:tab w:val="clear" w:pos="1080"/>
          <w:tab w:val="left" w:pos="1980"/>
          <w:tab w:val="left" w:pos="2340"/>
        </w:tabs>
        <w:spacing w:before="0" w:after="120"/>
        <w:ind w:left="2340" w:hanging="1620"/>
        <w:rPr>
          <w:rFonts w:asciiTheme="minorHAnsi" w:hAnsiTheme="minorHAnsi"/>
          <w:sz w:val="22"/>
          <w:szCs w:val="22"/>
        </w:rPr>
      </w:pPr>
      <w:r w:rsidRPr="00BA031B">
        <w:rPr>
          <w:rFonts w:asciiTheme="minorHAnsi" w:hAnsiTheme="minorHAnsi"/>
          <w:i/>
          <w:sz w:val="22"/>
          <w:szCs w:val="22"/>
        </w:rPr>
        <w:t>β</w:t>
      </w:r>
      <w:r w:rsidRPr="00BA031B">
        <w:rPr>
          <w:rFonts w:asciiTheme="minorHAnsi" w:hAnsiTheme="minorHAnsi"/>
          <w:i/>
          <w:sz w:val="22"/>
          <w:szCs w:val="22"/>
          <w:vertAlign w:val="subscript"/>
        </w:rPr>
        <w:t xml:space="preserve">1 * </w:t>
      </w:r>
      <w:r w:rsidRPr="00BA031B">
        <w:rPr>
          <w:rFonts w:asciiTheme="minorHAnsi" w:hAnsiTheme="minorHAnsi"/>
          <w:i/>
          <w:sz w:val="22"/>
          <w:szCs w:val="22"/>
        </w:rPr>
        <w:t>LRHDD</w:t>
      </w:r>
      <w:r w:rsidRPr="00BA031B">
        <w:rPr>
          <w:rFonts w:asciiTheme="minorHAnsi" w:hAnsiTheme="minorHAnsi"/>
          <w:i/>
          <w:sz w:val="22"/>
          <w:szCs w:val="22"/>
          <w:vertAlign w:val="subscript"/>
        </w:rPr>
        <w:t>it</w:t>
      </w:r>
      <w:r w:rsidRPr="00BA031B">
        <w:rPr>
          <w:rFonts w:asciiTheme="minorHAnsi" w:hAnsiTheme="minorHAnsi"/>
          <w:sz w:val="22"/>
          <w:szCs w:val="22"/>
        </w:rPr>
        <w:tab/>
        <w:t>=</w:t>
      </w:r>
      <w:r w:rsidRPr="00BA031B">
        <w:rPr>
          <w:rFonts w:asciiTheme="minorHAnsi" w:hAnsiTheme="minorHAnsi"/>
          <w:sz w:val="22"/>
          <w:szCs w:val="22"/>
        </w:rPr>
        <w:tab/>
        <w:t>the weather-normalized monthly weather-sensitive heating usage</w:t>
      </w:r>
    </w:p>
    <w:p w:rsidR="00F46CDD" w:rsidRPr="00BA031B" w:rsidRDefault="00F46CDD" w:rsidP="00F46CDD">
      <w:pPr>
        <w:pStyle w:val="Prop-bullets"/>
        <w:tabs>
          <w:tab w:val="clear" w:pos="1080"/>
          <w:tab w:val="left" w:pos="1980"/>
          <w:tab w:val="left" w:pos="2340"/>
        </w:tabs>
        <w:spacing w:before="0" w:after="120"/>
        <w:ind w:left="2340" w:hanging="1620"/>
        <w:rPr>
          <w:rFonts w:asciiTheme="minorHAnsi" w:hAnsiTheme="minorHAnsi"/>
          <w:sz w:val="22"/>
          <w:szCs w:val="22"/>
        </w:rPr>
      </w:pPr>
      <w:r w:rsidRPr="00BA031B">
        <w:rPr>
          <w:rFonts w:asciiTheme="minorHAnsi" w:hAnsiTheme="minorHAnsi"/>
          <w:i/>
          <w:sz w:val="22"/>
          <w:szCs w:val="22"/>
        </w:rPr>
        <w:t>β</w:t>
      </w:r>
      <w:r w:rsidRPr="00BA031B">
        <w:rPr>
          <w:rFonts w:asciiTheme="minorHAnsi" w:hAnsiTheme="minorHAnsi"/>
          <w:i/>
          <w:sz w:val="22"/>
          <w:szCs w:val="22"/>
          <w:vertAlign w:val="subscript"/>
        </w:rPr>
        <w:t>2</w:t>
      </w:r>
      <w:r w:rsidRPr="00BA031B">
        <w:rPr>
          <w:rFonts w:asciiTheme="minorHAnsi" w:hAnsiTheme="minorHAnsi"/>
          <w:i/>
          <w:sz w:val="22"/>
          <w:szCs w:val="22"/>
          <w:vertAlign w:val="subscript"/>
        </w:rPr>
        <w:tab/>
      </w:r>
      <w:r w:rsidRPr="00BA031B">
        <w:rPr>
          <w:rFonts w:asciiTheme="minorHAnsi" w:hAnsiTheme="minorHAnsi"/>
          <w:sz w:val="22"/>
          <w:szCs w:val="22"/>
        </w:rPr>
        <w:t>=</w:t>
      </w:r>
      <w:r w:rsidRPr="00BA031B">
        <w:rPr>
          <w:rFonts w:asciiTheme="minorHAnsi" w:hAnsiTheme="minorHAnsi"/>
          <w:sz w:val="22"/>
          <w:szCs w:val="22"/>
        </w:rPr>
        <w:tab/>
        <w:t>the cooling slope; in effect, usage per cooling degree day from the model above</w:t>
      </w:r>
    </w:p>
    <w:p w:rsidR="00F46CDD" w:rsidRPr="00BA031B" w:rsidRDefault="00F46CDD" w:rsidP="00F46CDD">
      <w:pPr>
        <w:pStyle w:val="Prop-bullets"/>
        <w:tabs>
          <w:tab w:val="clear" w:pos="1080"/>
          <w:tab w:val="left" w:pos="1980"/>
          <w:tab w:val="left" w:pos="2340"/>
        </w:tabs>
        <w:spacing w:before="0" w:after="120"/>
        <w:ind w:left="2340" w:hanging="1620"/>
        <w:rPr>
          <w:rFonts w:asciiTheme="minorHAnsi" w:hAnsiTheme="minorHAnsi"/>
          <w:sz w:val="22"/>
          <w:szCs w:val="22"/>
        </w:rPr>
      </w:pPr>
      <w:r w:rsidRPr="00BA031B">
        <w:rPr>
          <w:rFonts w:asciiTheme="minorHAnsi" w:hAnsiTheme="minorHAnsi"/>
          <w:i/>
          <w:sz w:val="22"/>
          <w:szCs w:val="22"/>
        </w:rPr>
        <w:lastRenderedPageBreak/>
        <w:t>LRCDD</w:t>
      </w:r>
      <w:r w:rsidRPr="00BA031B">
        <w:rPr>
          <w:rFonts w:asciiTheme="minorHAnsi" w:hAnsiTheme="minorHAnsi"/>
          <w:i/>
          <w:sz w:val="22"/>
          <w:szCs w:val="22"/>
          <w:vertAlign w:val="subscript"/>
        </w:rPr>
        <w:t>it</w:t>
      </w:r>
      <w:r w:rsidRPr="00BA031B">
        <w:rPr>
          <w:rFonts w:asciiTheme="minorHAnsi" w:hAnsiTheme="minorHAnsi"/>
          <w:sz w:val="22"/>
          <w:szCs w:val="22"/>
        </w:rPr>
        <w:tab/>
        <w:t>=</w:t>
      </w:r>
      <w:r w:rsidRPr="00BA031B">
        <w:rPr>
          <w:rFonts w:asciiTheme="minorHAnsi" w:hAnsiTheme="minorHAnsi"/>
          <w:sz w:val="22"/>
          <w:szCs w:val="22"/>
        </w:rPr>
        <w:tab/>
        <w:t xml:space="preserve">monthly base 65 long-term CDDs of a typical month year (TMY3) in the </w:t>
      </w:r>
      <w:r w:rsidRPr="00BA031B">
        <w:rPr>
          <w:rFonts w:asciiTheme="minorHAnsi" w:hAnsiTheme="minorHAnsi"/>
          <w:sz w:val="22"/>
          <w:szCs w:val="22"/>
        </w:rPr>
        <w:br/>
        <w:t>1991–2005 series from NOAA, based on home location</w:t>
      </w:r>
      <w:r w:rsidR="000E7B70">
        <w:rPr>
          <w:rFonts w:asciiTheme="minorHAnsi" w:hAnsiTheme="minorHAnsi"/>
          <w:sz w:val="22"/>
          <w:szCs w:val="22"/>
        </w:rPr>
        <w:t>s</w:t>
      </w:r>
    </w:p>
    <w:p w:rsidR="00F46CDD" w:rsidRPr="00BA031B" w:rsidRDefault="00F46CDD" w:rsidP="000E7B70">
      <w:pPr>
        <w:pStyle w:val="Prop-bullets"/>
        <w:tabs>
          <w:tab w:val="clear" w:pos="1080"/>
          <w:tab w:val="left" w:pos="1980"/>
          <w:tab w:val="left" w:pos="2340"/>
        </w:tabs>
        <w:spacing w:before="0" w:after="200"/>
        <w:ind w:left="2340" w:hanging="1620"/>
        <w:rPr>
          <w:rFonts w:asciiTheme="minorHAnsi" w:hAnsiTheme="minorHAnsi"/>
          <w:sz w:val="22"/>
          <w:szCs w:val="22"/>
        </w:rPr>
      </w:pPr>
      <w:r w:rsidRPr="00BA031B">
        <w:rPr>
          <w:rFonts w:asciiTheme="minorHAnsi" w:hAnsiTheme="minorHAnsi"/>
          <w:i/>
          <w:sz w:val="22"/>
          <w:szCs w:val="22"/>
        </w:rPr>
        <w:t>β</w:t>
      </w:r>
      <w:r w:rsidRPr="00BA031B">
        <w:rPr>
          <w:rFonts w:asciiTheme="minorHAnsi" w:hAnsiTheme="minorHAnsi"/>
          <w:i/>
          <w:sz w:val="22"/>
          <w:szCs w:val="22"/>
          <w:vertAlign w:val="subscript"/>
        </w:rPr>
        <w:t xml:space="preserve">2 * </w:t>
      </w:r>
      <w:r w:rsidRPr="00BA031B">
        <w:rPr>
          <w:rFonts w:asciiTheme="minorHAnsi" w:hAnsiTheme="minorHAnsi"/>
          <w:i/>
          <w:sz w:val="22"/>
          <w:szCs w:val="22"/>
        </w:rPr>
        <w:t>LRCDD</w:t>
      </w:r>
      <w:r w:rsidRPr="00BA031B">
        <w:rPr>
          <w:rFonts w:asciiTheme="minorHAnsi" w:hAnsiTheme="minorHAnsi"/>
          <w:i/>
          <w:sz w:val="22"/>
          <w:szCs w:val="22"/>
          <w:vertAlign w:val="subscript"/>
        </w:rPr>
        <w:t>it</w:t>
      </w:r>
      <w:r w:rsidRPr="00BA031B">
        <w:rPr>
          <w:rFonts w:asciiTheme="minorHAnsi" w:hAnsiTheme="minorHAnsi"/>
          <w:sz w:val="22"/>
          <w:szCs w:val="22"/>
        </w:rPr>
        <w:tab/>
        <w:t>=</w:t>
      </w:r>
      <w:r w:rsidRPr="00BA031B">
        <w:rPr>
          <w:rFonts w:asciiTheme="minorHAnsi" w:hAnsiTheme="minorHAnsi"/>
          <w:sz w:val="22"/>
          <w:szCs w:val="22"/>
        </w:rPr>
        <w:tab/>
        <w:t>the weather-normalized monthly weather-sensitive cooling usage</w:t>
      </w:r>
    </w:p>
    <w:p w:rsidR="00F46CDD" w:rsidRDefault="00F46CDD" w:rsidP="00F46CDD">
      <w:r>
        <w:t xml:space="preserve">Where </w:t>
      </w:r>
      <w:r w:rsidR="00824333">
        <w:t xml:space="preserve">the </w:t>
      </w:r>
      <w:r>
        <w:t xml:space="preserve">heating and cooling models described above yielded negative intercepts, negative heating slopes, or negative cooling slopes, the </w:t>
      </w:r>
      <w:r w:rsidR="00824333">
        <w:t>Evaluation T</w:t>
      </w:r>
      <w:r>
        <w:t xml:space="preserve">eam estimated additional models to separate only the cooling usage (Cooling-Only Models) or the heating usage (Heating-Only Models). From these models with correct signs on all parameters, the best model for each participant could be selected, based on the model with the highest R-square among its options. </w:t>
      </w:r>
    </w:p>
    <w:p w:rsidR="00F46CDD" w:rsidRDefault="00F46CDD" w:rsidP="00F46CDD">
      <w:r>
        <w:t>The Evaluation Team used a similar modeling process to weather-normalize gas consumption data, using heating-only models.</w:t>
      </w:r>
    </w:p>
    <w:p w:rsidR="00406B76" w:rsidRDefault="00F46CDD" w:rsidP="00F46CDD">
      <w:r>
        <w:t>The</w:t>
      </w:r>
      <w:r w:rsidR="0038661F">
        <w:t xml:space="preserve"> </w:t>
      </w:r>
      <w:r>
        <w:t>65 degree day PRISM-like billing analysis method was performed in addition to the variable degree day analysis to provide an estimate of monthly end-use consumption.</w:t>
      </w:r>
      <w:r w:rsidR="00DE1457">
        <w:t xml:space="preserve"> </w:t>
      </w:r>
      <w:r w:rsidR="001F7BC4">
        <w:t>These values did not agree on an annual basis to the more refined variable degree day analysis results.</w:t>
      </w:r>
      <w:r w:rsidR="00DE1457">
        <w:t xml:space="preserve"> </w:t>
      </w:r>
      <w:r w:rsidR="001F7BC4">
        <w:t>The results from the 65 degree day billing analysis</w:t>
      </w:r>
      <w:r w:rsidR="00DE1457">
        <w:t xml:space="preserve"> </w:t>
      </w:r>
      <w:r w:rsidR="001F7BC4">
        <w:t xml:space="preserve">were used to estimate the percent of air conditioning load for each month and </w:t>
      </w:r>
      <w:r w:rsidR="00406B76">
        <w:t xml:space="preserve">were </w:t>
      </w:r>
      <w:r w:rsidR="001F7BC4">
        <w:t>then used in conjunction with annual cooling consumption</w:t>
      </w:r>
      <w:r w:rsidR="0038661F">
        <w:t>,</w:t>
      </w:r>
      <w:r w:rsidR="001F7BC4">
        <w:t xml:space="preserve"> developed through the variable degree day analysis</w:t>
      </w:r>
      <w:r w:rsidR="0038661F">
        <w:t>,</w:t>
      </w:r>
      <w:r w:rsidR="001F7BC4">
        <w:t xml:space="preserve"> to </w:t>
      </w:r>
      <w:r w:rsidR="0038661F">
        <w:t xml:space="preserve">assign </w:t>
      </w:r>
      <w:r w:rsidR="001F7BC4">
        <w:t>air conditioning load</w:t>
      </w:r>
      <w:r w:rsidR="00406B76">
        <w:t>s</w:t>
      </w:r>
      <w:r w:rsidR="001F7BC4">
        <w:t xml:space="preserve"> for each month.</w:t>
      </w:r>
      <w:r w:rsidR="00DE1457">
        <w:t xml:space="preserve"> </w:t>
      </w:r>
    </w:p>
    <w:p w:rsidR="001F7BC4" w:rsidRDefault="001F7BC4" w:rsidP="00664CD0">
      <w:r>
        <w:t>For gas heated homes, the monthly cooling load was subtracted from the total monthly electrical load to determine the baseline electric consumption.</w:t>
      </w:r>
      <w:r w:rsidR="00DE1457">
        <w:t xml:space="preserve"> </w:t>
      </w:r>
      <w:r>
        <w:t>For electric heated homes, the monthly base load was determined by subtracting monthly heating and cooling consumption from the total monthly electric consumption.</w:t>
      </w:r>
    </w:p>
    <w:p w:rsidR="00801EA6" w:rsidRDefault="00801EA6" w:rsidP="00664CD0">
      <w:r>
        <w:t xml:space="preserve">Participant data were reviewed to determine building component attributes </w:t>
      </w:r>
      <w:r w:rsidR="0038661F">
        <w:t xml:space="preserve">that </w:t>
      </w:r>
      <w:r>
        <w:t>most accurately portray</w:t>
      </w:r>
      <w:r w:rsidR="0038661F">
        <w:t>ed</w:t>
      </w:r>
      <w:r>
        <w:t xml:space="preserve"> the </w:t>
      </w:r>
      <w:r w:rsidR="00507055">
        <w:t>baseline participant building, typically consisting of</w:t>
      </w:r>
      <w:r w:rsidR="0038661F">
        <w:t>:</w:t>
      </w:r>
      <w:r w:rsidR="00507055">
        <w:t xml:space="preserve"> conditioned floor area</w:t>
      </w:r>
      <w:r w:rsidR="00406B76">
        <w:t>s</w:t>
      </w:r>
      <w:r w:rsidR="00507055">
        <w:t>, blower door and duct leakage test results, and installed insulation values for walls and ceilings.</w:t>
      </w:r>
      <w:r w:rsidR="00DE1457">
        <w:t xml:space="preserve"> </w:t>
      </w:r>
      <w:r w:rsidR="00507055">
        <w:t>The baseline values for wall and ceiling insulation levels were reviewed to confirm changes between program type</w:t>
      </w:r>
      <w:r w:rsidR="00406B76">
        <w:t>s</w:t>
      </w:r>
      <w:r w:rsidR="00507055">
        <w:t>, heating fuel</w:t>
      </w:r>
      <w:r w:rsidR="00406B76">
        <w:t>s</w:t>
      </w:r>
      <w:r w:rsidR="00507055">
        <w:t>, and building type</w:t>
      </w:r>
      <w:r w:rsidR="00406B76">
        <w:t>s</w:t>
      </w:r>
      <w:r w:rsidR="00507055">
        <w:t>.</w:t>
      </w:r>
      <w:r w:rsidR="00DE1457">
        <w:t xml:space="preserve"> </w:t>
      </w:r>
      <w:r w:rsidR="00507055">
        <w:t>As baseline insulation levels significantly affect</w:t>
      </w:r>
      <w:r w:rsidR="00406B76">
        <w:t>ed</w:t>
      </w:r>
      <w:r w:rsidR="00507055">
        <w:t xml:space="preserve"> potential energy savings for additional installation of insulation, average pre-installation R-values were determined through component U-value calculations</w:t>
      </w:r>
      <w:r w:rsidR="00406B76">
        <w:t>,</w:t>
      </w:r>
      <w:r w:rsidR="00507055">
        <w:t xml:space="preserve"> weighted by installed surface area</w:t>
      </w:r>
      <w:r w:rsidR="00406B76">
        <w:t>s</w:t>
      </w:r>
      <w:r w:rsidR="00507055">
        <w:t>.</w:t>
      </w:r>
      <w:r w:rsidR="00DE1457">
        <w:t xml:space="preserve"> </w:t>
      </w:r>
      <w:r w:rsidR="002361B1">
        <w:t>Appropriate pre-installation levels of R0–R0.5 for wall insulation and R4.5–R5.5 for attic insulation were determined through review</w:t>
      </w:r>
      <w:r w:rsidR="00406B76">
        <w:t xml:space="preserve">s </w:t>
      </w:r>
      <w:r w:rsidR="002361B1">
        <w:t>of the program data.</w:t>
      </w:r>
      <w:r w:rsidR="00DE1457">
        <w:t xml:space="preserve"> </w:t>
      </w:r>
    </w:p>
    <w:p w:rsidR="001F7BC4" w:rsidRPr="00E96B30" w:rsidRDefault="001F7BC4" w:rsidP="00E96B30">
      <w:pPr>
        <w:spacing w:before="200" w:after="0"/>
        <w:rPr>
          <w:b/>
          <w:i/>
          <w:color w:val="898A17"/>
          <w:sz w:val="29"/>
          <w:szCs w:val="29"/>
        </w:rPr>
      </w:pPr>
      <w:r w:rsidRPr="00E96B30">
        <w:rPr>
          <w:b/>
          <w:i/>
          <w:color w:val="898A17"/>
          <w:sz w:val="29"/>
          <w:szCs w:val="29"/>
        </w:rPr>
        <w:t>Model Calibration Process</w:t>
      </w:r>
    </w:p>
    <w:p w:rsidR="00406B76" w:rsidRDefault="001F7BC4" w:rsidP="00E96B30">
      <w:r w:rsidRPr="008D7940">
        <w:t xml:space="preserve">Following disaggregation of billing data into annual end uses by fuel type, the values </w:t>
      </w:r>
      <w:r w:rsidR="0038661F">
        <w:t xml:space="preserve">could be applied </w:t>
      </w:r>
      <w:r w:rsidRPr="008D7940">
        <w:t>to develop calibrated energy models</w:t>
      </w:r>
      <w:r>
        <w:t xml:space="preserve"> through use of DOE2</w:t>
      </w:r>
      <w:r w:rsidRPr="008D7940">
        <w:t>.</w:t>
      </w:r>
      <w:r w:rsidR="00DE1457">
        <w:t xml:space="preserve"> </w:t>
      </w:r>
      <w:r>
        <w:t>The models were developed based on program data, such as conditioned floor area</w:t>
      </w:r>
      <w:r w:rsidR="00406B76">
        <w:t>s</w:t>
      </w:r>
      <w:r>
        <w:t>, baseline insulation levels, and number</w:t>
      </w:r>
      <w:r w:rsidR="0038661F">
        <w:t>s</w:t>
      </w:r>
      <w:r>
        <w:t xml:space="preserve"> of stories, to compare modeled energy consumption to participant billing data.</w:t>
      </w:r>
      <w:r w:rsidR="00DE1457">
        <w:t xml:space="preserve"> </w:t>
      </w:r>
    </w:p>
    <w:p w:rsidR="00AB1897" w:rsidRDefault="001F7BC4" w:rsidP="00E96B30">
      <w:r w:rsidRPr="008D7940">
        <w:lastRenderedPageBreak/>
        <w:t xml:space="preserve">Models </w:t>
      </w:r>
      <w:r w:rsidR="00AB1897">
        <w:t>developed represent</w:t>
      </w:r>
      <w:r w:rsidR="00406B76">
        <w:t>ed</w:t>
      </w:r>
      <w:r w:rsidR="00AB1897">
        <w:t xml:space="preserve"> average participant homes or units </w:t>
      </w:r>
      <w:r>
        <w:t>for each program, housing type,</w:t>
      </w:r>
      <w:r w:rsidRPr="008D7940">
        <w:t xml:space="preserve"> and heating type to match pre-</w:t>
      </w:r>
      <w:r>
        <w:t>measure</w:t>
      </w:r>
      <w:r w:rsidR="00AB1897">
        <w:t xml:space="preserve"> billing data. The models used for this process assume</w:t>
      </w:r>
      <w:r w:rsidR="00406B76">
        <w:t>d</w:t>
      </w:r>
      <w:r w:rsidR="00AB1897">
        <w:t xml:space="preserve"> the presence of air conditioning in all homes or units. This allow</w:t>
      </w:r>
      <w:r w:rsidR="00406B76">
        <w:t>ed</w:t>
      </w:r>
      <w:r w:rsidR="00AB1897">
        <w:t xml:space="preserve"> calculation of energy savings due to reduced air conditioning load</w:t>
      </w:r>
      <w:r w:rsidR="00406B76">
        <w:t>s</w:t>
      </w:r>
      <w:r w:rsidR="00AB1897">
        <w:t xml:space="preserve"> on a program</w:t>
      </w:r>
      <w:r w:rsidR="00406B76">
        <w:t>-</w:t>
      </w:r>
      <w:r w:rsidR="00AB1897">
        <w:t>wide basis</w:t>
      </w:r>
      <w:r w:rsidR="00406B76">
        <w:t>,</w:t>
      </w:r>
      <w:r w:rsidR="00AB1897">
        <w:t xml:space="preserve"> in case data showing the presence of air conditioning </w:t>
      </w:r>
      <w:r w:rsidR="0038661F">
        <w:t xml:space="preserve">did not prove </w:t>
      </w:r>
      <w:r w:rsidR="00AB1897">
        <w:t xml:space="preserve">accurate in all cases. </w:t>
      </w:r>
    </w:p>
    <w:p w:rsidR="00406B76" w:rsidRDefault="00406B76" w:rsidP="00E96B30">
      <w:r>
        <w:t xml:space="preserve">As </w:t>
      </w:r>
      <w:r w:rsidR="001F7BC4">
        <w:t xml:space="preserve">participant billing data </w:t>
      </w:r>
      <w:r w:rsidR="0038661F">
        <w:t>were</w:t>
      </w:r>
      <w:r w:rsidR="001F7BC4">
        <w:t xml:space="preserve"> not based in a single location, multiple locations were used in the billing analysis to determine annual consumption.</w:t>
      </w:r>
      <w:r w:rsidR="00DE1457">
        <w:t xml:space="preserve"> </w:t>
      </w:r>
      <w:r w:rsidR="001F7BC4">
        <w:t>The multiple locations required models built in multiple weather locations to match data from the billing analysis.</w:t>
      </w:r>
      <w:r w:rsidR="00DE1457">
        <w:t xml:space="preserve"> </w:t>
      </w:r>
      <w:r w:rsidR="001F7BC4">
        <w:t>Two weather locations (Bridgeport and Hartford) were selected to agree with locations from the billing data.</w:t>
      </w:r>
      <w:r w:rsidR="00DE1457">
        <w:t xml:space="preserve"> </w:t>
      </w:r>
    </w:p>
    <w:p w:rsidR="001F7BC4" w:rsidRDefault="001F7BC4" w:rsidP="00E96B30">
      <w:r>
        <w:t xml:space="preserve">For homes with gas heat, data showed an approximately equal participant split between locations </w:t>
      </w:r>
      <w:r w:rsidR="0038661F">
        <w:t xml:space="preserve">that </w:t>
      </w:r>
      <w:r>
        <w:t>best represent</w:t>
      </w:r>
      <w:r w:rsidR="00406B76">
        <w:t>ed</w:t>
      </w:r>
      <w:r>
        <w:t xml:space="preserve"> the program participants.</w:t>
      </w:r>
      <w:r w:rsidR="00DE1457">
        <w:t xml:space="preserve"> </w:t>
      </w:r>
      <w:r>
        <w:t xml:space="preserve">For electric heating, 62.5% of participants </w:t>
      </w:r>
      <w:r w:rsidR="00406B76">
        <w:t>were</w:t>
      </w:r>
      <w:r>
        <w:t xml:space="preserve"> assumed from Hartford and 37.5% from Bridgeport. The combination of housing type</w:t>
      </w:r>
      <w:r w:rsidR="00406B76">
        <w:t>s</w:t>
      </w:r>
      <w:r>
        <w:t>, heating fuel</w:t>
      </w:r>
      <w:r w:rsidR="00406B76">
        <w:t>s</w:t>
      </w:r>
      <w:r>
        <w:t>, program</w:t>
      </w:r>
      <w:r w:rsidR="00406B76">
        <w:t>s</w:t>
      </w:r>
      <w:r>
        <w:t>, and weather location</w:t>
      </w:r>
      <w:r w:rsidR="00406B76">
        <w:t>s</w:t>
      </w:r>
      <w:r>
        <w:t xml:space="preserve"> required development of </w:t>
      </w:r>
      <w:r w:rsidR="00406B76">
        <w:t>16</w:t>
      </w:r>
      <w:r>
        <w:t xml:space="preserve"> separate calibrated baseline models.</w:t>
      </w:r>
    </w:p>
    <w:p w:rsidR="00406B76" w:rsidRDefault="001F7BC4" w:rsidP="00E96B30">
      <w:r>
        <w:t>The calibration process consisted of develop</w:t>
      </w:r>
      <w:r w:rsidR="00406B76">
        <w:t xml:space="preserve">ing </w:t>
      </w:r>
      <w:r>
        <w:t xml:space="preserve">models and updates until each model </w:t>
      </w:r>
      <w:r w:rsidR="00406B76">
        <w:t xml:space="preserve">could be </w:t>
      </w:r>
      <w:r>
        <w:t xml:space="preserve">considered </w:t>
      </w:r>
      <w:r w:rsidR="009A6940">
        <w:t xml:space="preserve">fully </w:t>
      </w:r>
      <w:r>
        <w:t>calibrated.</w:t>
      </w:r>
      <w:r w:rsidR="00DE1457">
        <w:t xml:space="preserve"> </w:t>
      </w:r>
      <w:r w:rsidRPr="008D7940">
        <w:t>Each model was</w:t>
      </w:r>
      <w:r>
        <w:t xml:space="preserve"> </w:t>
      </w:r>
      <w:r w:rsidRPr="008D7940">
        <w:t xml:space="preserve">calibrated to match the annual heating, cooling, and </w:t>
      </w:r>
      <w:r>
        <w:t>base load</w:t>
      </w:r>
      <w:r w:rsidRPr="008D7940">
        <w:t xml:space="preserve"> electric consumption within 1% of the amount provided through variable degree billing analysis.</w:t>
      </w:r>
      <w:r w:rsidR="00DE1457">
        <w:t xml:space="preserve"> </w:t>
      </w:r>
      <w:r w:rsidRPr="008D7940">
        <w:t xml:space="preserve">Models </w:t>
      </w:r>
      <w:r w:rsidR="009A6940">
        <w:t xml:space="preserve">also </w:t>
      </w:r>
      <w:r w:rsidRPr="008D7940">
        <w:t>were calibrated to agree with monthly electric base load</w:t>
      </w:r>
      <w:r w:rsidR="00406B76">
        <w:t>s</w:t>
      </w:r>
      <w:r w:rsidRPr="008D7940">
        <w:t xml:space="preserve"> and heating consumption</w:t>
      </w:r>
      <w:r w:rsidR="00406B76">
        <w:t>,</w:t>
      </w:r>
      <w:r w:rsidRPr="008D7940">
        <w:t xml:space="preserve"> within 1% of the amounts provided through billing analysis.</w:t>
      </w:r>
      <w:r>
        <w:t xml:space="preserve"> </w:t>
      </w:r>
    </w:p>
    <w:p w:rsidR="001F7BC4" w:rsidRDefault="001F7BC4" w:rsidP="00E96B30">
      <w:r>
        <w:t>Each model in each climate location was individually calibrated through an iterative process</w:t>
      </w:r>
      <w:r w:rsidR="00406B76">
        <w:t>,</w:t>
      </w:r>
      <w:r>
        <w:t xml:space="preserve"> requiring manual updates </w:t>
      </w:r>
      <w:r w:rsidR="009A6940">
        <w:t xml:space="preserve">for </w:t>
      </w:r>
      <w:r>
        <w:t xml:space="preserve">each of the </w:t>
      </w:r>
      <w:r w:rsidR="00406B76">
        <w:t>16</w:t>
      </w:r>
      <w:r>
        <w:t xml:space="preserve"> baseline models. Most updates consisted of changes to temperature setpoint</w:t>
      </w:r>
      <w:r w:rsidR="00406B76">
        <w:t>s</w:t>
      </w:r>
      <w:r>
        <w:t>, equipment efficiencies, and use schedules.</w:t>
      </w:r>
      <w:r w:rsidR="00DE1457">
        <w:t xml:space="preserve"> </w:t>
      </w:r>
      <w:r>
        <w:t xml:space="preserve">Minimal changes from reported component insulation levels were made in the calibration process to avoid significant changes to baseline energy consumption when </w:t>
      </w:r>
      <w:r w:rsidR="009A6940">
        <w:t xml:space="preserve">performing </w:t>
      </w:r>
      <w:r>
        <w:t>measure savings analysis.</w:t>
      </w:r>
    </w:p>
    <w:p w:rsidR="00406B76" w:rsidRDefault="009A6940" w:rsidP="00E96B30">
      <w:r>
        <w:t>I</w:t>
      </w:r>
      <w:r w:rsidR="001F7BC4">
        <w:t>nitial development of models provided insight</w:t>
      </w:r>
      <w:r>
        <w:t>s</w:t>
      </w:r>
      <w:r w:rsidR="001F7BC4">
        <w:t xml:space="preserve"> </w:t>
      </w:r>
      <w:r w:rsidR="00406B76">
        <w:t>in</w:t>
      </w:r>
      <w:r w:rsidR="001F7BC4">
        <w:t xml:space="preserve">to the amount of updates required. All models initially </w:t>
      </w:r>
      <w:r>
        <w:t xml:space="preserve">were </w:t>
      </w:r>
      <w:r w:rsidR="001F7BC4">
        <w:t>developed to utilize built-in features of the modeling program, assigning U.S. Department of Energy Building America benchmark consumption loads and profiles for baseline end uses.</w:t>
      </w:r>
      <w:r w:rsidR="00DE1457">
        <w:t xml:space="preserve"> </w:t>
      </w:r>
    </w:p>
    <w:p w:rsidR="001F7BC4" w:rsidRDefault="001F7BC4" w:rsidP="00E96B30">
      <w:r>
        <w:t xml:space="preserve">Upon comparing modeled electric base load consumption to billing data, </w:t>
      </w:r>
      <w:r w:rsidR="00406B76">
        <w:t xml:space="preserve">the Evaluation Team </w:t>
      </w:r>
      <w:r>
        <w:t>found the values varied significantly, requiring updates to baseline electric loads and schedules in the calibration process.</w:t>
      </w:r>
      <w:r w:rsidRPr="0004078C">
        <w:t xml:space="preserve"> </w:t>
      </w:r>
      <w:r w:rsidR="002506E1">
        <w:fldChar w:fldCharType="begin"/>
      </w:r>
      <w:r w:rsidR="002506E1">
        <w:instrText xml:space="preserve"> REF _Ref387594724 \h  \* MERGEFORMAT </w:instrText>
      </w:r>
      <w:r w:rsidR="002506E1">
        <w:fldChar w:fldCharType="separate"/>
      </w:r>
      <w:r w:rsidR="00CD20CF">
        <w:t>Figure 7</w:t>
      </w:r>
      <w:r w:rsidR="002506E1">
        <w:fldChar w:fldCharType="end"/>
      </w:r>
      <w:r>
        <w:t xml:space="preserve"> and </w:t>
      </w:r>
      <w:r w:rsidR="002506E1">
        <w:fldChar w:fldCharType="begin"/>
      </w:r>
      <w:r w:rsidR="002506E1">
        <w:instrText xml:space="preserve"> REF _Ref387594732 \h  \* MERGEFORMAT </w:instrText>
      </w:r>
      <w:r w:rsidR="002506E1">
        <w:fldChar w:fldCharType="separate"/>
      </w:r>
      <w:r w:rsidR="00CD20CF">
        <w:t>Figure 8</w:t>
      </w:r>
      <w:r w:rsidR="002506E1">
        <w:fldChar w:fldCharType="end"/>
      </w:r>
      <w:r>
        <w:t xml:space="preserve"> show examples comparing end-use targets and calibrated baseline </w:t>
      </w:r>
      <w:r w:rsidR="009A6940">
        <w:br/>
      </w:r>
      <w:r>
        <w:t>model results.</w:t>
      </w:r>
    </w:p>
    <w:p w:rsidR="001F7BC4" w:rsidRDefault="001F7BC4" w:rsidP="00E96B30">
      <w:pPr>
        <w:pStyle w:val="Caption"/>
      </w:pPr>
      <w:bookmarkStart w:id="169" w:name="_Ref387594724"/>
      <w:r>
        <w:lastRenderedPageBreak/>
        <w:t xml:space="preserve">Figure </w:t>
      </w:r>
      <w:r w:rsidR="002506E1">
        <w:fldChar w:fldCharType="begin"/>
      </w:r>
      <w:r w:rsidR="002506E1">
        <w:instrText xml:space="preserve"> SEQ Figure \* ARABIC </w:instrText>
      </w:r>
      <w:r w:rsidR="002506E1">
        <w:fldChar w:fldCharType="separate"/>
      </w:r>
      <w:r w:rsidR="00CD20CF">
        <w:rPr>
          <w:noProof/>
        </w:rPr>
        <w:t>7</w:t>
      </w:r>
      <w:r w:rsidR="002506E1">
        <w:rPr>
          <w:noProof/>
        </w:rPr>
        <w:fldChar w:fldCharType="end"/>
      </w:r>
      <w:bookmarkEnd w:id="169"/>
      <w:r>
        <w:t xml:space="preserve">. Comparison of Gas Heating </w:t>
      </w:r>
      <w:r w:rsidRPr="00E96B30">
        <w:t>End</w:t>
      </w:r>
      <w:r>
        <w:t>-Use Profile Targets to the Calibrated DOE-2 Model</w:t>
      </w:r>
    </w:p>
    <w:p w:rsidR="001F7BC4" w:rsidRDefault="006F217F" w:rsidP="00130EBA">
      <w:pPr>
        <w:spacing w:after="0"/>
        <w:jc w:val="center"/>
      </w:pPr>
      <w:r>
        <w:rPr>
          <w:noProof/>
        </w:rPr>
        <w:drawing>
          <wp:inline distT="0" distB="0" distL="0" distR="0">
            <wp:extent cx="4584700" cy="27559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E96B30" w:rsidRDefault="00E96B30" w:rsidP="00E96B30">
      <w:pPr>
        <w:pStyle w:val="NormalAfterTablesandFigures"/>
      </w:pPr>
    </w:p>
    <w:p w:rsidR="001F7BC4" w:rsidRDefault="001F7BC4" w:rsidP="00E96B30">
      <w:pPr>
        <w:pStyle w:val="Caption"/>
      </w:pPr>
      <w:bookmarkStart w:id="170" w:name="_Ref387594732"/>
      <w:r>
        <w:t xml:space="preserve">Figure </w:t>
      </w:r>
      <w:r w:rsidR="002506E1">
        <w:fldChar w:fldCharType="begin"/>
      </w:r>
      <w:r w:rsidR="002506E1">
        <w:instrText xml:space="preserve"> SEQ Figure \* ARABIC </w:instrText>
      </w:r>
      <w:r w:rsidR="002506E1">
        <w:fldChar w:fldCharType="separate"/>
      </w:r>
      <w:r w:rsidR="00CD20CF">
        <w:rPr>
          <w:noProof/>
        </w:rPr>
        <w:t>8</w:t>
      </w:r>
      <w:r w:rsidR="002506E1">
        <w:rPr>
          <w:noProof/>
        </w:rPr>
        <w:fldChar w:fldCharType="end"/>
      </w:r>
      <w:bookmarkEnd w:id="170"/>
      <w:r>
        <w:t>. Comparison of Non-HVAC Electric End-Use Profile Targets to the Calibrated DOE-2 Model</w:t>
      </w:r>
    </w:p>
    <w:p w:rsidR="001F7BC4" w:rsidRDefault="006F217F" w:rsidP="00130EBA">
      <w:pPr>
        <w:spacing w:after="0"/>
        <w:jc w:val="center"/>
      </w:pPr>
      <w:r>
        <w:rPr>
          <w:noProof/>
        </w:rPr>
        <w:drawing>
          <wp:inline distT="0" distB="0" distL="0" distR="0">
            <wp:extent cx="4584700" cy="27559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9A6940" w:rsidRDefault="009A6940" w:rsidP="009A6940">
      <w:pPr>
        <w:pStyle w:val="NormalAfterTablesandFigures"/>
      </w:pPr>
    </w:p>
    <w:p w:rsidR="001F7BC4" w:rsidRPr="00E96B30" w:rsidRDefault="001F7BC4" w:rsidP="00E96B30">
      <w:pPr>
        <w:spacing w:before="200" w:after="0"/>
        <w:rPr>
          <w:b/>
          <w:i/>
          <w:color w:val="898A17"/>
          <w:sz w:val="29"/>
          <w:szCs w:val="29"/>
        </w:rPr>
      </w:pPr>
      <w:r w:rsidRPr="00E96B30">
        <w:rPr>
          <w:b/>
          <w:i/>
          <w:color w:val="898A17"/>
          <w:sz w:val="29"/>
          <w:szCs w:val="29"/>
        </w:rPr>
        <w:t>Calculate Measure-Level Savings</w:t>
      </w:r>
    </w:p>
    <w:p w:rsidR="00B775FE" w:rsidRDefault="001F7BC4" w:rsidP="00153083">
      <w:pPr>
        <w:pStyle w:val="NormalBeforeList"/>
      </w:pPr>
      <w:r w:rsidRPr="008D7940">
        <w:t xml:space="preserve">Following </w:t>
      </w:r>
      <w:r w:rsidR="009A6940">
        <w:t xml:space="preserve">model </w:t>
      </w:r>
      <w:r w:rsidRPr="008D7940">
        <w:t xml:space="preserve">calibration, </w:t>
      </w:r>
      <w:r w:rsidR="00406B76">
        <w:t xml:space="preserve">the Evaluation Team updated </w:t>
      </w:r>
      <w:r w:rsidRPr="008D7940">
        <w:t>measure inputs in each model to represent the post-measure installation</w:t>
      </w:r>
      <w:r>
        <w:t>.</w:t>
      </w:r>
      <w:r w:rsidR="00DE1457">
        <w:t xml:space="preserve"> </w:t>
      </w:r>
      <w:r w:rsidR="00B775FE">
        <w:t>This consisted of four steps:</w:t>
      </w:r>
    </w:p>
    <w:p w:rsidR="00B775FE" w:rsidRDefault="00B775FE" w:rsidP="00153083">
      <w:pPr>
        <w:pStyle w:val="Numberedlevel1"/>
        <w:numPr>
          <w:ilvl w:val="0"/>
          <w:numId w:val="20"/>
        </w:numPr>
      </w:pPr>
      <w:r>
        <w:t>Calculat</w:t>
      </w:r>
      <w:r w:rsidR="009A6940">
        <w:t>ing</w:t>
      </w:r>
      <w:r>
        <w:t xml:space="preserve"> measure</w:t>
      </w:r>
      <w:r w:rsidR="009A6940">
        <w:t>-</w:t>
      </w:r>
      <w:r>
        <w:t>level savings through modeling</w:t>
      </w:r>
      <w:r w:rsidR="00406B76">
        <w:t>.</w:t>
      </w:r>
    </w:p>
    <w:p w:rsidR="00B775FE" w:rsidRDefault="00B775FE" w:rsidP="00153083">
      <w:pPr>
        <w:pStyle w:val="Numberedlevel1"/>
      </w:pPr>
      <w:r>
        <w:t>Calculat</w:t>
      </w:r>
      <w:r w:rsidR="009A6940">
        <w:t xml:space="preserve">ing </w:t>
      </w:r>
      <w:r w:rsidR="00406B76">
        <w:t xml:space="preserve">the </w:t>
      </w:r>
      <w:r>
        <w:t>modeled percentage of savings for each measure</w:t>
      </w:r>
      <w:r w:rsidR="009A6940">
        <w:t>,</w:t>
      </w:r>
      <w:r>
        <w:t xml:space="preserve"> as compared to the measure-weighted</w:t>
      </w:r>
      <w:r w:rsidR="00406B76">
        <w:t>,</w:t>
      </w:r>
      <w:r>
        <w:t xml:space="preserve"> weather</w:t>
      </w:r>
      <w:r w:rsidR="00406B76">
        <w:t>-</w:t>
      </w:r>
      <w:r>
        <w:t>sensitive consumption for each building, heating fuel, and program type</w:t>
      </w:r>
      <w:r w:rsidR="00406B76">
        <w:t>.</w:t>
      </w:r>
    </w:p>
    <w:p w:rsidR="00B775FE" w:rsidRDefault="00B775FE" w:rsidP="00153083">
      <w:pPr>
        <w:pStyle w:val="Numberedlevel1"/>
      </w:pPr>
      <w:r>
        <w:lastRenderedPageBreak/>
        <w:t>Calculat</w:t>
      </w:r>
      <w:r w:rsidR="009A6940">
        <w:t>ing</w:t>
      </w:r>
      <w:r>
        <w:t xml:space="preserve"> program savings for each measure using measure-specific</w:t>
      </w:r>
      <w:r w:rsidR="00406B76">
        <w:t>,</w:t>
      </w:r>
      <w:r>
        <w:t xml:space="preserve"> </w:t>
      </w:r>
      <w:r w:rsidR="00AE0E68">
        <w:t xml:space="preserve">weather-sensitive </w:t>
      </w:r>
      <w:r>
        <w:t>consumption</w:t>
      </w:r>
      <w:r w:rsidR="00406B76">
        <w:t>.</w:t>
      </w:r>
    </w:p>
    <w:p w:rsidR="00B775FE" w:rsidRDefault="00B775FE" w:rsidP="00153083">
      <w:pPr>
        <w:pStyle w:val="Numberedlevel1-last"/>
      </w:pPr>
      <w:r>
        <w:t>Determin</w:t>
      </w:r>
      <w:r w:rsidR="009A6940">
        <w:t>ing</w:t>
      </w:r>
      <w:r>
        <w:t xml:space="preserve"> weighted savings for each measure and each fuel by program type</w:t>
      </w:r>
      <w:r w:rsidR="00406B76">
        <w:t>.</w:t>
      </w:r>
    </w:p>
    <w:p w:rsidR="00B775FE" w:rsidRDefault="00B775FE" w:rsidP="00153083">
      <w:r>
        <w:t xml:space="preserve">Program data </w:t>
      </w:r>
      <w:r w:rsidR="00C561AD">
        <w:t>were</w:t>
      </w:r>
      <w:r>
        <w:t xml:space="preserve"> used to determine post-installation insulation, blower door, and duct leakage values</w:t>
      </w:r>
      <w:r w:rsidR="00406B76">
        <w:t>,</w:t>
      </w:r>
      <w:r>
        <w:t xml:space="preserve"> and </w:t>
      </w:r>
      <w:r w:rsidR="00406B76">
        <w:t xml:space="preserve">then </w:t>
      </w:r>
      <w:r>
        <w:t xml:space="preserve">were applied to the calibrated models. Although for many installations, only a portion of each surface area was treated, each model was developed assuming the entire surface area received treatment. </w:t>
      </w:r>
      <w:r w:rsidR="009A6940">
        <w:t>Calculating t</w:t>
      </w:r>
      <w:r>
        <w:t xml:space="preserve">he difference in consumption between baseline and improved models </w:t>
      </w:r>
      <w:r w:rsidR="009A6940">
        <w:t xml:space="preserve">determined the </w:t>
      </w:r>
      <w:r>
        <w:t xml:space="preserve">savings for each measure. </w:t>
      </w:r>
    </w:p>
    <w:p w:rsidR="00B775FE" w:rsidRDefault="00B775FE" w:rsidP="00153083">
      <w:r>
        <w:t>Electric savings values were compared to pre-installation</w:t>
      </w:r>
      <w:r w:rsidR="00406B76">
        <w:t>,</w:t>
      </w:r>
      <w:r>
        <w:t xml:space="preserve"> weather</w:t>
      </w:r>
      <w:r w:rsidR="00406B76">
        <w:t>-</w:t>
      </w:r>
      <w:r>
        <w:t>sensitive electric consumption to determine the percent of savings for each measure in each building, heating fuel, and program type. Gas savings values were compared to pre-installation</w:t>
      </w:r>
      <w:r w:rsidR="00406B76">
        <w:t>,</w:t>
      </w:r>
      <w:r>
        <w:t xml:space="preserve"> weather</w:t>
      </w:r>
      <w:r w:rsidR="00406B76">
        <w:t>-</w:t>
      </w:r>
      <w:r>
        <w:t>sensitive gas consumption to determine the percent of savings for each measure in each building, heating fuel, and program type. The pre-installation</w:t>
      </w:r>
      <w:r w:rsidR="00406B76">
        <w:t>,</w:t>
      </w:r>
      <w:r>
        <w:t xml:space="preserve"> weather</w:t>
      </w:r>
      <w:r w:rsidR="00406B76">
        <w:t>-</w:t>
      </w:r>
      <w:r>
        <w:t xml:space="preserve">sensitive consumption used to determine percent savings for each measure </w:t>
      </w:r>
      <w:r w:rsidR="00406B76">
        <w:t xml:space="preserve">was </w:t>
      </w:r>
      <w:r>
        <w:t>weighted by building heating fuel and program type</w:t>
      </w:r>
      <w:r w:rsidR="009A6940">
        <w:t>,</w:t>
      </w:r>
      <w:r>
        <w:t xml:space="preserve"> and </w:t>
      </w:r>
      <w:r w:rsidR="00406B76">
        <w:t xml:space="preserve">did not </w:t>
      </w:r>
      <w:r>
        <w:t>depend on the measure.</w:t>
      </w:r>
    </w:p>
    <w:p w:rsidR="00B775FE" w:rsidRDefault="00B775FE" w:rsidP="00153083">
      <w:r>
        <w:t>To calculate program savings per measure, the Evaluation Team applied the percent savings of the weather</w:t>
      </w:r>
      <w:r w:rsidR="00406B76">
        <w:t>-</w:t>
      </w:r>
      <w:r>
        <w:t>sensitive load</w:t>
      </w:r>
      <w:r w:rsidR="00406B76">
        <w:t>,</w:t>
      </w:r>
      <w:r>
        <w:t xml:space="preserve"> as determined through use of calibrated models to the weather</w:t>
      </w:r>
      <w:r w:rsidR="00556F45">
        <w:t>-</w:t>
      </w:r>
      <w:r>
        <w:t>sensitive load for each building, heating fuel</w:t>
      </w:r>
      <w:r w:rsidR="00556F45">
        <w:t>,</w:t>
      </w:r>
      <w:r>
        <w:t xml:space="preserve"> and program type. In these calculations, pre-installation</w:t>
      </w:r>
      <w:r w:rsidR="00556F45">
        <w:t>,</w:t>
      </w:r>
      <w:r>
        <w:t xml:space="preserve"> weather</w:t>
      </w:r>
      <w:r w:rsidR="00556F45">
        <w:t>-</w:t>
      </w:r>
      <w:r>
        <w:t xml:space="preserve">sensitive consumption was specific to households where the measure was installed and sufficient billing data </w:t>
      </w:r>
      <w:r w:rsidR="00556F45">
        <w:t>were</w:t>
      </w:r>
      <w:r>
        <w:t xml:space="preserve"> available, compared to weighted values used to calculate the percent savings value. These savings were then weighted</w:t>
      </w:r>
      <w:r w:rsidR="00556F45">
        <w:t>,</w:t>
      </w:r>
      <w:r>
        <w:t xml:space="preserve"> based on the sample of households with sufficient billing data to determine measure savings for the HES and HES-IE programs.</w:t>
      </w:r>
    </w:p>
    <w:p w:rsidR="00E96B30" w:rsidRDefault="00E96B30" w:rsidP="00153083"/>
    <w:p w:rsidR="006C4D9B" w:rsidRDefault="00DE1457" w:rsidP="006C4D9B">
      <w:pPr>
        <w:sectPr w:rsidR="006C4D9B" w:rsidSect="00985CC7">
          <w:footerReference w:type="even" r:id="rId44"/>
          <w:footerReference w:type="default" r:id="rId45"/>
          <w:pgSz w:w="12240" w:h="15840"/>
          <w:pgMar w:top="1440" w:right="1440" w:bottom="1440" w:left="1440" w:header="720" w:footer="720" w:gutter="0"/>
          <w:cols w:space="720"/>
          <w:docGrid w:linePitch="360"/>
        </w:sectPr>
      </w:pPr>
      <w:r>
        <w:t xml:space="preserve"> </w:t>
      </w:r>
    </w:p>
    <w:p w:rsidR="004C442A" w:rsidRDefault="004C442A" w:rsidP="004C442A">
      <w:pPr>
        <w:pStyle w:val="Heading1"/>
      </w:pPr>
      <w:bookmarkStart w:id="171" w:name="_Toc389663857"/>
      <w:bookmarkStart w:id="172" w:name="_Ref389243539"/>
      <w:r>
        <w:lastRenderedPageBreak/>
        <w:t xml:space="preserve">Appendix </w:t>
      </w:r>
      <w:r w:rsidR="001D311B">
        <w:t>D</w:t>
      </w:r>
      <w:r>
        <w:t xml:space="preserve">. </w:t>
      </w:r>
      <w:r w:rsidR="006D5A4A">
        <w:t xml:space="preserve">Billing Analysis Model Attrition for </w:t>
      </w:r>
      <w:r w:rsidR="003369D1">
        <w:t>HES-IE SP1</w:t>
      </w:r>
      <w:r w:rsidR="006D5A4A">
        <w:t xml:space="preserve"> </w:t>
      </w:r>
      <w:r w:rsidR="00716D9B">
        <w:t>and</w:t>
      </w:r>
      <w:r w:rsidR="006D5A4A">
        <w:t xml:space="preserve"> S</w:t>
      </w:r>
      <w:r w:rsidR="003369D1">
        <w:t>P4</w:t>
      </w:r>
      <w:bookmarkEnd w:id="171"/>
      <w:r w:rsidR="003369D1">
        <w:t xml:space="preserve"> </w:t>
      </w:r>
      <w:bookmarkEnd w:id="172"/>
    </w:p>
    <w:bookmarkEnd w:id="168"/>
    <w:p w:rsidR="006404D3" w:rsidRDefault="006404D3" w:rsidP="006404D3">
      <w:pPr>
        <w:pStyle w:val="Caption"/>
      </w:pPr>
      <w:r>
        <w:t xml:space="preserve">Table </w:t>
      </w:r>
      <w:r w:rsidR="002506E1">
        <w:fldChar w:fldCharType="begin"/>
      </w:r>
      <w:r w:rsidR="002506E1">
        <w:instrText xml:space="preserve"> SEQ Table \* ARABIC </w:instrText>
      </w:r>
      <w:r w:rsidR="002506E1">
        <w:fldChar w:fldCharType="separate"/>
      </w:r>
      <w:r w:rsidR="00CD20CF">
        <w:rPr>
          <w:noProof/>
        </w:rPr>
        <w:t>97</w:t>
      </w:r>
      <w:r w:rsidR="002506E1">
        <w:rPr>
          <w:noProof/>
        </w:rPr>
        <w:fldChar w:fldCharType="end"/>
      </w:r>
      <w:r>
        <w:t>. Participant Attrition: Electric Analysis (HES-IE SP1)</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937"/>
        <w:gridCol w:w="1339"/>
        <w:gridCol w:w="1216"/>
        <w:gridCol w:w="1042"/>
        <w:gridCol w:w="1042"/>
      </w:tblGrid>
      <w:tr w:rsidR="006404D3" w:rsidRPr="00E24A13" w:rsidTr="00297A9C">
        <w:trPr>
          <w:cantSplit/>
        </w:trPr>
        <w:tc>
          <w:tcPr>
            <w:tcW w:w="2578" w:type="pct"/>
            <w:shd w:val="clear" w:color="000000" w:fill="005DAA"/>
            <w:vAlign w:val="center"/>
            <w:hideMark/>
          </w:tcPr>
          <w:p w:rsidR="006404D3" w:rsidRPr="00E24A13" w:rsidRDefault="006404D3" w:rsidP="00130EBA">
            <w:pPr>
              <w:pStyle w:val="TableHeading-left"/>
              <w:keepNext/>
              <w:keepLines/>
              <w:jc w:val="center"/>
            </w:pPr>
            <w:r w:rsidRPr="00E24A13">
              <w:t>Screen</w:t>
            </w:r>
          </w:p>
        </w:tc>
        <w:tc>
          <w:tcPr>
            <w:tcW w:w="699" w:type="pct"/>
            <w:shd w:val="clear" w:color="000000" w:fill="005DAA"/>
            <w:vAlign w:val="center"/>
            <w:hideMark/>
          </w:tcPr>
          <w:p w:rsidR="006404D3" w:rsidRPr="00E24A13" w:rsidRDefault="006404D3" w:rsidP="00130EBA">
            <w:pPr>
              <w:keepNext/>
              <w:keepLines/>
              <w:spacing w:after="0"/>
              <w:jc w:val="center"/>
              <w:rPr>
                <w:rFonts w:ascii="Calibri" w:eastAsia="Times New Roman" w:hAnsi="Calibri" w:cs="Times New Roman"/>
                <w:b/>
                <w:bCs/>
                <w:color w:val="FFFFFF"/>
              </w:rPr>
            </w:pPr>
            <w:r w:rsidRPr="00E24A13">
              <w:rPr>
                <w:rFonts w:ascii="Calibri" w:eastAsia="Times New Roman" w:hAnsi="Calibri" w:cs="Times New Roman"/>
                <w:b/>
                <w:bCs/>
                <w:color w:val="FFFFFF"/>
              </w:rPr>
              <w:t>Participants Remaining</w:t>
            </w:r>
          </w:p>
        </w:tc>
        <w:tc>
          <w:tcPr>
            <w:tcW w:w="635" w:type="pct"/>
            <w:shd w:val="clear" w:color="000000" w:fill="005DAA"/>
            <w:vAlign w:val="center"/>
            <w:hideMark/>
          </w:tcPr>
          <w:p w:rsidR="006404D3" w:rsidRPr="00E24A13" w:rsidRDefault="006404D3" w:rsidP="00130EBA">
            <w:pPr>
              <w:keepNext/>
              <w:keepLines/>
              <w:spacing w:after="0"/>
              <w:jc w:val="center"/>
              <w:rPr>
                <w:rFonts w:ascii="Calibri" w:eastAsia="Times New Roman" w:hAnsi="Calibri" w:cs="Times New Roman"/>
                <w:b/>
                <w:bCs/>
                <w:color w:val="FFFFFF"/>
              </w:rPr>
            </w:pPr>
            <w:r w:rsidRPr="00E24A13">
              <w:rPr>
                <w:rFonts w:ascii="Calibri" w:eastAsia="Times New Roman" w:hAnsi="Calibri" w:cs="Times New Roman"/>
                <w:b/>
                <w:bCs/>
                <w:color w:val="FFFFFF"/>
              </w:rPr>
              <w:t>Percent Remaining</w:t>
            </w:r>
          </w:p>
        </w:tc>
        <w:tc>
          <w:tcPr>
            <w:tcW w:w="544" w:type="pct"/>
            <w:shd w:val="clear" w:color="000000" w:fill="005DAA"/>
            <w:vAlign w:val="center"/>
            <w:hideMark/>
          </w:tcPr>
          <w:p w:rsidR="006404D3" w:rsidRPr="00E24A13" w:rsidRDefault="006404D3" w:rsidP="00130EBA">
            <w:pPr>
              <w:keepNext/>
              <w:keepLines/>
              <w:spacing w:after="0"/>
              <w:jc w:val="center"/>
              <w:rPr>
                <w:rFonts w:ascii="Calibri" w:eastAsia="Times New Roman" w:hAnsi="Calibri" w:cs="Times New Roman"/>
                <w:b/>
                <w:bCs/>
                <w:color w:val="FFFFFF"/>
              </w:rPr>
            </w:pPr>
            <w:r w:rsidRPr="00E24A13">
              <w:rPr>
                <w:rFonts w:ascii="Calibri" w:eastAsia="Times New Roman" w:hAnsi="Calibri" w:cs="Times New Roman"/>
                <w:b/>
                <w:bCs/>
                <w:color w:val="FFFFFF"/>
              </w:rPr>
              <w:t>Number Dropped</w:t>
            </w:r>
          </w:p>
        </w:tc>
        <w:tc>
          <w:tcPr>
            <w:tcW w:w="544" w:type="pct"/>
            <w:shd w:val="clear" w:color="000000" w:fill="005DAA"/>
            <w:vAlign w:val="center"/>
            <w:hideMark/>
          </w:tcPr>
          <w:p w:rsidR="006404D3" w:rsidRPr="00E24A13" w:rsidRDefault="006404D3" w:rsidP="00130EBA">
            <w:pPr>
              <w:keepNext/>
              <w:keepLines/>
              <w:spacing w:after="0"/>
              <w:jc w:val="center"/>
              <w:rPr>
                <w:rFonts w:ascii="Calibri" w:eastAsia="Times New Roman" w:hAnsi="Calibri" w:cs="Times New Roman"/>
                <w:b/>
                <w:bCs/>
                <w:color w:val="FFFFFF"/>
              </w:rPr>
            </w:pPr>
            <w:r w:rsidRPr="00E24A13">
              <w:rPr>
                <w:rFonts w:ascii="Calibri" w:eastAsia="Times New Roman" w:hAnsi="Calibri" w:cs="Times New Roman"/>
                <w:b/>
                <w:bCs/>
                <w:color w:val="FFFFFF"/>
              </w:rPr>
              <w:t>Percent Dropped</w:t>
            </w:r>
          </w:p>
        </w:tc>
      </w:tr>
      <w:tr w:rsidR="006404D3" w:rsidRPr="00E24A13" w:rsidTr="00297A9C">
        <w:trPr>
          <w:cantSplit/>
        </w:trPr>
        <w:tc>
          <w:tcPr>
            <w:tcW w:w="2578" w:type="pct"/>
            <w:shd w:val="clear" w:color="auto" w:fill="auto"/>
            <w:vAlign w:val="center"/>
            <w:hideMark/>
          </w:tcPr>
          <w:p w:rsidR="006404D3" w:rsidRPr="00E24A13" w:rsidRDefault="006404D3" w:rsidP="00130EBA">
            <w:pPr>
              <w:pStyle w:val="TableRow-left"/>
              <w:keepNext/>
              <w:keepLines/>
            </w:pPr>
            <w:r w:rsidRPr="00E24A13">
              <w:t xml:space="preserve">Original </w:t>
            </w:r>
            <w:r>
              <w:t>e</w:t>
            </w:r>
            <w:r w:rsidRPr="00E24A13">
              <w:t xml:space="preserve">lectric </w:t>
            </w:r>
            <w:r>
              <w:t>a</w:t>
            </w:r>
            <w:r w:rsidRPr="00E24A13">
              <w:t>ccounts</w:t>
            </w:r>
          </w:p>
        </w:tc>
        <w:tc>
          <w:tcPr>
            <w:tcW w:w="699" w:type="pct"/>
            <w:shd w:val="clear" w:color="auto" w:fill="auto"/>
            <w:vAlign w:val="center"/>
            <w:hideMark/>
          </w:tcPr>
          <w:p w:rsidR="006404D3" w:rsidRPr="00E24A13" w:rsidRDefault="006404D3" w:rsidP="00130EBA">
            <w:pPr>
              <w:pStyle w:val="TableRow-right"/>
              <w:keepNext/>
              <w:keepLines/>
            </w:pPr>
            <w:r>
              <w:rPr>
                <w:rFonts w:ascii="Calibri" w:hAnsi="Calibri"/>
                <w:color w:val="000000"/>
                <w:szCs w:val="20"/>
              </w:rPr>
              <w:t>2,135</w:t>
            </w:r>
          </w:p>
        </w:tc>
        <w:tc>
          <w:tcPr>
            <w:tcW w:w="635" w:type="pct"/>
            <w:shd w:val="clear" w:color="auto" w:fill="auto"/>
            <w:vAlign w:val="center"/>
            <w:hideMark/>
          </w:tcPr>
          <w:p w:rsidR="006404D3" w:rsidRPr="00E24A13" w:rsidRDefault="006404D3" w:rsidP="00130EBA">
            <w:pPr>
              <w:pStyle w:val="TableRow-right"/>
              <w:keepNext/>
              <w:keepLines/>
            </w:pPr>
            <w:r>
              <w:rPr>
                <w:rFonts w:ascii="Calibri" w:hAnsi="Calibri"/>
                <w:color w:val="000000"/>
                <w:szCs w:val="20"/>
              </w:rPr>
              <w:t>100%</w:t>
            </w:r>
          </w:p>
        </w:tc>
        <w:tc>
          <w:tcPr>
            <w:tcW w:w="544" w:type="pct"/>
            <w:shd w:val="clear" w:color="auto" w:fill="auto"/>
            <w:vAlign w:val="center"/>
            <w:hideMark/>
          </w:tcPr>
          <w:p w:rsidR="006404D3" w:rsidRPr="00E24A13" w:rsidRDefault="006404D3" w:rsidP="00130EBA">
            <w:pPr>
              <w:pStyle w:val="TableRow-right"/>
              <w:keepNext/>
              <w:keepLines/>
            </w:pPr>
            <w:r>
              <w:rPr>
                <w:rFonts w:ascii="Calibri" w:hAnsi="Calibri"/>
                <w:color w:val="000000"/>
                <w:szCs w:val="20"/>
              </w:rPr>
              <w:t>0</w:t>
            </w:r>
          </w:p>
        </w:tc>
        <w:tc>
          <w:tcPr>
            <w:tcW w:w="544" w:type="pct"/>
            <w:shd w:val="clear" w:color="auto" w:fill="auto"/>
            <w:vAlign w:val="center"/>
            <w:hideMark/>
          </w:tcPr>
          <w:p w:rsidR="006404D3" w:rsidRPr="00E24A13" w:rsidRDefault="006404D3" w:rsidP="00130EBA">
            <w:pPr>
              <w:pStyle w:val="TableRow-right"/>
              <w:keepNext/>
              <w:keepLines/>
            </w:pPr>
            <w:r>
              <w:rPr>
                <w:rFonts w:ascii="Calibri" w:hAnsi="Calibri"/>
                <w:color w:val="000000"/>
                <w:szCs w:val="20"/>
              </w:rPr>
              <w:t>0%</w:t>
            </w:r>
          </w:p>
        </w:tc>
      </w:tr>
      <w:tr w:rsidR="006404D3" w:rsidRPr="00E24A13" w:rsidTr="00297A9C">
        <w:trPr>
          <w:cantSplit/>
        </w:trPr>
        <w:tc>
          <w:tcPr>
            <w:tcW w:w="2578" w:type="pct"/>
            <w:shd w:val="clear" w:color="auto" w:fill="auto"/>
            <w:vAlign w:val="center"/>
            <w:hideMark/>
          </w:tcPr>
          <w:p w:rsidR="006404D3" w:rsidRPr="00E24A13" w:rsidRDefault="006404D3" w:rsidP="00130EBA">
            <w:pPr>
              <w:pStyle w:val="TableRow-left"/>
              <w:keepNext/>
              <w:keepLines/>
            </w:pPr>
            <w:r w:rsidRPr="00E24A13">
              <w:t xml:space="preserve">Matched to </w:t>
            </w:r>
            <w:r>
              <w:t>b</w:t>
            </w:r>
            <w:r w:rsidRPr="00E24A13">
              <w:t xml:space="preserve">illing </w:t>
            </w:r>
            <w:r>
              <w:t>d</w:t>
            </w:r>
            <w:r w:rsidRPr="00E24A13">
              <w:t xml:space="preserve">ata </w:t>
            </w:r>
            <w:r>
              <w:t>p</w:t>
            </w:r>
            <w:r w:rsidRPr="00E24A13">
              <w:t>rovided</w:t>
            </w:r>
          </w:p>
        </w:tc>
        <w:tc>
          <w:tcPr>
            <w:tcW w:w="699" w:type="pct"/>
            <w:shd w:val="clear" w:color="auto" w:fill="auto"/>
            <w:vAlign w:val="center"/>
            <w:hideMark/>
          </w:tcPr>
          <w:p w:rsidR="006404D3" w:rsidRPr="00E24A13" w:rsidRDefault="006404D3" w:rsidP="00130EBA">
            <w:pPr>
              <w:pStyle w:val="TableRow-right"/>
              <w:keepNext/>
              <w:keepLines/>
            </w:pPr>
            <w:r>
              <w:rPr>
                <w:rFonts w:ascii="Calibri" w:hAnsi="Calibri"/>
                <w:color w:val="000000"/>
                <w:szCs w:val="20"/>
              </w:rPr>
              <w:t>2,080</w:t>
            </w:r>
          </w:p>
        </w:tc>
        <w:tc>
          <w:tcPr>
            <w:tcW w:w="635" w:type="pct"/>
            <w:shd w:val="clear" w:color="auto" w:fill="auto"/>
            <w:vAlign w:val="center"/>
            <w:hideMark/>
          </w:tcPr>
          <w:p w:rsidR="006404D3" w:rsidRPr="00E24A13" w:rsidRDefault="006404D3" w:rsidP="00130EBA">
            <w:pPr>
              <w:pStyle w:val="TableRow-right"/>
              <w:keepNext/>
              <w:keepLines/>
            </w:pPr>
            <w:r>
              <w:rPr>
                <w:rFonts w:ascii="Calibri" w:hAnsi="Calibri"/>
                <w:color w:val="000000"/>
                <w:szCs w:val="20"/>
              </w:rPr>
              <w:t>97%</w:t>
            </w:r>
          </w:p>
        </w:tc>
        <w:tc>
          <w:tcPr>
            <w:tcW w:w="544" w:type="pct"/>
            <w:shd w:val="clear" w:color="auto" w:fill="auto"/>
            <w:vAlign w:val="center"/>
            <w:hideMark/>
          </w:tcPr>
          <w:p w:rsidR="006404D3" w:rsidRPr="00E24A13" w:rsidRDefault="006404D3" w:rsidP="00130EBA">
            <w:pPr>
              <w:pStyle w:val="TableRow-right"/>
              <w:keepNext/>
              <w:keepLines/>
            </w:pPr>
            <w:r>
              <w:rPr>
                <w:rFonts w:ascii="Calibri" w:hAnsi="Calibri"/>
                <w:color w:val="000000"/>
                <w:szCs w:val="20"/>
              </w:rPr>
              <w:t>55</w:t>
            </w:r>
          </w:p>
        </w:tc>
        <w:tc>
          <w:tcPr>
            <w:tcW w:w="544" w:type="pct"/>
            <w:shd w:val="clear" w:color="auto" w:fill="auto"/>
            <w:vAlign w:val="center"/>
            <w:hideMark/>
          </w:tcPr>
          <w:p w:rsidR="006404D3" w:rsidRPr="00E24A13" w:rsidRDefault="006404D3" w:rsidP="00130EBA">
            <w:pPr>
              <w:pStyle w:val="TableRow-right"/>
              <w:keepNext/>
              <w:keepLines/>
            </w:pPr>
            <w:r>
              <w:rPr>
                <w:rFonts w:ascii="Calibri" w:hAnsi="Calibri"/>
                <w:color w:val="000000"/>
                <w:szCs w:val="20"/>
              </w:rPr>
              <w:t>3%</w:t>
            </w:r>
          </w:p>
        </w:tc>
      </w:tr>
      <w:tr w:rsidR="006404D3" w:rsidRPr="00E24A13" w:rsidTr="00297A9C">
        <w:trPr>
          <w:cantSplit/>
        </w:trPr>
        <w:tc>
          <w:tcPr>
            <w:tcW w:w="2578" w:type="pct"/>
            <w:shd w:val="clear" w:color="auto" w:fill="auto"/>
            <w:vAlign w:val="center"/>
            <w:hideMark/>
          </w:tcPr>
          <w:p w:rsidR="006404D3" w:rsidRPr="00E24A13" w:rsidRDefault="006404D3" w:rsidP="00130EBA">
            <w:pPr>
              <w:pStyle w:val="TableRow-left"/>
              <w:keepNext/>
              <w:keepLines/>
            </w:pPr>
            <w:r w:rsidRPr="00E24A13">
              <w:t xml:space="preserve">Insufficient </w:t>
            </w:r>
            <w:r>
              <w:t>p</w:t>
            </w:r>
            <w:r w:rsidRPr="00E24A13">
              <w:t xml:space="preserve">re- and </w:t>
            </w:r>
            <w:r>
              <w:t>p</w:t>
            </w:r>
            <w:r w:rsidRPr="00E24A13">
              <w:t>ost-</w:t>
            </w:r>
            <w:r>
              <w:t>p</w:t>
            </w:r>
            <w:r w:rsidRPr="00E24A13">
              <w:t xml:space="preserve">eriod </w:t>
            </w:r>
            <w:r>
              <w:t>m</w:t>
            </w:r>
            <w:r w:rsidRPr="00E24A13">
              <w:t>onths</w:t>
            </w:r>
          </w:p>
        </w:tc>
        <w:tc>
          <w:tcPr>
            <w:tcW w:w="699" w:type="pct"/>
            <w:shd w:val="clear" w:color="auto" w:fill="auto"/>
            <w:vAlign w:val="center"/>
            <w:hideMark/>
          </w:tcPr>
          <w:p w:rsidR="006404D3" w:rsidRPr="00E24A13" w:rsidRDefault="006404D3" w:rsidP="00130EBA">
            <w:pPr>
              <w:pStyle w:val="TableRow-right"/>
              <w:keepNext/>
              <w:keepLines/>
            </w:pPr>
            <w:r>
              <w:rPr>
                <w:rFonts w:ascii="Calibri" w:hAnsi="Calibri"/>
                <w:color w:val="000000"/>
                <w:szCs w:val="20"/>
              </w:rPr>
              <w:t>1,734</w:t>
            </w:r>
          </w:p>
        </w:tc>
        <w:tc>
          <w:tcPr>
            <w:tcW w:w="635" w:type="pct"/>
            <w:shd w:val="clear" w:color="auto" w:fill="auto"/>
            <w:vAlign w:val="center"/>
            <w:hideMark/>
          </w:tcPr>
          <w:p w:rsidR="006404D3" w:rsidRPr="00E24A13" w:rsidRDefault="006404D3" w:rsidP="00130EBA">
            <w:pPr>
              <w:pStyle w:val="TableRow-right"/>
              <w:keepNext/>
              <w:keepLines/>
            </w:pPr>
            <w:r>
              <w:rPr>
                <w:rFonts w:ascii="Calibri" w:hAnsi="Calibri"/>
                <w:color w:val="000000"/>
                <w:szCs w:val="20"/>
              </w:rPr>
              <w:t>81%</w:t>
            </w:r>
          </w:p>
        </w:tc>
        <w:tc>
          <w:tcPr>
            <w:tcW w:w="544" w:type="pct"/>
            <w:shd w:val="clear" w:color="auto" w:fill="auto"/>
            <w:vAlign w:val="center"/>
            <w:hideMark/>
          </w:tcPr>
          <w:p w:rsidR="006404D3" w:rsidRPr="00E24A13" w:rsidRDefault="006404D3" w:rsidP="00130EBA">
            <w:pPr>
              <w:pStyle w:val="TableRow-right"/>
              <w:keepNext/>
              <w:keepLines/>
            </w:pPr>
            <w:r>
              <w:rPr>
                <w:rFonts w:ascii="Calibri" w:hAnsi="Calibri"/>
                <w:color w:val="000000"/>
                <w:szCs w:val="20"/>
              </w:rPr>
              <w:t>346</w:t>
            </w:r>
          </w:p>
        </w:tc>
        <w:tc>
          <w:tcPr>
            <w:tcW w:w="544" w:type="pct"/>
            <w:shd w:val="clear" w:color="auto" w:fill="auto"/>
            <w:vAlign w:val="center"/>
            <w:hideMark/>
          </w:tcPr>
          <w:p w:rsidR="006404D3" w:rsidRPr="00E24A13" w:rsidRDefault="006404D3" w:rsidP="00130EBA">
            <w:pPr>
              <w:pStyle w:val="TableRow-right"/>
              <w:keepNext/>
              <w:keepLines/>
            </w:pPr>
            <w:r>
              <w:rPr>
                <w:rFonts w:ascii="Calibri" w:hAnsi="Calibri"/>
                <w:color w:val="000000"/>
                <w:szCs w:val="20"/>
              </w:rPr>
              <w:t>16%</w:t>
            </w:r>
          </w:p>
        </w:tc>
      </w:tr>
      <w:tr w:rsidR="006404D3" w:rsidRPr="00E24A13" w:rsidTr="00297A9C">
        <w:trPr>
          <w:cantSplit/>
        </w:trPr>
        <w:tc>
          <w:tcPr>
            <w:tcW w:w="2578" w:type="pct"/>
            <w:shd w:val="clear" w:color="auto" w:fill="auto"/>
            <w:vAlign w:val="center"/>
            <w:hideMark/>
          </w:tcPr>
          <w:p w:rsidR="006404D3" w:rsidRPr="00E24A13" w:rsidRDefault="006404D3" w:rsidP="00130EBA">
            <w:pPr>
              <w:pStyle w:val="TableRow-left"/>
              <w:keepNext/>
              <w:keepLines/>
            </w:pPr>
            <w:r w:rsidRPr="00E24A13">
              <w:t xml:space="preserve">Changed </w:t>
            </w:r>
            <w:r>
              <w:t>u</w:t>
            </w:r>
            <w:r w:rsidRPr="00E24A13">
              <w:t xml:space="preserve">sage from the </w:t>
            </w:r>
            <w:r>
              <w:t>p</w:t>
            </w:r>
            <w:r w:rsidRPr="00E24A13">
              <w:t xml:space="preserve">re to </w:t>
            </w:r>
            <w:r>
              <w:t>p</w:t>
            </w:r>
            <w:r w:rsidRPr="00E24A13">
              <w:t>ost (&gt; 70%)</w:t>
            </w:r>
          </w:p>
        </w:tc>
        <w:tc>
          <w:tcPr>
            <w:tcW w:w="699" w:type="pct"/>
            <w:shd w:val="clear" w:color="auto" w:fill="auto"/>
            <w:vAlign w:val="center"/>
            <w:hideMark/>
          </w:tcPr>
          <w:p w:rsidR="006404D3" w:rsidRPr="00E24A13" w:rsidRDefault="006404D3" w:rsidP="00130EBA">
            <w:pPr>
              <w:pStyle w:val="TableRow-right"/>
              <w:keepNext/>
              <w:keepLines/>
            </w:pPr>
            <w:r>
              <w:rPr>
                <w:rFonts w:ascii="Calibri" w:hAnsi="Calibri"/>
                <w:color w:val="000000"/>
                <w:szCs w:val="20"/>
              </w:rPr>
              <w:t>1,714</w:t>
            </w:r>
          </w:p>
        </w:tc>
        <w:tc>
          <w:tcPr>
            <w:tcW w:w="635" w:type="pct"/>
            <w:shd w:val="clear" w:color="auto" w:fill="auto"/>
            <w:vAlign w:val="center"/>
            <w:hideMark/>
          </w:tcPr>
          <w:p w:rsidR="006404D3" w:rsidRPr="00E24A13" w:rsidRDefault="006404D3" w:rsidP="00130EBA">
            <w:pPr>
              <w:pStyle w:val="TableRow-right"/>
              <w:keepNext/>
              <w:keepLines/>
            </w:pPr>
            <w:r>
              <w:rPr>
                <w:rFonts w:ascii="Calibri" w:hAnsi="Calibri"/>
                <w:color w:val="000000"/>
                <w:szCs w:val="20"/>
              </w:rPr>
              <w:t>80%</w:t>
            </w:r>
          </w:p>
        </w:tc>
        <w:tc>
          <w:tcPr>
            <w:tcW w:w="544" w:type="pct"/>
            <w:shd w:val="clear" w:color="auto" w:fill="auto"/>
            <w:vAlign w:val="center"/>
            <w:hideMark/>
          </w:tcPr>
          <w:p w:rsidR="006404D3" w:rsidRPr="00E24A13" w:rsidRDefault="006404D3" w:rsidP="00130EBA">
            <w:pPr>
              <w:pStyle w:val="TableRow-right"/>
              <w:keepNext/>
              <w:keepLines/>
            </w:pPr>
            <w:r>
              <w:rPr>
                <w:rFonts w:ascii="Calibri" w:hAnsi="Calibri"/>
                <w:color w:val="000000"/>
                <w:szCs w:val="20"/>
              </w:rPr>
              <w:t>20</w:t>
            </w:r>
          </w:p>
        </w:tc>
        <w:tc>
          <w:tcPr>
            <w:tcW w:w="544" w:type="pct"/>
            <w:shd w:val="clear" w:color="auto" w:fill="auto"/>
            <w:vAlign w:val="center"/>
            <w:hideMark/>
          </w:tcPr>
          <w:p w:rsidR="006404D3" w:rsidRPr="00E24A13" w:rsidRDefault="006404D3" w:rsidP="00130EBA">
            <w:pPr>
              <w:pStyle w:val="TableRow-right"/>
              <w:keepNext/>
              <w:keepLines/>
            </w:pPr>
            <w:r>
              <w:rPr>
                <w:rFonts w:ascii="Calibri" w:hAnsi="Calibri"/>
                <w:color w:val="000000"/>
                <w:szCs w:val="20"/>
              </w:rPr>
              <w:t>1%</w:t>
            </w:r>
          </w:p>
        </w:tc>
      </w:tr>
      <w:tr w:rsidR="006404D3" w:rsidRPr="00E24A13" w:rsidTr="00297A9C">
        <w:trPr>
          <w:cantSplit/>
        </w:trPr>
        <w:tc>
          <w:tcPr>
            <w:tcW w:w="2578" w:type="pct"/>
            <w:shd w:val="clear" w:color="auto" w:fill="auto"/>
            <w:vAlign w:val="center"/>
            <w:hideMark/>
          </w:tcPr>
          <w:p w:rsidR="006404D3" w:rsidRPr="00E24A13" w:rsidRDefault="006404D3" w:rsidP="00130EBA">
            <w:pPr>
              <w:pStyle w:val="TableRow-left"/>
              <w:keepNext/>
              <w:keepLines/>
            </w:pPr>
            <w:r w:rsidRPr="003F24CB">
              <w:rPr>
                <w:i/>
              </w:rPr>
              <w:t>Ex ante</w:t>
            </w:r>
            <w:r w:rsidRPr="00E24A13">
              <w:t xml:space="preserve"> </w:t>
            </w:r>
            <w:r>
              <w:t>s</w:t>
            </w:r>
            <w:r w:rsidRPr="00E24A13">
              <w:t xml:space="preserve">avings higher than </w:t>
            </w:r>
            <w:r>
              <w:t>p</w:t>
            </w:r>
            <w:r w:rsidRPr="00E24A13">
              <w:t>re-</w:t>
            </w:r>
            <w:r>
              <w:t>u</w:t>
            </w:r>
            <w:r w:rsidRPr="00E24A13">
              <w:t xml:space="preserve">sage, or </w:t>
            </w:r>
            <w:r w:rsidRPr="003F24CB">
              <w:rPr>
                <w:i/>
              </w:rPr>
              <w:t>ex ante</w:t>
            </w:r>
            <w:r w:rsidRPr="00E24A13">
              <w:t xml:space="preserve"> </w:t>
            </w:r>
            <w:r>
              <w:t>savings &lt;1% of pre-u</w:t>
            </w:r>
            <w:r w:rsidRPr="00E24A13">
              <w:t>sage</w:t>
            </w:r>
          </w:p>
        </w:tc>
        <w:tc>
          <w:tcPr>
            <w:tcW w:w="699" w:type="pct"/>
            <w:shd w:val="clear" w:color="auto" w:fill="auto"/>
            <w:vAlign w:val="center"/>
            <w:hideMark/>
          </w:tcPr>
          <w:p w:rsidR="006404D3" w:rsidRPr="00E24A13" w:rsidRDefault="006404D3" w:rsidP="00130EBA">
            <w:pPr>
              <w:pStyle w:val="TableRow-right"/>
              <w:keepNext/>
              <w:keepLines/>
            </w:pPr>
            <w:r>
              <w:rPr>
                <w:rFonts w:ascii="Calibri" w:hAnsi="Calibri"/>
                <w:color w:val="000000"/>
                <w:szCs w:val="20"/>
              </w:rPr>
              <w:t>1,676</w:t>
            </w:r>
          </w:p>
        </w:tc>
        <w:tc>
          <w:tcPr>
            <w:tcW w:w="635" w:type="pct"/>
            <w:shd w:val="clear" w:color="auto" w:fill="auto"/>
            <w:vAlign w:val="center"/>
            <w:hideMark/>
          </w:tcPr>
          <w:p w:rsidR="006404D3" w:rsidRPr="00E24A13" w:rsidRDefault="006404D3" w:rsidP="00130EBA">
            <w:pPr>
              <w:pStyle w:val="TableRow-right"/>
              <w:keepNext/>
              <w:keepLines/>
            </w:pPr>
            <w:r>
              <w:rPr>
                <w:rFonts w:ascii="Calibri" w:hAnsi="Calibri"/>
                <w:color w:val="000000"/>
                <w:szCs w:val="20"/>
              </w:rPr>
              <w:t>79%</w:t>
            </w:r>
          </w:p>
        </w:tc>
        <w:tc>
          <w:tcPr>
            <w:tcW w:w="544" w:type="pct"/>
            <w:shd w:val="clear" w:color="auto" w:fill="auto"/>
            <w:vAlign w:val="center"/>
            <w:hideMark/>
          </w:tcPr>
          <w:p w:rsidR="006404D3" w:rsidRPr="00E24A13" w:rsidRDefault="006404D3" w:rsidP="00130EBA">
            <w:pPr>
              <w:pStyle w:val="TableRow-right"/>
              <w:keepNext/>
              <w:keepLines/>
            </w:pPr>
            <w:r>
              <w:rPr>
                <w:rFonts w:ascii="Calibri" w:hAnsi="Calibri"/>
                <w:color w:val="000000"/>
                <w:szCs w:val="20"/>
              </w:rPr>
              <w:t>38</w:t>
            </w:r>
          </w:p>
        </w:tc>
        <w:tc>
          <w:tcPr>
            <w:tcW w:w="544" w:type="pct"/>
            <w:shd w:val="clear" w:color="auto" w:fill="auto"/>
            <w:vAlign w:val="center"/>
            <w:hideMark/>
          </w:tcPr>
          <w:p w:rsidR="006404D3" w:rsidRPr="00E24A13" w:rsidRDefault="006404D3" w:rsidP="00130EBA">
            <w:pPr>
              <w:pStyle w:val="TableRow-right"/>
              <w:keepNext/>
              <w:keepLines/>
            </w:pPr>
            <w:r>
              <w:rPr>
                <w:rFonts w:ascii="Calibri" w:hAnsi="Calibri"/>
                <w:color w:val="000000"/>
                <w:szCs w:val="20"/>
              </w:rPr>
              <w:t>2%</w:t>
            </w:r>
          </w:p>
        </w:tc>
      </w:tr>
      <w:tr w:rsidR="006404D3" w:rsidRPr="00E24A13" w:rsidTr="00297A9C">
        <w:trPr>
          <w:cantSplit/>
        </w:trPr>
        <w:tc>
          <w:tcPr>
            <w:tcW w:w="2578" w:type="pct"/>
            <w:shd w:val="clear" w:color="auto" w:fill="auto"/>
            <w:vAlign w:val="center"/>
            <w:hideMark/>
          </w:tcPr>
          <w:p w:rsidR="006404D3" w:rsidRPr="00E24A13" w:rsidRDefault="006404D3" w:rsidP="00130EBA">
            <w:pPr>
              <w:pStyle w:val="TableRow-left"/>
              <w:keepNext/>
              <w:keepLines/>
            </w:pPr>
            <w:r>
              <w:t>Pre- or p</w:t>
            </w:r>
            <w:r w:rsidRPr="00E24A13">
              <w:t>ost</w:t>
            </w:r>
            <w:r>
              <w:t>-p</w:t>
            </w:r>
            <w:r w:rsidRPr="00E24A13">
              <w:t xml:space="preserve">eriod </w:t>
            </w:r>
            <w:r>
              <w:t>u</w:t>
            </w:r>
            <w:r w:rsidRPr="00E24A13">
              <w:t>sage less than 1000 kWh</w:t>
            </w:r>
          </w:p>
        </w:tc>
        <w:tc>
          <w:tcPr>
            <w:tcW w:w="699" w:type="pct"/>
            <w:shd w:val="clear" w:color="auto" w:fill="auto"/>
            <w:vAlign w:val="center"/>
            <w:hideMark/>
          </w:tcPr>
          <w:p w:rsidR="006404D3" w:rsidRPr="00E24A13" w:rsidRDefault="006404D3" w:rsidP="00130EBA">
            <w:pPr>
              <w:pStyle w:val="TableRow-right"/>
              <w:keepNext/>
              <w:keepLines/>
            </w:pPr>
            <w:r>
              <w:rPr>
                <w:rFonts w:ascii="Calibri" w:hAnsi="Calibri"/>
                <w:color w:val="000000"/>
                <w:szCs w:val="20"/>
              </w:rPr>
              <w:t>1,672</w:t>
            </w:r>
          </w:p>
        </w:tc>
        <w:tc>
          <w:tcPr>
            <w:tcW w:w="635" w:type="pct"/>
            <w:shd w:val="clear" w:color="auto" w:fill="auto"/>
            <w:vAlign w:val="center"/>
            <w:hideMark/>
          </w:tcPr>
          <w:p w:rsidR="006404D3" w:rsidRPr="00E24A13" w:rsidRDefault="006404D3" w:rsidP="00130EBA">
            <w:pPr>
              <w:pStyle w:val="TableRow-right"/>
              <w:keepNext/>
              <w:keepLines/>
            </w:pPr>
            <w:r>
              <w:rPr>
                <w:rFonts w:ascii="Calibri" w:hAnsi="Calibri"/>
                <w:color w:val="000000"/>
                <w:szCs w:val="20"/>
              </w:rPr>
              <w:t>78%</w:t>
            </w:r>
          </w:p>
        </w:tc>
        <w:tc>
          <w:tcPr>
            <w:tcW w:w="544" w:type="pct"/>
            <w:shd w:val="clear" w:color="auto" w:fill="auto"/>
            <w:vAlign w:val="center"/>
            <w:hideMark/>
          </w:tcPr>
          <w:p w:rsidR="006404D3" w:rsidRPr="00E24A13" w:rsidRDefault="006404D3" w:rsidP="00130EBA">
            <w:pPr>
              <w:pStyle w:val="TableRow-right"/>
              <w:keepNext/>
              <w:keepLines/>
            </w:pPr>
            <w:r>
              <w:rPr>
                <w:rFonts w:ascii="Calibri" w:hAnsi="Calibri"/>
                <w:color w:val="000000"/>
                <w:szCs w:val="20"/>
              </w:rPr>
              <w:t>4</w:t>
            </w:r>
          </w:p>
        </w:tc>
        <w:tc>
          <w:tcPr>
            <w:tcW w:w="544" w:type="pct"/>
            <w:shd w:val="clear" w:color="auto" w:fill="auto"/>
            <w:vAlign w:val="center"/>
            <w:hideMark/>
          </w:tcPr>
          <w:p w:rsidR="006404D3" w:rsidRPr="00E24A13" w:rsidRDefault="006404D3" w:rsidP="00130EBA">
            <w:pPr>
              <w:pStyle w:val="TableRow-right"/>
              <w:keepNext/>
              <w:keepLines/>
            </w:pPr>
            <w:r>
              <w:rPr>
                <w:rFonts w:ascii="Calibri" w:hAnsi="Calibri"/>
                <w:color w:val="000000"/>
                <w:szCs w:val="20"/>
              </w:rPr>
              <w:t>0%</w:t>
            </w:r>
          </w:p>
        </w:tc>
      </w:tr>
      <w:tr w:rsidR="006404D3" w:rsidRPr="00E24A13" w:rsidTr="00297A9C">
        <w:trPr>
          <w:cantSplit/>
        </w:trPr>
        <w:tc>
          <w:tcPr>
            <w:tcW w:w="2578" w:type="pct"/>
            <w:shd w:val="clear" w:color="auto" w:fill="auto"/>
            <w:vAlign w:val="center"/>
            <w:hideMark/>
          </w:tcPr>
          <w:p w:rsidR="006404D3" w:rsidRPr="00E24A13" w:rsidRDefault="006404D3" w:rsidP="00130EBA">
            <w:pPr>
              <w:pStyle w:val="TableRow-left"/>
              <w:keepNext/>
              <w:keepLines/>
            </w:pPr>
            <w:r w:rsidRPr="00E24A13">
              <w:t xml:space="preserve">PRISM </w:t>
            </w:r>
            <w:r>
              <w:t>s</w:t>
            </w:r>
            <w:r w:rsidRPr="00E24A13">
              <w:t xml:space="preserve">creen: </w:t>
            </w:r>
            <w:r>
              <w:t>w</w:t>
            </w:r>
            <w:r w:rsidRPr="00E24A13">
              <w:t xml:space="preserve">rong </w:t>
            </w:r>
            <w:r>
              <w:t>s</w:t>
            </w:r>
            <w:r w:rsidRPr="00E24A13">
              <w:t xml:space="preserve">igns on PRISM </w:t>
            </w:r>
            <w:r>
              <w:t>p</w:t>
            </w:r>
            <w:r w:rsidRPr="00E24A13">
              <w:t>arameters</w:t>
            </w:r>
          </w:p>
        </w:tc>
        <w:tc>
          <w:tcPr>
            <w:tcW w:w="699" w:type="pct"/>
            <w:shd w:val="clear" w:color="auto" w:fill="auto"/>
            <w:vAlign w:val="center"/>
            <w:hideMark/>
          </w:tcPr>
          <w:p w:rsidR="006404D3" w:rsidRPr="00E24A13" w:rsidRDefault="006404D3" w:rsidP="00130EBA">
            <w:pPr>
              <w:pStyle w:val="TableRow-right"/>
              <w:keepNext/>
              <w:keepLines/>
            </w:pPr>
            <w:r>
              <w:rPr>
                <w:rFonts w:ascii="Calibri" w:hAnsi="Calibri"/>
                <w:color w:val="000000"/>
                <w:szCs w:val="20"/>
              </w:rPr>
              <w:t>1,662</w:t>
            </w:r>
          </w:p>
        </w:tc>
        <w:tc>
          <w:tcPr>
            <w:tcW w:w="635" w:type="pct"/>
            <w:shd w:val="clear" w:color="auto" w:fill="auto"/>
            <w:vAlign w:val="center"/>
            <w:hideMark/>
          </w:tcPr>
          <w:p w:rsidR="006404D3" w:rsidRPr="00E24A13" w:rsidRDefault="006404D3" w:rsidP="00130EBA">
            <w:pPr>
              <w:pStyle w:val="TableRow-right"/>
              <w:keepNext/>
              <w:keepLines/>
            </w:pPr>
            <w:r>
              <w:rPr>
                <w:rFonts w:ascii="Calibri" w:hAnsi="Calibri"/>
                <w:color w:val="000000"/>
                <w:szCs w:val="20"/>
              </w:rPr>
              <w:t>78%</w:t>
            </w:r>
          </w:p>
        </w:tc>
        <w:tc>
          <w:tcPr>
            <w:tcW w:w="544" w:type="pct"/>
            <w:shd w:val="clear" w:color="auto" w:fill="auto"/>
            <w:vAlign w:val="center"/>
            <w:hideMark/>
          </w:tcPr>
          <w:p w:rsidR="006404D3" w:rsidRPr="00E24A13" w:rsidRDefault="006404D3" w:rsidP="00130EBA">
            <w:pPr>
              <w:pStyle w:val="TableRow-right"/>
              <w:keepNext/>
              <w:keepLines/>
            </w:pPr>
            <w:r>
              <w:rPr>
                <w:rFonts w:ascii="Calibri" w:hAnsi="Calibri"/>
                <w:color w:val="000000"/>
                <w:szCs w:val="20"/>
              </w:rPr>
              <w:t>10</w:t>
            </w:r>
          </w:p>
        </w:tc>
        <w:tc>
          <w:tcPr>
            <w:tcW w:w="544" w:type="pct"/>
            <w:shd w:val="clear" w:color="auto" w:fill="auto"/>
            <w:vAlign w:val="center"/>
            <w:hideMark/>
          </w:tcPr>
          <w:p w:rsidR="006404D3" w:rsidRPr="00E24A13" w:rsidRDefault="006404D3" w:rsidP="00130EBA">
            <w:pPr>
              <w:pStyle w:val="TableRow-right"/>
              <w:keepNext/>
              <w:keepLines/>
            </w:pPr>
            <w:r>
              <w:rPr>
                <w:rFonts w:ascii="Calibri" w:hAnsi="Calibri"/>
                <w:color w:val="000000"/>
                <w:szCs w:val="20"/>
              </w:rPr>
              <w:t>0%</w:t>
            </w:r>
          </w:p>
        </w:tc>
      </w:tr>
      <w:tr w:rsidR="006404D3" w:rsidRPr="00E24A13" w:rsidTr="00130EBA">
        <w:trPr>
          <w:cantSplit/>
        </w:trPr>
        <w:tc>
          <w:tcPr>
            <w:tcW w:w="2578" w:type="pct"/>
            <w:tcBorders>
              <w:bottom w:val="single" w:sz="4" w:space="0" w:color="BFBFBF"/>
            </w:tcBorders>
            <w:shd w:val="clear" w:color="auto" w:fill="auto"/>
            <w:vAlign w:val="center"/>
            <w:hideMark/>
          </w:tcPr>
          <w:p w:rsidR="006404D3" w:rsidRPr="00E24A13" w:rsidRDefault="006404D3" w:rsidP="00130EBA">
            <w:pPr>
              <w:pStyle w:val="TableRow-left"/>
              <w:keepNext/>
              <w:keepLines/>
            </w:pPr>
            <w:r>
              <w:t>Account-level inspection of pre/post 12-month usage (e.g., vacancies, anomalies)</w:t>
            </w:r>
          </w:p>
        </w:tc>
        <w:tc>
          <w:tcPr>
            <w:tcW w:w="699" w:type="pct"/>
            <w:tcBorders>
              <w:bottom w:val="single" w:sz="4" w:space="0" w:color="BFBFBF"/>
            </w:tcBorders>
            <w:shd w:val="clear" w:color="auto" w:fill="auto"/>
            <w:vAlign w:val="center"/>
            <w:hideMark/>
          </w:tcPr>
          <w:p w:rsidR="006404D3" w:rsidRPr="00E24A13" w:rsidRDefault="006404D3" w:rsidP="00130EBA">
            <w:pPr>
              <w:pStyle w:val="TableRow-right"/>
              <w:keepNext/>
              <w:keepLines/>
            </w:pPr>
            <w:r>
              <w:rPr>
                <w:rFonts w:ascii="Calibri" w:hAnsi="Calibri"/>
                <w:color w:val="000000"/>
                <w:szCs w:val="20"/>
              </w:rPr>
              <w:t>1,348</w:t>
            </w:r>
          </w:p>
        </w:tc>
        <w:tc>
          <w:tcPr>
            <w:tcW w:w="635" w:type="pct"/>
            <w:tcBorders>
              <w:bottom w:val="single" w:sz="4" w:space="0" w:color="BFBFBF"/>
            </w:tcBorders>
            <w:shd w:val="clear" w:color="auto" w:fill="auto"/>
            <w:vAlign w:val="center"/>
            <w:hideMark/>
          </w:tcPr>
          <w:p w:rsidR="006404D3" w:rsidRPr="00E24A13" w:rsidRDefault="006404D3" w:rsidP="00130EBA">
            <w:pPr>
              <w:pStyle w:val="TableRow-right"/>
              <w:keepNext/>
              <w:keepLines/>
            </w:pPr>
            <w:r>
              <w:rPr>
                <w:rFonts w:ascii="Calibri" w:hAnsi="Calibri"/>
                <w:color w:val="000000"/>
                <w:szCs w:val="20"/>
              </w:rPr>
              <w:t>63%</w:t>
            </w:r>
          </w:p>
        </w:tc>
        <w:tc>
          <w:tcPr>
            <w:tcW w:w="544" w:type="pct"/>
            <w:tcBorders>
              <w:bottom w:val="single" w:sz="4" w:space="0" w:color="BFBFBF"/>
            </w:tcBorders>
            <w:shd w:val="clear" w:color="auto" w:fill="auto"/>
            <w:vAlign w:val="center"/>
            <w:hideMark/>
          </w:tcPr>
          <w:p w:rsidR="006404D3" w:rsidRPr="00E24A13" w:rsidRDefault="006404D3" w:rsidP="00130EBA">
            <w:pPr>
              <w:pStyle w:val="TableRow-right"/>
              <w:keepNext/>
              <w:keepLines/>
            </w:pPr>
            <w:r>
              <w:rPr>
                <w:rFonts w:ascii="Calibri" w:hAnsi="Calibri"/>
                <w:color w:val="000000"/>
                <w:szCs w:val="20"/>
              </w:rPr>
              <w:t>314</w:t>
            </w:r>
          </w:p>
        </w:tc>
        <w:tc>
          <w:tcPr>
            <w:tcW w:w="544" w:type="pct"/>
            <w:tcBorders>
              <w:bottom w:val="single" w:sz="4" w:space="0" w:color="BFBFBF"/>
            </w:tcBorders>
            <w:shd w:val="clear" w:color="auto" w:fill="auto"/>
            <w:vAlign w:val="center"/>
            <w:hideMark/>
          </w:tcPr>
          <w:p w:rsidR="006404D3" w:rsidRPr="00E24A13" w:rsidRDefault="006404D3" w:rsidP="00130EBA">
            <w:pPr>
              <w:pStyle w:val="TableRow-right"/>
              <w:keepNext/>
              <w:keepLines/>
            </w:pPr>
            <w:r>
              <w:rPr>
                <w:rFonts w:ascii="Calibri" w:hAnsi="Calibri"/>
                <w:color w:val="000000"/>
                <w:szCs w:val="20"/>
              </w:rPr>
              <w:t>15%</w:t>
            </w:r>
          </w:p>
        </w:tc>
      </w:tr>
      <w:tr w:rsidR="006404D3" w:rsidRPr="00E24A13" w:rsidTr="00130EBA">
        <w:trPr>
          <w:cantSplit/>
        </w:trPr>
        <w:tc>
          <w:tcPr>
            <w:tcW w:w="2578" w:type="pct"/>
            <w:shd w:val="clear" w:color="000000" w:fill="auto"/>
            <w:vAlign w:val="center"/>
            <w:hideMark/>
          </w:tcPr>
          <w:p w:rsidR="006404D3" w:rsidRPr="00E24A13" w:rsidRDefault="006404D3" w:rsidP="00130EBA">
            <w:pPr>
              <w:pStyle w:val="TableRow-left"/>
              <w:keepNext/>
              <w:keepLines/>
              <w:rPr>
                <w:b/>
                <w:bCs/>
                <w:color w:val="005DAA"/>
              </w:rPr>
            </w:pPr>
            <w:r w:rsidRPr="00E24A13">
              <w:rPr>
                <w:b/>
                <w:bCs/>
                <w:color w:val="005DAA"/>
              </w:rPr>
              <w:t xml:space="preserve">Final </w:t>
            </w:r>
            <w:r>
              <w:rPr>
                <w:b/>
                <w:bCs/>
                <w:color w:val="005DAA"/>
              </w:rPr>
              <w:t>a</w:t>
            </w:r>
            <w:r w:rsidRPr="00E24A13">
              <w:rPr>
                <w:b/>
                <w:bCs/>
                <w:color w:val="005DAA"/>
              </w:rPr>
              <w:t xml:space="preserve">nalysis </w:t>
            </w:r>
            <w:r>
              <w:rPr>
                <w:b/>
                <w:bCs/>
                <w:color w:val="005DAA"/>
              </w:rPr>
              <w:t>g</w:t>
            </w:r>
            <w:r w:rsidRPr="00E24A13">
              <w:rPr>
                <w:b/>
                <w:bCs/>
                <w:color w:val="005DAA"/>
              </w:rPr>
              <w:t>roup</w:t>
            </w:r>
          </w:p>
        </w:tc>
        <w:tc>
          <w:tcPr>
            <w:tcW w:w="699" w:type="pct"/>
            <w:shd w:val="clear" w:color="000000" w:fill="auto"/>
            <w:vAlign w:val="center"/>
            <w:hideMark/>
          </w:tcPr>
          <w:p w:rsidR="006404D3" w:rsidRPr="00E24A13" w:rsidRDefault="006404D3" w:rsidP="00130EBA">
            <w:pPr>
              <w:pStyle w:val="TableRow-right"/>
              <w:keepNext/>
              <w:keepLines/>
              <w:rPr>
                <w:b/>
                <w:bCs/>
                <w:color w:val="005DAA"/>
              </w:rPr>
            </w:pPr>
            <w:r>
              <w:rPr>
                <w:rFonts w:ascii="Calibri" w:hAnsi="Calibri"/>
                <w:b/>
                <w:bCs/>
                <w:color w:val="005DAA"/>
                <w:szCs w:val="20"/>
              </w:rPr>
              <w:t>1,348</w:t>
            </w:r>
          </w:p>
        </w:tc>
        <w:tc>
          <w:tcPr>
            <w:tcW w:w="635" w:type="pct"/>
            <w:shd w:val="clear" w:color="000000" w:fill="auto"/>
            <w:vAlign w:val="center"/>
            <w:hideMark/>
          </w:tcPr>
          <w:p w:rsidR="006404D3" w:rsidRPr="00E24A13" w:rsidRDefault="006404D3" w:rsidP="00130EBA">
            <w:pPr>
              <w:pStyle w:val="TableRow-right"/>
              <w:keepNext/>
              <w:keepLines/>
              <w:rPr>
                <w:b/>
                <w:bCs/>
                <w:color w:val="005DAA"/>
              </w:rPr>
            </w:pPr>
            <w:r>
              <w:rPr>
                <w:rFonts w:ascii="Calibri" w:hAnsi="Calibri"/>
                <w:b/>
                <w:bCs/>
                <w:color w:val="005DAA"/>
                <w:szCs w:val="20"/>
              </w:rPr>
              <w:t>63%</w:t>
            </w:r>
          </w:p>
        </w:tc>
        <w:tc>
          <w:tcPr>
            <w:tcW w:w="544" w:type="pct"/>
            <w:shd w:val="clear" w:color="000000" w:fill="auto"/>
            <w:vAlign w:val="center"/>
            <w:hideMark/>
          </w:tcPr>
          <w:p w:rsidR="006404D3" w:rsidRPr="00E24A13" w:rsidRDefault="006404D3" w:rsidP="00130EBA">
            <w:pPr>
              <w:pStyle w:val="TableRow-right"/>
              <w:keepNext/>
              <w:keepLines/>
              <w:rPr>
                <w:b/>
                <w:bCs/>
                <w:color w:val="005DAA"/>
              </w:rPr>
            </w:pPr>
            <w:r>
              <w:rPr>
                <w:rFonts w:ascii="Calibri" w:hAnsi="Calibri"/>
                <w:b/>
                <w:bCs/>
                <w:color w:val="005DAA"/>
                <w:szCs w:val="20"/>
              </w:rPr>
              <w:t>787</w:t>
            </w:r>
          </w:p>
        </w:tc>
        <w:tc>
          <w:tcPr>
            <w:tcW w:w="544" w:type="pct"/>
            <w:shd w:val="clear" w:color="000000" w:fill="auto"/>
            <w:vAlign w:val="center"/>
            <w:hideMark/>
          </w:tcPr>
          <w:p w:rsidR="006404D3" w:rsidRPr="00E24A13" w:rsidRDefault="006404D3" w:rsidP="00130EBA">
            <w:pPr>
              <w:pStyle w:val="TableRow-right"/>
              <w:keepNext/>
              <w:keepLines/>
              <w:rPr>
                <w:b/>
                <w:bCs/>
                <w:color w:val="005DAA"/>
              </w:rPr>
            </w:pPr>
            <w:r>
              <w:rPr>
                <w:rFonts w:ascii="Calibri" w:hAnsi="Calibri"/>
                <w:b/>
                <w:bCs/>
                <w:color w:val="005DAA"/>
                <w:szCs w:val="20"/>
              </w:rPr>
              <w:t>37%</w:t>
            </w:r>
          </w:p>
        </w:tc>
      </w:tr>
    </w:tbl>
    <w:p w:rsidR="006404D3" w:rsidRDefault="006404D3" w:rsidP="006404D3">
      <w:pPr>
        <w:pStyle w:val="NormalAfterTablesandFigures"/>
      </w:pPr>
    </w:p>
    <w:p w:rsidR="006404D3" w:rsidRDefault="006404D3" w:rsidP="006404D3">
      <w:pPr>
        <w:pStyle w:val="Caption"/>
      </w:pPr>
      <w:r>
        <w:t xml:space="preserve">Table </w:t>
      </w:r>
      <w:r w:rsidR="002506E1">
        <w:fldChar w:fldCharType="begin"/>
      </w:r>
      <w:r w:rsidR="002506E1">
        <w:instrText xml:space="preserve"> SEQ Table \* ARABIC </w:instrText>
      </w:r>
      <w:r w:rsidR="002506E1">
        <w:fldChar w:fldCharType="separate"/>
      </w:r>
      <w:r w:rsidR="00CD20CF">
        <w:rPr>
          <w:noProof/>
        </w:rPr>
        <w:t>98</w:t>
      </w:r>
      <w:r w:rsidR="002506E1">
        <w:rPr>
          <w:noProof/>
        </w:rPr>
        <w:fldChar w:fldCharType="end"/>
      </w:r>
      <w:r>
        <w:t>. Comparison Group Attrition: Electric Analysis (HES-IE SP1)</w:t>
      </w:r>
      <w:r w:rsidDel="00EF3BBF">
        <w:t xml:space="preserve">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049"/>
        <w:gridCol w:w="1306"/>
        <w:gridCol w:w="1187"/>
        <w:gridCol w:w="1017"/>
        <w:gridCol w:w="1017"/>
      </w:tblGrid>
      <w:tr w:rsidR="006404D3" w:rsidRPr="00E24A13" w:rsidTr="00297A9C">
        <w:tc>
          <w:tcPr>
            <w:tcW w:w="2636" w:type="pct"/>
            <w:shd w:val="clear" w:color="000000" w:fill="005DAA"/>
            <w:vAlign w:val="center"/>
            <w:hideMark/>
          </w:tcPr>
          <w:p w:rsidR="006404D3" w:rsidRPr="00E24A13" w:rsidRDefault="006404D3" w:rsidP="00297A9C">
            <w:pPr>
              <w:pStyle w:val="TableHeading-left"/>
              <w:keepNext/>
              <w:keepLines/>
              <w:jc w:val="center"/>
            </w:pPr>
            <w:r w:rsidRPr="00E24A13">
              <w:t>Screen</w:t>
            </w:r>
          </w:p>
        </w:tc>
        <w:tc>
          <w:tcPr>
            <w:tcW w:w="682" w:type="pct"/>
            <w:shd w:val="clear" w:color="000000" w:fill="005DAA"/>
            <w:vAlign w:val="center"/>
            <w:hideMark/>
          </w:tcPr>
          <w:p w:rsidR="006404D3" w:rsidRPr="00E24A13" w:rsidRDefault="006404D3" w:rsidP="00297A9C">
            <w:pPr>
              <w:pStyle w:val="TableHeading-centered"/>
              <w:keepNext/>
              <w:keepLines/>
            </w:pPr>
            <w:r w:rsidRPr="00E24A13">
              <w:t>Participants Remaining</w:t>
            </w:r>
          </w:p>
        </w:tc>
        <w:tc>
          <w:tcPr>
            <w:tcW w:w="620" w:type="pct"/>
            <w:shd w:val="clear" w:color="000000" w:fill="005DAA"/>
            <w:vAlign w:val="center"/>
            <w:hideMark/>
          </w:tcPr>
          <w:p w:rsidR="006404D3" w:rsidRPr="00E24A13" w:rsidRDefault="006404D3" w:rsidP="00297A9C">
            <w:pPr>
              <w:pStyle w:val="TableHeading-centered"/>
              <w:keepNext/>
              <w:keepLines/>
            </w:pPr>
            <w:r w:rsidRPr="00E24A13">
              <w:t>Percent Remaining</w:t>
            </w:r>
          </w:p>
        </w:tc>
        <w:tc>
          <w:tcPr>
            <w:tcW w:w="531" w:type="pct"/>
            <w:shd w:val="clear" w:color="000000" w:fill="005DAA"/>
            <w:vAlign w:val="center"/>
            <w:hideMark/>
          </w:tcPr>
          <w:p w:rsidR="006404D3" w:rsidRPr="00E24A13" w:rsidRDefault="006404D3" w:rsidP="00297A9C">
            <w:pPr>
              <w:pStyle w:val="TableHeading-centered"/>
              <w:keepNext/>
              <w:keepLines/>
            </w:pPr>
            <w:r w:rsidRPr="00E24A13">
              <w:t>Number Dropped</w:t>
            </w:r>
          </w:p>
        </w:tc>
        <w:tc>
          <w:tcPr>
            <w:tcW w:w="531" w:type="pct"/>
            <w:shd w:val="clear" w:color="000000" w:fill="005DAA"/>
            <w:vAlign w:val="center"/>
            <w:hideMark/>
          </w:tcPr>
          <w:p w:rsidR="006404D3" w:rsidRPr="00E24A13" w:rsidRDefault="006404D3" w:rsidP="00297A9C">
            <w:pPr>
              <w:pStyle w:val="TableHeading-centered"/>
              <w:keepNext/>
              <w:keepLines/>
            </w:pPr>
            <w:r w:rsidRPr="00E24A13">
              <w:t>Percent Dropped</w:t>
            </w:r>
          </w:p>
        </w:tc>
      </w:tr>
      <w:tr w:rsidR="006404D3" w:rsidRPr="00E24A13" w:rsidTr="00297A9C">
        <w:tc>
          <w:tcPr>
            <w:tcW w:w="2636" w:type="pct"/>
            <w:shd w:val="clear" w:color="auto" w:fill="auto"/>
            <w:vAlign w:val="center"/>
            <w:hideMark/>
          </w:tcPr>
          <w:p w:rsidR="006404D3" w:rsidRPr="00E24A13" w:rsidRDefault="006404D3" w:rsidP="00297A9C">
            <w:pPr>
              <w:pStyle w:val="TableRow-left"/>
              <w:keepNext/>
              <w:keepLines/>
            </w:pPr>
            <w:r w:rsidRPr="00E24A13">
              <w:t xml:space="preserve">Original </w:t>
            </w:r>
            <w:r>
              <w:t>e</w:t>
            </w:r>
            <w:r w:rsidRPr="00E24A13">
              <w:t xml:space="preserve">lectric </w:t>
            </w:r>
            <w:r>
              <w:t>a</w:t>
            </w:r>
            <w:r w:rsidRPr="00E24A13">
              <w:t>ccounts</w:t>
            </w:r>
          </w:p>
        </w:tc>
        <w:tc>
          <w:tcPr>
            <w:tcW w:w="682"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317</w:t>
            </w:r>
          </w:p>
        </w:tc>
        <w:tc>
          <w:tcPr>
            <w:tcW w:w="620"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100%</w:t>
            </w:r>
          </w:p>
        </w:tc>
        <w:tc>
          <w:tcPr>
            <w:tcW w:w="531"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0</w:t>
            </w:r>
          </w:p>
        </w:tc>
        <w:tc>
          <w:tcPr>
            <w:tcW w:w="531"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0%</w:t>
            </w:r>
          </w:p>
        </w:tc>
      </w:tr>
      <w:tr w:rsidR="006404D3" w:rsidRPr="00E24A13" w:rsidTr="00297A9C">
        <w:tc>
          <w:tcPr>
            <w:tcW w:w="2636" w:type="pct"/>
            <w:shd w:val="clear" w:color="auto" w:fill="auto"/>
            <w:vAlign w:val="center"/>
            <w:hideMark/>
          </w:tcPr>
          <w:p w:rsidR="006404D3" w:rsidRPr="00E24A13" w:rsidRDefault="006404D3" w:rsidP="00297A9C">
            <w:pPr>
              <w:pStyle w:val="TableRow-left"/>
              <w:keepNext/>
              <w:keepLines/>
            </w:pPr>
            <w:r w:rsidRPr="00E24A13">
              <w:t xml:space="preserve">Matched to </w:t>
            </w:r>
            <w:r>
              <w:t>b</w:t>
            </w:r>
            <w:r w:rsidRPr="00E24A13">
              <w:t xml:space="preserve">illing </w:t>
            </w:r>
            <w:r>
              <w:t>d</w:t>
            </w:r>
            <w:r w:rsidRPr="00E24A13">
              <w:t xml:space="preserve">ata </w:t>
            </w:r>
            <w:r>
              <w:t>p</w:t>
            </w:r>
            <w:r w:rsidRPr="00E24A13">
              <w:t>rovided</w:t>
            </w:r>
          </w:p>
        </w:tc>
        <w:tc>
          <w:tcPr>
            <w:tcW w:w="682"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294</w:t>
            </w:r>
          </w:p>
        </w:tc>
        <w:tc>
          <w:tcPr>
            <w:tcW w:w="620"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93%</w:t>
            </w:r>
          </w:p>
        </w:tc>
        <w:tc>
          <w:tcPr>
            <w:tcW w:w="531"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23</w:t>
            </w:r>
          </w:p>
        </w:tc>
        <w:tc>
          <w:tcPr>
            <w:tcW w:w="531"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7%</w:t>
            </w:r>
          </w:p>
        </w:tc>
      </w:tr>
      <w:tr w:rsidR="006404D3" w:rsidRPr="00E24A13" w:rsidTr="00297A9C">
        <w:tc>
          <w:tcPr>
            <w:tcW w:w="2636" w:type="pct"/>
            <w:shd w:val="clear" w:color="auto" w:fill="auto"/>
            <w:vAlign w:val="center"/>
            <w:hideMark/>
          </w:tcPr>
          <w:p w:rsidR="006404D3" w:rsidRPr="00E24A13" w:rsidRDefault="006404D3" w:rsidP="00297A9C">
            <w:pPr>
              <w:pStyle w:val="TableRow-left"/>
              <w:keepNext/>
              <w:keepLines/>
            </w:pPr>
            <w:r w:rsidRPr="00E24A13">
              <w:t xml:space="preserve">Insufficient </w:t>
            </w:r>
            <w:r>
              <w:t>p</w:t>
            </w:r>
            <w:r w:rsidRPr="00E24A13">
              <w:t xml:space="preserve">re- and </w:t>
            </w:r>
            <w:r>
              <w:t>p</w:t>
            </w:r>
            <w:r w:rsidRPr="00E24A13">
              <w:t>ost-</w:t>
            </w:r>
            <w:r>
              <w:t>p</w:t>
            </w:r>
            <w:r w:rsidRPr="00E24A13">
              <w:t xml:space="preserve">eriod </w:t>
            </w:r>
            <w:r>
              <w:t>m</w:t>
            </w:r>
            <w:r w:rsidRPr="00E24A13">
              <w:t>onths</w:t>
            </w:r>
          </w:p>
        </w:tc>
        <w:tc>
          <w:tcPr>
            <w:tcW w:w="682"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209</w:t>
            </w:r>
          </w:p>
        </w:tc>
        <w:tc>
          <w:tcPr>
            <w:tcW w:w="620"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66%</w:t>
            </w:r>
          </w:p>
        </w:tc>
        <w:tc>
          <w:tcPr>
            <w:tcW w:w="531"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85</w:t>
            </w:r>
          </w:p>
        </w:tc>
        <w:tc>
          <w:tcPr>
            <w:tcW w:w="531"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27%</w:t>
            </w:r>
          </w:p>
        </w:tc>
      </w:tr>
      <w:tr w:rsidR="006404D3" w:rsidRPr="00E24A13" w:rsidTr="00297A9C">
        <w:tc>
          <w:tcPr>
            <w:tcW w:w="2636" w:type="pct"/>
            <w:shd w:val="clear" w:color="auto" w:fill="auto"/>
            <w:vAlign w:val="center"/>
            <w:hideMark/>
          </w:tcPr>
          <w:p w:rsidR="006404D3" w:rsidRPr="00E24A13" w:rsidRDefault="006404D3" w:rsidP="00297A9C">
            <w:pPr>
              <w:pStyle w:val="TableRow-left"/>
              <w:keepNext/>
              <w:keepLines/>
            </w:pPr>
            <w:r w:rsidRPr="00E24A13">
              <w:t xml:space="preserve">Changed </w:t>
            </w:r>
            <w:r>
              <w:t>u</w:t>
            </w:r>
            <w:r w:rsidRPr="00E24A13">
              <w:t xml:space="preserve">sage from the </w:t>
            </w:r>
            <w:r>
              <w:t>p</w:t>
            </w:r>
            <w:r w:rsidRPr="00E24A13">
              <w:t xml:space="preserve">re to </w:t>
            </w:r>
            <w:r>
              <w:t>p</w:t>
            </w:r>
            <w:r w:rsidRPr="00E24A13">
              <w:t>ost (&gt; 70%)</w:t>
            </w:r>
          </w:p>
        </w:tc>
        <w:tc>
          <w:tcPr>
            <w:tcW w:w="682"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204</w:t>
            </w:r>
          </w:p>
        </w:tc>
        <w:tc>
          <w:tcPr>
            <w:tcW w:w="620"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64%</w:t>
            </w:r>
          </w:p>
        </w:tc>
        <w:tc>
          <w:tcPr>
            <w:tcW w:w="531"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5</w:t>
            </w:r>
          </w:p>
        </w:tc>
        <w:tc>
          <w:tcPr>
            <w:tcW w:w="531"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2%</w:t>
            </w:r>
          </w:p>
        </w:tc>
      </w:tr>
      <w:tr w:rsidR="006404D3" w:rsidRPr="00E24A13" w:rsidTr="00297A9C">
        <w:tc>
          <w:tcPr>
            <w:tcW w:w="2636" w:type="pct"/>
            <w:shd w:val="clear" w:color="auto" w:fill="auto"/>
            <w:vAlign w:val="center"/>
            <w:hideMark/>
          </w:tcPr>
          <w:p w:rsidR="006404D3" w:rsidRPr="00E24A13" w:rsidRDefault="006404D3" w:rsidP="00297A9C">
            <w:pPr>
              <w:pStyle w:val="TableRow-left"/>
              <w:keepNext/>
              <w:keepLines/>
            </w:pPr>
            <w:r w:rsidRPr="00E24A13">
              <w:t>Pre</w:t>
            </w:r>
            <w:r>
              <w:t>-</w:t>
            </w:r>
            <w:r w:rsidRPr="00E24A13">
              <w:t xml:space="preserve"> or </w:t>
            </w:r>
            <w:r>
              <w:t>p</w:t>
            </w:r>
            <w:r w:rsidRPr="00E24A13">
              <w:t>ost</w:t>
            </w:r>
            <w:r>
              <w:t>-p</w:t>
            </w:r>
            <w:r w:rsidRPr="00E24A13">
              <w:t xml:space="preserve">eriod </w:t>
            </w:r>
            <w:r>
              <w:t>u</w:t>
            </w:r>
            <w:r w:rsidRPr="00E24A13">
              <w:t>sage less than 1000 kWh or more than maximum participant usage</w:t>
            </w:r>
          </w:p>
        </w:tc>
        <w:tc>
          <w:tcPr>
            <w:tcW w:w="682"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203</w:t>
            </w:r>
          </w:p>
        </w:tc>
        <w:tc>
          <w:tcPr>
            <w:tcW w:w="620"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64%</w:t>
            </w:r>
          </w:p>
        </w:tc>
        <w:tc>
          <w:tcPr>
            <w:tcW w:w="531"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1</w:t>
            </w:r>
          </w:p>
        </w:tc>
        <w:tc>
          <w:tcPr>
            <w:tcW w:w="531"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0%</w:t>
            </w:r>
          </w:p>
        </w:tc>
      </w:tr>
      <w:tr w:rsidR="006404D3" w:rsidRPr="00E24A13" w:rsidTr="00297A9C">
        <w:tc>
          <w:tcPr>
            <w:tcW w:w="2636" w:type="pct"/>
            <w:shd w:val="clear" w:color="auto" w:fill="auto"/>
            <w:vAlign w:val="center"/>
            <w:hideMark/>
          </w:tcPr>
          <w:p w:rsidR="006404D3" w:rsidRPr="00E24A13" w:rsidRDefault="006404D3" w:rsidP="00297A9C">
            <w:pPr>
              <w:pStyle w:val="TableRow-left"/>
              <w:keepNext/>
              <w:keepLines/>
            </w:pPr>
            <w:r w:rsidRPr="00E24A13">
              <w:t xml:space="preserve">PRISM </w:t>
            </w:r>
            <w:r>
              <w:t>s</w:t>
            </w:r>
            <w:r w:rsidRPr="00E24A13">
              <w:t xml:space="preserve">creen: </w:t>
            </w:r>
            <w:r>
              <w:t>w</w:t>
            </w:r>
            <w:r w:rsidRPr="00E24A13">
              <w:t xml:space="preserve">rong </w:t>
            </w:r>
            <w:r>
              <w:t>s</w:t>
            </w:r>
            <w:r w:rsidRPr="00E24A13">
              <w:t xml:space="preserve">igns on PRISM </w:t>
            </w:r>
            <w:r>
              <w:t>p</w:t>
            </w:r>
            <w:r w:rsidRPr="00E24A13">
              <w:t>arameters</w:t>
            </w:r>
          </w:p>
        </w:tc>
        <w:tc>
          <w:tcPr>
            <w:tcW w:w="682"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197</w:t>
            </w:r>
          </w:p>
        </w:tc>
        <w:tc>
          <w:tcPr>
            <w:tcW w:w="620"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62%</w:t>
            </w:r>
          </w:p>
        </w:tc>
        <w:tc>
          <w:tcPr>
            <w:tcW w:w="531"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6</w:t>
            </w:r>
          </w:p>
        </w:tc>
        <w:tc>
          <w:tcPr>
            <w:tcW w:w="531"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2%</w:t>
            </w:r>
          </w:p>
        </w:tc>
      </w:tr>
      <w:tr w:rsidR="006404D3" w:rsidRPr="00E24A13" w:rsidTr="00130EBA">
        <w:tc>
          <w:tcPr>
            <w:tcW w:w="2636" w:type="pct"/>
            <w:tcBorders>
              <w:bottom w:val="single" w:sz="4" w:space="0" w:color="BFBFBF"/>
            </w:tcBorders>
            <w:shd w:val="clear" w:color="auto" w:fill="auto"/>
            <w:vAlign w:val="center"/>
          </w:tcPr>
          <w:p w:rsidR="006404D3" w:rsidRPr="00E24A13" w:rsidRDefault="006404D3" w:rsidP="00297A9C">
            <w:pPr>
              <w:pStyle w:val="TableRow-left"/>
              <w:keepNext/>
              <w:keepLines/>
            </w:pPr>
            <w:r>
              <w:t>Account-level inspection of pre/post 12-month usage (e.g., vacancies, anomalies)</w:t>
            </w:r>
          </w:p>
        </w:tc>
        <w:tc>
          <w:tcPr>
            <w:tcW w:w="682" w:type="pct"/>
            <w:tcBorders>
              <w:bottom w:val="single" w:sz="4" w:space="0" w:color="BFBFBF"/>
            </w:tcBorders>
            <w:shd w:val="clear" w:color="auto" w:fill="auto"/>
            <w:vAlign w:val="center"/>
          </w:tcPr>
          <w:p w:rsidR="006404D3" w:rsidRPr="00E24A13" w:rsidRDefault="006404D3" w:rsidP="00297A9C">
            <w:pPr>
              <w:pStyle w:val="TableRow-right"/>
              <w:keepNext/>
              <w:keepLines/>
            </w:pPr>
            <w:r>
              <w:rPr>
                <w:rFonts w:ascii="Calibri" w:hAnsi="Calibri"/>
                <w:color w:val="000000"/>
                <w:szCs w:val="20"/>
              </w:rPr>
              <w:t>197</w:t>
            </w:r>
          </w:p>
        </w:tc>
        <w:tc>
          <w:tcPr>
            <w:tcW w:w="620" w:type="pct"/>
            <w:tcBorders>
              <w:bottom w:val="single" w:sz="4" w:space="0" w:color="BFBFBF"/>
            </w:tcBorders>
            <w:shd w:val="clear" w:color="auto" w:fill="auto"/>
            <w:vAlign w:val="center"/>
          </w:tcPr>
          <w:p w:rsidR="006404D3" w:rsidRPr="00E24A13" w:rsidRDefault="006404D3" w:rsidP="00297A9C">
            <w:pPr>
              <w:pStyle w:val="TableRow-right"/>
              <w:keepNext/>
              <w:keepLines/>
            </w:pPr>
            <w:r>
              <w:rPr>
                <w:rFonts w:ascii="Calibri" w:hAnsi="Calibri"/>
                <w:color w:val="000000"/>
                <w:szCs w:val="20"/>
              </w:rPr>
              <w:t>62%</w:t>
            </w:r>
          </w:p>
        </w:tc>
        <w:tc>
          <w:tcPr>
            <w:tcW w:w="531" w:type="pct"/>
            <w:tcBorders>
              <w:bottom w:val="single" w:sz="4" w:space="0" w:color="BFBFBF"/>
            </w:tcBorders>
            <w:shd w:val="clear" w:color="auto" w:fill="auto"/>
            <w:vAlign w:val="center"/>
          </w:tcPr>
          <w:p w:rsidR="006404D3" w:rsidRPr="00E24A13" w:rsidRDefault="006404D3" w:rsidP="00297A9C">
            <w:pPr>
              <w:pStyle w:val="TableRow-right"/>
              <w:keepNext/>
              <w:keepLines/>
            </w:pPr>
            <w:r>
              <w:rPr>
                <w:rFonts w:ascii="Calibri" w:hAnsi="Calibri"/>
                <w:color w:val="000000"/>
                <w:szCs w:val="20"/>
              </w:rPr>
              <w:t>0</w:t>
            </w:r>
          </w:p>
        </w:tc>
        <w:tc>
          <w:tcPr>
            <w:tcW w:w="531" w:type="pct"/>
            <w:tcBorders>
              <w:bottom w:val="single" w:sz="4" w:space="0" w:color="BFBFBF"/>
            </w:tcBorders>
            <w:shd w:val="clear" w:color="auto" w:fill="auto"/>
            <w:vAlign w:val="center"/>
          </w:tcPr>
          <w:p w:rsidR="006404D3" w:rsidRPr="00E24A13" w:rsidRDefault="006404D3" w:rsidP="00297A9C">
            <w:pPr>
              <w:pStyle w:val="TableRow-right"/>
              <w:keepNext/>
              <w:keepLines/>
            </w:pPr>
            <w:r>
              <w:rPr>
                <w:rFonts w:ascii="Calibri" w:hAnsi="Calibri"/>
                <w:color w:val="000000"/>
                <w:szCs w:val="20"/>
              </w:rPr>
              <w:t>0%</w:t>
            </w:r>
          </w:p>
        </w:tc>
      </w:tr>
      <w:tr w:rsidR="006404D3" w:rsidRPr="00E24A13" w:rsidTr="00130EBA">
        <w:tc>
          <w:tcPr>
            <w:tcW w:w="2636" w:type="pct"/>
            <w:shd w:val="clear" w:color="000000" w:fill="auto"/>
            <w:vAlign w:val="center"/>
            <w:hideMark/>
          </w:tcPr>
          <w:p w:rsidR="006404D3" w:rsidRPr="00E24A13" w:rsidRDefault="006404D3" w:rsidP="00297A9C">
            <w:pPr>
              <w:pStyle w:val="TableRow-left"/>
              <w:keepNext/>
              <w:keepLines/>
              <w:rPr>
                <w:b/>
                <w:bCs/>
                <w:color w:val="005DAA"/>
              </w:rPr>
            </w:pPr>
            <w:r w:rsidRPr="00E24A13">
              <w:rPr>
                <w:b/>
                <w:bCs/>
                <w:color w:val="005DAA"/>
              </w:rPr>
              <w:t xml:space="preserve">Final </w:t>
            </w:r>
            <w:r w:rsidR="009A6940">
              <w:rPr>
                <w:b/>
                <w:bCs/>
                <w:color w:val="005DAA"/>
              </w:rPr>
              <w:t>A</w:t>
            </w:r>
            <w:r w:rsidR="009A6940" w:rsidRPr="00E24A13">
              <w:rPr>
                <w:b/>
                <w:bCs/>
                <w:color w:val="005DAA"/>
              </w:rPr>
              <w:t xml:space="preserve">nalysis </w:t>
            </w:r>
            <w:r w:rsidR="009A6940">
              <w:rPr>
                <w:b/>
                <w:bCs/>
                <w:color w:val="005DAA"/>
              </w:rPr>
              <w:t>G</w:t>
            </w:r>
            <w:r w:rsidR="009A6940" w:rsidRPr="00E24A13">
              <w:rPr>
                <w:b/>
                <w:bCs/>
                <w:color w:val="005DAA"/>
              </w:rPr>
              <w:t>roup</w:t>
            </w:r>
          </w:p>
        </w:tc>
        <w:tc>
          <w:tcPr>
            <w:tcW w:w="682" w:type="pct"/>
            <w:shd w:val="clear" w:color="000000" w:fill="auto"/>
            <w:vAlign w:val="center"/>
            <w:hideMark/>
          </w:tcPr>
          <w:p w:rsidR="006404D3" w:rsidRPr="00E24A13" w:rsidRDefault="006404D3" w:rsidP="00297A9C">
            <w:pPr>
              <w:pStyle w:val="TableRow-right"/>
              <w:keepNext/>
              <w:keepLines/>
              <w:rPr>
                <w:b/>
                <w:bCs/>
                <w:color w:val="005DAA"/>
              </w:rPr>
            </w:pPr>
            <w:r>
              <w:rPr>
                <w:rFonts w:ascii="Calibri" w:hAnsi="Calibri"/>
                <w:b/>
                <w:bCs/>
                <w:color w:val="005DAA"/>
                <w:szCs w:val="20"/>
              </w:rPr>
              <w:t>197</w:t>
            </w:r>
          </w:p>
        </w:tc>
        <w:tc>
          <w:tcPr>
            <w:tcW w:w="620" w:type="pct"/>
            <w:shd w:val="clear" w:color="000000" w:fill="auto"/>
            <w:vAlign w:val="center"/>
            <w:hideMark/>
          </w:tcPr>
          <w:p w:rsidR="006404D3" w:rsidRPr="00E24A13" w:rsidRDefault="006404D3" w:rsidP="00297A9C">
            <w:pPr>
              <w:pStyle w:val="TableRow-right"/>
              <w:keepNext/>
              <w:keepLines/>
              <w:rPr>
                <w:b/>
                <w:bCs/>
                <w:color w:val="005DAA"/>
              </w:rPr>
            </w:pPr>
            <w:r>
              <w:rPr>
                <w:rFonts w:ascii="Calibri" w:hAnsi="Calibri"/>
                <w:b/>
                <w:bCs/>
                <w:color w:val="005DAA"/>
                <w:szCs w:val="20"/>
              </w:rPr>
              <w:t>62%</w:t>
            </w:r>
          </w:p>
        </w:tc>
        <w:tc>
          <w:tcPr>
            <w:tcW w:w="531" w:type="pct"/>
            <w:shd w:val="clear" w:color="000000" w:fill="auto"/>
            <w:vAlign w:val="center"/>
            <w:hideMark/>
          </w:tcPr>
          <w:p w:rsidR="006404D3" w:rsidRPr="00E24A13" w:rsidRDefault="006404D3" w:rsidP="00297A9C">
            <w:pPr>
              <w:pStyle w:val="TableRow-right"/>
              <w:keepNext/>
              <w:keepLines/>
              <w:rPr>
                <w:b/>
                <w:bCs/>
                <w:color w:val="005DAA"/>
              </w:rPr>
            </w:pPr>
            <w:r>
              <w:rPr>
                <w:rFonts w:ascii="Calibri" w:hAnsi="Calibri"/>
                <w:b/>
                <w:bCs/>
                <w:color w:val="005DAA"/>
                <w:szCs w:val="20"/>
              </w:rPr>
              <w:t>120</w:t>
            </w:r>
          </w:p>
        </w:tc>
        <w:tc>
          <w:tcPr>
            <w:tcW w:w="531" w:type="pct"/>
            <w:shd w:val="clear" w:color="000000" w:fill="auto"/>
            <w:vAlign w:val="center"/>
            <w:hideMark/>
          </w:tcPr>
          <w:p w:rsidR="006404D3" w:rsidRPr="00E24A13" w:rsidRDefault="006404D3" w:rsidP="00297A9C">
            <w:pPr>
              <w:pStyle w:val="TableRow-right"/>
              <w:keepNext/>
              <w:keepLines/>
              <w:rPr>
                <w:b/>
                <w:bCs/>
                <w:color w:val="005DAA"/>
              </w:rPr>
            </w:pPr>
            <w:r>
              <w:rPr>
                <w:rFonts w:ascii="Calibri" w:hAnsi="Calibri"/>
                <w:b/>
                <w:bCs/>
                <w:color w:val="005DAA"/>
                <w:szCs w:val="20"/>
              </w:rPr>
              <w:t>38%</w:t>
            </w:r>
          </w:p>
        </w:tc>
      </w:tr>
    </w:tbl>
    <w:p w:rsidR="006404D3" w:rsidRDefault="006404D3" w:rsidP="006404D3">
      <w:pPr>
        <w:pStyle w:val="NormalAfterTablesandFigures"/>
      </w:pPr>
    </w:p>
    <w:p w:rsidR="006404D3" w:rsidRDefault="006404D3" w:rsidP="006404D3">
      <w:pPr>
        <w:pStyle w:val="Caption"/>
      </w:pPr>
      <w:r>
        <w:lastRenderedPageBreak/>
        <w:t xml:space="preserve">Table </w:t>
      </w:r>
      <w:r w:rsidR="002506E1">
        <w:fldChar w:fldCharType="begin"/>
      </w:r>
      <w:r w:rsidR="002506E1">
        <w:instrText xml:space="preserve"> SEQ Table \* ARABIC </w:instrText>
      </w:r>
      <w:r w:rsidR="002506E1">
        <w:fldChar w:fldCharType="separate"/>
      </w:r>
      <w:r w:rsidR="00CD20CF">
        <w:rPr>
          <w:noProof/>
        </w:rPr>
        <w:t>99</w:t>
      </w:r>
      <w:r w:rsidR="002506E1">
        <w:rPr>
          <w:noProof/>
        </w:rPr>
        <w:fldChar w:fldCharType="end"/>
      </w:r>
      <w:r>
        <w:t>. Participant Attrition: Gas Analysis (HES-IE SP1)</w:t>
      </w:r>
      <w:r w:rsidDel="00EF3BBF">
        <w:t xml:space="preserve">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937"/>
        <w:gridCol w:w="1339"/>
        <w:gridCol w:w="1216"/>
        <w:gridCol w:w="1042"/>
        <w:gridCol w:w="1042"/>
      </w:tblGrid>
      <w:tr w:rsidR="006404D3" w:rsidRPr="00E24A13" w:rsidTr="00297A9C">
        <w:tc>
          <w:tcPr>
            <w:tcW w:w="2578" w:type="pct"/>
            <w:shd w:val="clear" w:color="000000" w:fill="005DAA"/>
            <w:vAlign w:val="center"/>
            <w:hideMark/>
          </w:tcPr>
          <w:p w:rsidR="006404D3" w:rsidRPr="00E24A13" w:rsidRDefault="006404D3" w:rsidP="00297A9C">
            <w:pPr>
              <w:pStyle w:val="TableHeading-left"/>
              <w:keepNext/>
              <w:keepLines/>
              <w:jc w:val="center"/>
            </w:pPr>
            <w:r w:rsidRPr="00E24A13">
              <w:t>Screen</w:t>
            </w:r>
          </w:p>
        </w:tc>
        <w:tc>
          <w:tcPr>
            <w:tcW w:w="699" w:type="pct"/>
            <w:shd w:val="clear" w:color="000000" w:fill="005DAA"/>
            <w:vAlign w:val="center"/>
            <w:hideMark/>
          </w:tcPr>
          <w:p w:rsidR="006404D3" w:rsidRPr="00E24A13" w:rsidRDefault="006404D3" w:rsidP="00297A9C">
            <w:pPr>
              <w:pStyle w:val="TableHeading-right"/>
              <w:keepNext/>
              <w:keepLines/>
              <w:jc w:val="center"/>
            </w:pPr>
            <w:r w:rsidRPr="00E24A13">
              <w:t>Participants Remaining</w:t>
            </w:r>
          </w:p>
        </w:tc>
        <w:tc>
          <w:tcPr>
            <w:tcW w:w="635" w:type="pct"/>
            <w:shd w:val="clear" w:color="000000" w:fill="005DAA"/>
            <w:vAlign w:val="center"/>
            <w:hideMark/>
          </w:tcPr>
          <w:p w:rsidR="006404D3" w:rsidRPr="00E24A13" w:rsidRDefault="006404D3" w:rsidP="00297A9C">
            <w:pPr>
              <w:pStyle w:val="TableHeading-centered"/>
              <w:keepNext/>
              <w:keepLines/>
            </w:pPr>
            <w:r w:rsidRPr="00E24A13">
              <w:t>Percent Remaining</w:t>
            </w:r>
          </w:p>
        </w:tc>
        <w:tc>
          <w:tcPr>
            <w:tcW w:w="544" w:type="pct"/>
            <w:shd w:val="clear" w:color="000000" w:fill="005DAA"/>
            <w:vAlign w:val="center"/>
            <w:hideMark/>
          </w:tcPr>
          <w:p w:rsidR="006404D3" w:rsidRPr="00E24A13" w:rsidRDefault="006404D3" w:rsidP="00297A9C">
            <w:pPr>
              <w:pStyle w:val="TableHeading-centered"/>
              <w:keepNext/>
              <w:keepLines/>
            </w:pPr>
            <w:r w:rsidRPr="00E24A13">
              <w:t>Number Dropped</w:t>
            </w:r>
          </w:p>
        </w:tc>
        <w:tc>
          <w:tcPr>
            <w:tcW w:w="544" w:type="pct"/>
            <w:shd w:val="clear" w:color="000000" w:fill="005DAA"/>
            <w:vAlign w:val="center"/>
            <w:hideMark/>
          </w:tcPr>
          <w:p w:rsidR="006404D3" w:rsidRPr="00E24A13" w:rsidRDefault="006404D3" w:rsidP="00297A9C">
            <w:pPr>
              <w:pStyle w:val="TableHeading-centered"/>
              <w:keepNext/>
              <w:keepLines/>
            </w:pPr>
            <w:r w:rsidRPr="00E24A13">
              <w:t>Percent Dropped</w:t>
            </w:r>
          </w:p>
        </w:tc>
      </w:tr>
      <w:tr w:rsidR="006404D3" w:rsidRPr="00E24A13" w:rsidTr="00297A9C">
        <w:tc>
          <w:tcPr>
            <w:tcW w:w="2578" w:type="pct"/>
            <w:shd w:val="clear" w:color="auto" w:fill="auto"/>
            <w:vAlign w:val="center"/>
            <w:hideMark/>
          </w:tcPr>
          <w:p w:rsidR="006404D3" w:rsidRPr="00E24A13" w:rsidRDefault="006404D3" w:rsidP="00297A9C">
            <w:pPr>
              <w:pStyle w:val="TableRow-left"/>
              <w:keepNext/>
              <w:keepLines/>
            </w:pPr>
            <w:r w:rsidRPr="00E24A13">
              <w:t xml:space="preserve">Original </w:t>
            </w:r>
            <w:r>
              <w:t>g</w:t>
            </w:r>
            <w:r w:rsidRPr="00E24A13">
              <w:t xml:space="preserve">as </w:t>
            </w:r>
            <w:r>
              <w:t>a</w:t>
            </w:r>
            <w:r w:rsidRPr="00E24A13">
              <w:t>ccounts</w:t>
            </w:r>
          </w:p>
        </w:tc>
        <w:tc>
          <w:tcPr>
            <w:tcW w:w="699"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358</w:t>
            </w:r>
          </w:p>
        </w:tc>
        <w:tc>
          <w:tcPr>
            <w:tcW w:w="635"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100%</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0</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0%</w:t>
            </w:r>
          </w:p>
        </w:tc>
      </w:tr>
      <w:tr w:rsidR="006404D3" w:rsidRPr="00E24A13" w:rsidTr="00297A9C">
        <w:tc>
          <w:tcPr>
            <w:tcW w:w="2578" w:type="pct"/>
            <w:shd w:val="clear" w:color="auto" w:fill="auto"/>
            <w:vAlign w:val="center"/>
            <w:hideMark/>
          </w:tcPr>
          <w:p w:rsidR="006404D3" w:rsidRPr="00E24A13" w:rsidRDefault="006404D3" w:rsidP="00297A9C">
            <w:pPr>
              <w:pStyle w:val="TableRow-left"/>
              <w:keepNext/>
              <w:keepLines/>
            </w:pPr>
            <w:r w:rsidRPr="00E24A13">
              <w:t xml:space="preserve">Matched to </w:t>
            </w:r>
            <w:r>
              <w:t>b</w:t>
            </w:r>
            <w:r w:rsidRPr="00E24A13">
              <w:t xml:space="preserve">illing </w:t>
            </w:r>
            <w:r>
              <w:t>d</w:t>
            </w:r>
            <w:r w:rsidRPr="00E24A13">
              <w:t xml:space="preserve">ata </w:t>
            </w:r>
            <w:r>
              <w:t>p</w:t>
            </w:r>
            <w:r w:rsidRPr="00E24A13">
              <w:t>rovided</w:t>
            </w:r>
          </w:p>
        </w:tc>
        <w:tc>
          <w:tcPr>
            <w:tcW w:w="699"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289</w:t>
            </w:r>
          </w:p>
        </w:tc>
        <w:tc>
          <w:tcPr>
            <w:tcW w:w="635"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81%</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69</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19%</w:t>
            </w:r>
          </w:p>
        </w:tc>
      </w:tr>
      <w:tr w:rsidR="006404D3" w:rsidRPr="00E24A13" w:rsidTr="00297A9C">
        <w:tc>
          <w:tcPr>
            <w:tcW w:w="2578" w:type="pct"/>
            <w:shd w:val="clear" w:color="auto" w:fill="auto"/>
            <w:vAlign w:val="center"/>
            <w:hideMark/>
          </w:tcPr>
          <w:p w:rsidR="006404D3" w:rsidRPr="00E24A13" w:rsidRDefault="006404D3" w:rsidP="00297A9C">
            <w:pPr>
              <w:pStyle w:val="TableRow-left"/>
              <w:keepNext/>
              <w:keepLines/>
            </w:pPr>
            <w:r w:rsidRPr="00E24A13">
              <w:t xml:space="preserve">Insufficient </w:t>
            </w:r>
            <w:r>
              <w:t>p</w:t>
            </w:r>
            <w:r w:rsidRPr="00E24A13">
              <w:t xml:space="preserve">re- and </w:t>
            </w:r>
            <w:r>
              <w:t>p</w:t>
            </w:r>
            <w:r w:rsidRPr="00E24A13">
              <w:t>ost</w:t>
            </w:r>
            <w:r>
              <w:t>-p</w:t>
            </w:r>
            <w:r w:rsidRPr="00E24A13">
              <w:t xml:space="preserve">eriod </w:t>
            </w:r>
            <w:r>
              <w:t>m</w:t>
            </w:r>
            <w:r w:rsidRPr="00E24A13">
              <w:t>onths</w:t>
            </w:r>
          </w:p>
        </w:tc>
        <w:tc>
          <w:tcPr>
            <w:tcW w:w="699"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254</w:t>
            </w:r>
          </w:p>
        </w:tc>
        <w:tc>
          <w:tcPr>
            <w:tcW w:w="635"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71%</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35</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10%</w:t>
            </w:r>
          </w:p>
        </w:tc>
      </w:tr>
      <w:tr w:rsidR="006404D3" w:rsidRPr="00E24A13" w:rsidTr="00297A9C">
        <w:tc>
          <w:tcPr>
            <w:tcW w:w="2578" w:type="pct"/>
            <w:shd w:val="clear" w:color="auto" w:fill="auto"/>
            <w:vAlign w:val="center"/>
            <w:hideMark/>
          </w:tcPr>
          <w:p w:rsidR="006404D3" w:rsidRPr="00E24A13" w:rsidRDefault="006404D3" w:rsidP="00297A9C">
            <w:pPr>
              <w:pStyle w:val="TableRow-left"/>
              <w:keepNext/>
              <w:keepLines/>
            </w:pPr>
            <w:r w:rsidRPr="00E24A13">
              <w:t xml:space="preserve">Changed </w:t>
            </w:r>
            <w:r>
              <w:t>u</w:t>
            </w:r>
            <w:r w:rsidRPr="00E24A13">
              <w:t xml:space="preserve">sage from the </w:t>
            </w:r>
            <w:r>
              <w:t>p</w:t>
            </w:r>
            <w:r w:rsidRPr="00E24A13">
              <w:t xml:space="preserve">re to </w:t>
            </w:r>
            <w:r>
              <w:t>p</w:t>
            </w:r>
            <w:r w:rsidRPr="00E24A13">
              <w:t>ost (&gt; 70%)</w:t>
            </w:r>
          </w:p>
        </w:tc>
        <w:tc>
          <w:tcPr>
            <w:tcW w:w="699"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253</w:t>
            </w:r>
          </w:p>
        </w:tc>
        <w:tc>
          <w:tcPr>
            <w:tcW w:w="635"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71%</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1</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0%</w:t>
            </w:r>
          </w:p>
        </w:tc>
      </w:tr>
      <w:tr w:rsidR="006404D3" w:rsidRPr="00E24A13" w:rsidTr="00297A9C">
        <w:tc>
          <w:tcPr>
            <w:tcW w:w="2578" w:type="pct"/>
            <w:shd w:val="clear" w:color="auto" w:fill="auto"/>
            <w:vAlign w:val="center"/>
            <w:hideMark/>
          </w:tcPr>
          <w:p w:rsidR="006404D3" w:rsidRPr="00E24A13" w:rsidRDefault="006404D3" w:rsidP="00297A9C">
            <w:pPr>
              <w:pStyle w:val="TableRow-left"/>
              <w:keepNext/>
              <w:keepLines/>
            </w:pPr>
            <w:r w:rsidRPr="00045350">
              <w:rPr>
                <w:i/>
              </w:rPr>
              <w:t>Ex ante</w:t>
            </w:r>
            <w:r w:rsidRPr="00E24A13">
              <w:t xml:space="preserve"> </w:t>
            </w:r>
            <w:r>
              <w:t>s</w:t>
            </w:r>
            <w:r w:rsidRPr="00E24A13">
              <w:t xml:space="preserve">avings higher than </w:t>
            </w:r>
            <w:r>
              <w:t>p</w:t>
            </w:r>
            <w:r w:rsidRPr="00E24A13">
              <w:t>re-</w:t>
            </w:r>
            <w:r>
              <w:t>u</w:t>
            </w:r>
            <w:r w:rsidRPr="00E24A13">
              <w:t xml:space="preserve">sage, or </w:t>
            </w:r>
            <w:r w:rsidRPr="00696A45">
              <w:rPr>
                <w:i/>
              </w:rPr>
              <w:t>ex ante</w:t>
            </w:r>
            <w:r w:rsidRPr="00E24A13">
              <w:t xml:space="preserve"> </w:t>
            </w:r>
            <w:r>
              <w:t>s</w:t>
            </w:r>
            <w:r w:rsidRPr="00E24A13">
              <w:t xml:space="preserve">avings &lt;1% of </w:t>
            </w:r>
            <w:r>
              <w:t>p</w:t>
            </w:r>
            <w:r w:rsidRPr="00E24A13">
              <w:t>re-</w:t>
            </w:r>
            <w:r>
              <w:t>u</w:t>
            </w:r>
            <w:r w:rsidRPr="00E24A13">
              <w:t>sage</w:t>
            </w:r>
          </w:p>
        </w:tc>
        <w:tc>
          <w:tcPr>
            <w:tcW w:w="699"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248</w:t>
            </w:r>
          </w:p>
        </w:tc>
        <w:tc>
          <w:tcPr>
            <w:tcW w:w="635"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69%</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5</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1%</w:t>
            </w:r>
          </w:p>
        </w:tc>
      </w:tr>
      <w:tr w:rsidR="006404D3" w:rsidRPr="00E24A13" w:rsidTr="00297A9C">
        <w:tc>
          <w:tcPr>
            <w:tcW w:w="2578" w:type="pct"/>
            <w:shd w:val="clear" w:color="auto" w:fill="auto"/>
            <w:vAlign w:val="center"/>
            <w:hideMark/>
          </w:tcPr>
          <w:p w:rsidR="006404D3" w:rsidRPr="00E24A13" w:rsidRDefault="006404D3" w:rsidP="00297A9C">
            <w:pPr>
              <w:pStyle w:val="TableRow-left"/>
              <w:keepNext/>
              <w:keepLines/>
            </w:pPr>
            <w:r w:rsidRPr="00E24A13">
              <w:t>Pre</w:t>
            </w:r>
            <w:r>
              <w:t>-</w:t>
            </w:r>
            <w:r w:rsidRPr="00E24A13">
              <w:t xml:space="preserve"> or </w:t>
            </w:r>
            <w:r>
              <w:t>p</w:t>
            </w:r>
            <w:r w:rsidRPr="00E24A13">
              <w:t>ost</w:t>
            </w:r>
            <w:r>
              <w:t>-p</w:t>
            </w:r>
            <w:r w:rsidRPr="00E24A13">
              <w:t xml:space="preserve">eriod </w:t>
            </w:r>
            <w:r>
              <w:t>u</w:t>
            </w:r>
            <w:r w:rsidRPr="00E24A13">
              <w:t>sage less than 200 therms</w:t>
            </w:r>
          </w:p>
        </w:tc>
        <w:tc>
          <w:tcPr>
            <w:tcW w:w="699"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240</w:t>
            </w:r>
          </w:p>
        </w:tc>
        <w:tc>
          <w:tcPr>
            <w:tcW w:w="635"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67%</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8</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2%</w:t>
            </w:r>
          </w:p>
        </w:tc>
      </w:tr>
      <w:tr w:rsidR="006404D3" w:rsidRPr="00E24A13" w:rsidTr="00297A9C">
        <w:tc>
          <w:tcPr>
            <w:tcW w:w="2578" w:type="pct"/>
            <w:shd w:val="clear" w:color="auto" w:fill="auto"/>
            <w:vAlign w:val="center"/>
            <w:hideMark/>
          </w:tcPr>
          <w:p w:rsidR="006404D3" w:rsidRPr="00E24A13" w:rsidRDefault="006404D3" w:rsidP="00297A9C">
            <w:pPr>
              <w:pStyle w:val="TableRow-left"/>
              <w:keepNext/>
              <w:keepLines/>
            </w:pPr>
            <w:r w:rsidRPr="00E24A13">
              <w:t xml:space="preserve">PRISM </w:t>
            </w:r>
            <w:r>
              <w:t>s</w:t>
            </w:r>
            <w:r w:rsidRPr="00E24A13">
              <w:t xml:space="preserve">creen: </w:t>
            </w:r>
            <w:r>
              <w:t>w</w:t>
            </w:r>
            <w:r w:rsidRPr="00E24A13">
              <w:t xml:space="preserve">rong </w:t>
            </w:r>
            <w:r>
              <w:t>s</w:t>
            </w:r>
            <w:r w:rsidRPr="00E24A13">
              <w:t xml:space="preserve">igns on PRISM </w:t>
            </w:r>
            <w:r>
              <w:t>p</w:t>
            </w:r>
            <w:r w:rsidRPr="00E24A13">
              <w:t>arameters</w:t>
            </w:r>
          </w:p>
        </w:tc>
        <w:tc>
          <w:tcPr>
            <w:tcW w:w="699"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240</w:t>
            </w:r>
          </w:p>
        </w:tc>
        <w:tc>
          <w:tcPr>
            <w:tcW w:w="635"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67%</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0</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0%</w:t>
            </w:r>
          </w:p>
        </w:tc>
      </w:tr>
      <w:tr w:rsidR="006404D3" w:rsidRPr="00E24A13" w:rsidTr="00130EBA">
        <w:tc>
          <w:tcPr>
            <w:tcW w:w="2578" w:type="pct"/>
            <w:tcBorders>
              <w:bottom w:val="single" w:sz="4" w:space="0" w:color="BFBFBF"/>
            </w:tcBorders>
            <w:shd w:val="clear" w:color="auto" w:fill="auto"/>
            <w:vAlign w:val="center"/>
            <w:hideMark/>
          </w:tcPr>
          <w:p w:rsidR="006404D3" w:rsidRPr="00E24A13" w:rsidRDefault="006404D3" w:rsidP="00297A9C">
            <w:pPr>
              <w:pStyle w:val="TableRow-left"/>
              <w:keepNext/>
              <w:keepLines/>
            </w:pPr>
            <w:r>
              <w:t>Account-level inspection of pre/post 12-month usage (e.g., vacancies, anomalies)</w:t>
            </w:r>
          </w:p>
        </w:tc>
        <w:tc>
          <w:tcPr>
            <w:tcW w:w="699" w:type="pct"/>
            <w:tcBorders>
              <w:bottom w:val="single" w:sz="4" w:space="0" w:color="BFBFBF"/>
            </w:tcBorders>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232</w:t>
            </w:r>
          </w:p>
        </w:tc>
        <w:tc>
          <w:tcPr>
            <w:tcW w:w="635" w:type="pct"/>
            <w:tcBorders>
              <w:bottom w:val="single" w:sz="4" w:space="0" w:color="BFBFBF"/>
            </w:tcBorders>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65%</w:t>
            </w:r>
          </w:p>
        </w:tc>
        <w:tc>
          <w:tcPr>
            <w:tcW w:w="544" w:type="pct"/>
            <w:tcBorders>
              <w:bottom w:val="single" w:sz="4" w:space="0" w:color="BFBFBF"/>
            </w:tcBorders>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8</w:t>
            </w:r>
          </w:p>
        </w:tc>
        <w:tc>
          <w:tcPr>
            <w:tcW w:w="544" w:type="pct"/>
            <w:tcBorders>
              <w:bottom w:val="single" w:sz="4" w:space="0" w:color="BFBFBF"/>
            </w:tcBorders>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2%</w:t>
            </w:r>
          </w:p>
        </w:tc>
      </w:tr>
      <w:tr w:rsidR="006404D3" w:rsidRPr="00E24A13" w:rsidTr="00130EBA">
        <w:tc>
          <w:tcPr>
            <w:tcW w:w="2578" w:type="pct"/>
            <w:shd w:val="clear" w:color="000000" w:fill="auto"/>
            <w:vAlign w:val="center"/>
            <w:hideMark/>
          </w:tcPr>
          <w:p w:rsidR="006404D3" w:rsidRPr="00E24A13" w:rsidRDefault="006404D3" w:rsidP="00297A9C">
            <w:pPr>
              <w:pStyle w:val="TableRow-left"/>
              <w:keepNext/>
              <w:keepLines/>
              <w:rPr>
                <w:b/>
                <w:bCs/>
                <w:color w:val="005DAA"/>
              </w:rPr>
            </w:pPr>
            <w:r w:rsidRPr="00E24A13">
              <w:rPr>
                <w:b/>
                <w:bCs/>
                <w:color w:val="005DAA"/>
              </w:rPr>
              <w:t xml:space="preserve">Final </w:t>
            </w:r>
            <w:r w:rsidR="009A6940">
              <w:rPr>
                <w:b/>
                <w:bCs/>
                <w:color w:val="005DAA"/>
              </w:rPr>
              <w:t>A</w:t>
            </w:r>
            <w:r w:rsidR="009A6940" w:rsidRPr="00E24A13">
              <w:rPr>
                <w:b/>
                <w:bCs/>
                <w:color w:val="005DAA"/>
              </w:rPr>
              <w:t xml:space="preserve">nalysis </w:t>
            </w:r>
            <w:r w:rsidR="009A6940">
              <w:rPr>
                <w:b/>
                <w:bCs/>
                <w:color w:val="005DAA"/>
              </w:rPr>
              <w:t>G</w:t>
            </w:r>
            <w:r w:rsidR="009A6940" w:rsidRPr="00E24A13">
              <w:rPr>
                <w:b/>
                <w:bCs/>
                <w:color w:val="005DAA"/>
              </w:rPr>
              <w:t>roup</w:t>
            </w:r>
          </w:p>
        </w:tc>
        <w:tc>
          <w:tcPr>
            <w:tcW w:w="699" w:type="pct"/>
            <w:shd w:val="clear" w:color="000000" w:fill="auto"/>
            <w:vAlign w:val="center"/>
            <w:hideMark/>
          </w:tcPr>
          <w:p w:rsidR="006404D3" w:rsidRPr="00E24A13" w:rsidRDefault="006404D3" w:rsidP="00297A9C">
            <w:pPr>
              <w:pStyle w:val="TableRow-right"/>
              <w:keepNext/>
              <w:keepLines/>
              <w:rPr>
                <w:b/>
                <w:bCs/>
                <w:color w:val="005DAA"/>
              </w:rPr>
            </w:pPr>
            <w:r>
              <w:rPr>
                <w:rFonts w:ascii="Calibri" w:hAnsi="Calibri"/>
                <w:b/>
                <w:bCs/>
                <w:color w:val="005DAA"/>
                <w:szCs w:val="20"/>
              </w:rPr>
              <w:t>232</w:t>
            </w:r>
          </w:p>
        </w:tc>
        <w:tc>
          <w:tcPr>
            <w:tcW w:w="635" w:type="pct"/>
            <w:shd w:val="clear" w:color="000000" w:fill="auto"/>
            <w:vAlign w:val="center"/>
            <w:hideMark/>
          </w:tcPr>
          <w:p w:rsidR="006404D3" w:rsidRPr="00E24A13" w:rsidRDefault="006404D3" w:rsidP="00297A9C">
            <w:pPr>
              <w:pStyle w:val="TableRow-right"/>
              <w:keepNext/>
              <w:keepLines/>
              <w:rPr>
                <w:b/>
                <w:bCs/>
                <w:color w:val="005DAA"/>
              </w:rPr>
            </w:pPr>
            <w:r>
              <w:rPr>
                <w:rFonts w:ascii="Calibri" w:hAnsi="Calibri"/>
                <w:b/>
                <w:bCs/>
                <w:color w:val="005DAA"/>
                <w:szCs w:val="20"/>
              </w:rPr>
              <w:t>65%</w:t>
            </w:r>
          </w:p>
        </w:tc>
        <w:tc>
          <w:tcPr>
            <w:tcW w:w="544" w:type="pct"/>
            <w:shd w:val="clear" w:color="000000" w:fill="auto"/>
            <w:vAlign w:val="center"/>
            <w:hideMark/>
          </w:tcPr>
          <w:p w:rsidR="006404D3" w:rsidRPr="00E24A13" w:rsidRDefault="006404D3" w:rsidP="00297A9C">
            <w:pPr>
              <w:pStyle w:val="TableRow-right"/>
              <w:keepNext/>
              <w:keepLines/>
              <w:rPr>
                <w:b/>
                <w:bCs/>
                <w:color w:val="005DAA"/>
              </w:rPr>
            </w:pPr>
            <w:r>
              <w:rPr>
                <w:rFonts w:ascii="Calibri" w:hAnsi="Calibri"/>
                <w:b/>
                <w:bCs/>
                <w:color w:val="005DAA"/>
                <w:szCs w:val="20"/>
              </w:rPr>
              <w:t>126</w:t>
            </w:r>
          </w:p>
        </w:tc>
        <w:tc>
          <w:tcPr>
            <w:tcW w:w="544" w:type="pct"/>
            <w:shd w:val="clear" w:color="000000" w:fill="auto"/>
            <w:vAlign w:val="center"/>
            <w:hideMark/>
          </w:tcPr>
          <w:p w:rsidR="006404D3" w:rsidRPr="00E24A13" w:rsidRDefault="006404D3" w:rsidP="00297A9C">
            <w:pPr>
              <w:pStyle w:val="TableRow-right"/>
              <w:keepNext/>
              <w:keepLines/>
              <w:rPr>
                <w:b/>
                <w:bCs/>
                <w:color w:val="005DAA"/>
              </w:rPr>
            </w:pPr>
            <w:r>
              <w:rPr>
                <w:rFonts w:ascii="Calibri" w:hAnsi="Calibri"/>
                <w:b/>
                <w:bCs/>
                <w:color w:val="005DAA"/>
                <w:szCs w:val="20"/>
              </w:rPr>
              <w:t>35%</w:t>
            </w:r>
          </w:p>
        </w:tc>
      </w:tr>
    </w:tbl>
    <w:p w:rsidR="006404D3" w:rsidRDefault="006404D3" w:rsidP="006404D3">
      <w:pPr>
        <w:pStyle w:val="NormalAfterTablesandFigures"/>
      </w:pPr>
    </w:p>
    <w:p w:rsidR="006404D3" w:rsidRDefault="006404D3" w:rsidP="006404D3">
      <w:pPr>
        <w:pStyle w:val="Caption"/>
      </w:pPr>
      <w:r>
        <w:t xml:space="preserve">Table </w:t>
      </w:r>
      <w:r w:rsidR="002506E1">
        <w:fldChar w:fldCharType="begin"/>
      </w:r>
      <w:r w:rsidR="002506E1">
        <w:instrText xml:space="preserve"> SEQ Table \* ARABIC </w:instrText>
      </w:r>
      <w:r w:rsidR="002506E1">
        <w:fldChar w:fldCharType="separate"/>
      </w:r>
      <w:r w:rsidR="00CD20CF">
        <w:rPr>
          <w:noProof/>
        </w:rPr>
        <w:t>100</w:t>
      </w:r>
      <w:r w:rsidR="002506E1">
        <w:rPr>
          <w:noProof/>
        </w:rPr>
        <w:fldChar w:fldCharType="end"/>
      </w:r>
      <w:r>
        <w:t>. Participant Attrition: Electric Analysis (HES-IE SP4)</w:t>
      </w:r>
      <w:r w:rsidDel="00EF3BBF">
        <w:t xml:space="preserve">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937"/>
        <w:gridCol w:w="1339"/>
        <w:gridCol w:w="1216"/>
        <w:gridCol w:w="1042"/>
        <w:gridCol w:w="1042"/>
      </w:tblGrid>
      <w:tr w:rsidR="006404D3" w:rsidRPr="00E24A13" w:rsidTr="00297A9C">
        <w:tc>
          <w:tcPr>
            <w:tcW w:w="2578" w:type="pct"/>
            <w:shd w:val="clear" w:color="000000" w:fill="005DAA"/>
            <w:vAlign w:val="center"/>
            <w:hideMark/>
          </w:tcPr>
          <w:p w:rsidR="006404D3" w:rsidRPr="00E24A13" w:rsidRDefault="006404D3" w:rsidP="00297A9C">
            <w:pPr>
              <w:pStyle w:val="TableHeading-left"/>
              <w:keepNext/>
              <w:keepLines/>
              <w:jc w:val="center"/>
            </w:pPr>
            <w:r w:rsidRPr="00E24A13">
              <w:t>Screen</w:t>
            </w:r>
          </w:p>
        </w:tc>
        <w:tc>
          <w:tcPr>
            <w:tcW w:w="699" w:type="pct"/>
            <w:shd w:val="clear" w:color="000000" w:fill="005DAA"/>
            <w:vAlign w:val="center"/>
            <w:hideMark/>
          </w:tcPr>
          <w:p w:rsidR="006404D3" w:rsidRPr="00E24A13" w:rsidRDefault="006404D3" w:rsidP="00297A9C">
            <w:pPr>
              <w:pStyle w:val="TableHeading-centered"/>
              <w:keepNext/>
              <w:keepLines/>
            </w:pPr>
            <w:r w:rsidRPr="00E24A13">
              <w:t>Participants Remaining</w:t>
            </w:r>
          </w:p>
        </w:tc>
        <w:tc>
          <w:tcPr>
            <w:tcW w:w="635" w:type="pct"/>
            <w:shd w:val="clear" w:color="000000" w:fill="005DAA"/>
            <w:vAlign w:val="center"/>
            <w:hideMark/>
          </w:tcPr>
          <w:p w:rsidR="006404D3" w:rsidRPr="00E24A13" w:rsidRDefault="006404D3" w:rsidP="00297A9C">
            <w:pPr>
              <w:pStyle w:val="TableHeading-centered"/>
              <w:keepNext/>
              <w:keepLines/>
            </w:pPr>
            <w:r w:rsidRPr="00E24A13">
              <w:t>Percent Remaining</w:t>
            </w:r>
          </w:p>
        </w:tc>
        <w:tc>
          <w:tcPr>
            <w:tcW w:w="544" w:type="pct"/>
            <w:shd w:val="clear" w:color="000000" w:fill="005DAA"/>
            <w:vAlign w:val="center"/>
            <w:hideMark/>
          </w:tcPr>
          <w:p w:rsidR="006404D3" w:rsidRPr="00E24A13" w:rsidRDefault="006404D3" w:rsidP="00297A9C">
            <w:pPr>
              <w:pStyle w:val="TableHeading-centered"/>
              <w:keepNext/>
              <w:keepLines/>
            </w:pPr>
            <w:r w:rsidRPr="00E24A13">
              <w:t>Number Dropped</w:t>
            </w:r>
          </w:p>
        </w:tc>
        <w:tc>
          <w:tcPr>
            <w:tcW w:w="544" w:type="pct"/>
            <w:shd w:val="clear" w:color="000000" w:fill="005DAA"/>
            <w:vAlign w:val="center"/>
            <w:hideMark/>
          </w:tcPr>
          <w:p w:rsidR="006404D3" w:rsidRPr="00E24A13" w:rsidRDefault="006404D3" w:rsidP="00297A9C">
            <w:pPr>
              <w:pStyle w:val="TableHeading-centered"/>
              <w:keepNext/>
              <w:keepLines/>
            </w:pPr>
            <w:r w:rsidRPr="00E24A13">
              <w:t>Percent Dropped</w:t>
            </w:r>
          </w:p>
        </w:tc>
      </w:tr>
      <w:tr w:rsidR="006404D3" w:rsidRPr="00E24A13" w:rsidTr="00297A9C">
        <w:tc>
          <w:tcPr>
            <w:tcW w:w="2578" w:type="pct"/>
            <w:shd w:val="clear" w:color="auto" w:fill="auto"/>
            <w:vAlign w:val="center"/>
            <w:hideMark/>
          </w:tcPr>
          <w:p w:rsidR="006404D3" w:rsidRPr="00E24A13" w:rsidRDefault="006404D3" w:rsidP="00297A9C">
            <w:pPr>
              <w:pStyle w:val="TableRow-left"/>
              <w:keepNext/>
              <w:keepLines/>
            </w:pPr>
            <w:r w:rsidRPr="00E24A13">
              <w:t xml:space="preserve">Original </w:t>
            </w:r>
            <w:r>
              <w:t>e</w:t>
            </w:r>
            <w:r w:rsidRPr="00E24A13">
              <w:t xml:space="preserve">lectric </w:t>
            </w:r>
            <w:r>
              <w:t>a</w:t>
            </w:r>
            <w:r w:rsidRPr="00E24A13">
              <w:t>ccounts</w:t>
            </w:r>
          </w:p>
        </w:tc>
        <w:tc>
          <w:tcPr>
            <w:tcW w:w="699"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5,014</w:t>
            </w:r>
          </w:p>
        </w:tc>
        <w:tc>
          <w:tcPr>
            <w:tcW w:w="635"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100%</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0</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0%</w:t>
            </w:r>
          </w:p>
        </w:tc>
      </w:tr>
      <w:tr w:rsidR="006404D3" w:rsidRPr="00E24A13" w:rsidTr="00297A9C">
        <w:tc>
          <w:tcPr>
            <w:tcW w:w="2578" w:type="pct"/>
            <w:shd w:val="clear" w:color="auto" w:fill="auto"/>
            <w:vAlign w:val="center"/>
            <w:hideMark/>
          </w:tcPr>
          <w:p w:rsidR="006404D3" w:rsidRPr="00E24A13" w:rsidRDefault="006404D3" w:rsidP="00297A9C">
            <w:pPr>
              <w:pStyle w:val="TableRow-left"/>
              <w:keepNext/>
              <w:keepLines/>
            </w:pPr>
            <w:r w:rsidRPr="00E24A13">
              <w:t xml:space="preserve">Matched to </w:t>
            </w:r>
            <w:r>
              <w:t>b</w:t>
            </w:r>
            <w:r w:rsidRPr="00E24A13">
              <w:t xml:space="preserve">illing </w:t>
            </w:r>
            <w:r>
              <w:t>d</w:t>
            </w:r>
            <w:r w:rsidRPr="00E24A13">
              <w:t xml:space="preserve">ata </w:t>
            </w:r>
            <w:r>
              <w:t>p</w:t>
            </w:r>
            <w:r w:rsidRPr="00E24A13">
              <w:t>rovided</w:t>
            </w:r>
          </w:p>
        </w:tc>
        <w:tc>
          <w:tcPr>
            <w:tcW w:w="699"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4,938</w:t>
            </w:r>
          </w:p>
        </w:tc>
        <w:tc>
          <w:tcPr>
            <w:tcW w:w="635"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98%</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76</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2%</w:t>
            </w:r>
          </w:p>
        </w:tc>
      </w:tr>
      <w:tr w:rsidR="006404D3" w:rsidRPr="00E24A13" w:rsidTr="00297A9C">
        <w:tc>
          <w:tcPr>
            <w:tcW w:w="2578" w:type="pct"/>
            <w:shd w:val="clear" w:color="auto" w:fill="auto"/>
            <w:vAlign w:val="center"/>
            <w:hideMark/>
          </w:tcPr>
          <w:p w:rsidR="006404D3" w:rsidRPr="00E24A13" w:rsidRDefault="006404D3" w:rsidP="00297A9C">
            <w:pPr>
              <w:pStyle w:val="TableRow-left"/>
              <w:keepNext/>
              <w:keepLines/>
            </w:pPr>
            <w:r w:rsidRPr="00E24A13">
              <w:t xml:space="preserve">Insufficient </w:t>
            </w:r>
            <w:r>
              <w:t>p</w:t>
            </w:r>
            <w:r w:rsidRPr="00E24A13">
              <w:t xml:space="preserve">re- and </w:t>
            </w:r>
            <w:r>
              <w:t>p</w:t>
            </w:r>
            <w:r w:rsidRPr="00E24A13">
              <w:t>ost-</w:t>
            </w:r>
            <w:r>
              <w:t>p</w:t>
            </w:r>
            <w:r w:rsidRPr="00E24A13">
              <w:t xml:space="preserve">eriod </w:t>
            </w:r>
            <w:r>
              <w:t>m</w:t>
            </w:r>
            <w:r w:rsidRPr="00E24A13">
              <w:t>onths</w:t>
            </w:r>
          </w:p>
        </w:tc>
        <w:tc>
          <w:tcPr>
            <w:tcW w:w="699"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3,658</w:t>
            </w:r>
          </w:p>
        </w:tc>
        <w:tc>
          <w:tcPr>
            <w:tcW w:w="635"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73%</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1,280</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26%</w:t>
            </w:r>
          </w:p>
        </w:tc>
      </w:tr>
      <w:tr w:rsidR="006404D3" w:rsidRPr="00E24A13" w:rsidTr="00297A9C">
        <w:tc>
          <w:tcPr>
            <w:tcW w:w="2578" w:type="pct"/>
            <w:shd w:val="clear" w:color="auto" w:fill="auto"/>
            <w:vAlign w:val="center"/>
            <w:hideMark/>
          </w:tcPr>
          <w:p w:rsidR="006404D3" w:rsidRPr="00E24A13" w:rsidRDefault="006404D3" w:rsidP="00297A9C">
            <w:pPr>
              <w:pStyle w:val="TableRow-left"/>
              <w:keepNext/>
              <w:keepLines/>
            </w:pPr>
            <w:r w:rsidRPr="00E24A13">
              <w:t xml:space="preserve">Changed </w:t>
            </w:r>
            <w:r>
              <w:t>u</w:t>
            </w:r>
            <w:r w:rsidRPr="00E24A13">
              <w:t xml:space="preserve">sage from the </w:t>
            </w:r>
            <w:r>
              <w:t>p</w:t>
            </w:r>
            <w:r w:rsidRPr="00E24A13">
              <w:t xml:space="preserve">re to </w:t>
            </w:r>
            <w:r>
              <w:t>p</w:t>
            </w:r>
            <w:r w:rsidRPr="00E24A13">
              <w:t>ost (&gt; 70%)</w:t>
            </w:r>
          </w:p>
        </w:tc>
        <w:tc>
          <w:tcPr>
            <w:tcW w:w="699"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3,625</w:t>
            </w:r>
          </w:p>
        </w:tc>
        <w:tc>
          <w:tcPr>
            <w:tcW w:w="635"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72%</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33</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1%</w:t>
            </w:r>
          </w:p>
        </w:tc>
      </w:tr>
      <w:tr w:rsidR="006404D3" w:rsidRPr="00E24A13" w:rsidTr="00297A9C">
        <w:tc>
          <w:tcPr>
            <w:tcW w:w="2578" w:type="pct"/>
            <w:shd w:val="clear" w:color="auto" w:fill="auto"/>
            <w:vAlign w:val="center"/>
            <w:hideMark/>
          </w:tcPr>
          <w:p w:rsidR="006404D3" w:rsidRPr="00E24A13" w:rsidRDefault="006404D3" w:rsidP="00297A9C">
            <w:pPr>
              <w:pStyle w:val="TableRow-left"/>
              <w:keepNext/>
              <w:keepLines/>
            </w:pPr>
            <w:r w:rsidRPr="00A67235">
              <w:rPr>
                <w:i/>
              </w:rPr>
              <w:t>Ex ante</w:t>
            </w:r>
            <w:r w:rsidRPr="00E24A13">
              <w:t xml:space="preserve"> </w:t>
            </w:r>
            <w:r>
              <w:t>s</w:t>
            </w:r>
            <w:r w:rsidRPr="00E24A13">
              <w:t xml:space="preserve">avings higher than </w:t>
            </w:r>
            <w:r>
              <w:t>p</w:t>
            </w:r>
            <w:r w:rsidRPr="00E24A13">
              <w:t>re-</w:t>
            </w:r>
            <w:r>
              <w:t>u</w:t>
            </w:r>
            <w:r w:rsidRPr="00E24A13">
              <w:t xml:space="preserve">sage, or </w:t>
            </w:r>
            <w:r w:rsidRPr="00A67235">
              <w:rPr>
                <w:i/>
              </w:rPr>
              <w:t>ex ante</w:t>
            </w:r>
            <w:r w:rsidRPr="00E24A13">
              <w:t xml:space="preserve"> </w:t>
            </w:r>
            <w:r>
              <w:t>s</w:t>
            </w:r>
            <w:r w:rsidRPr="00E24A13">
              <w:t xml:space="preserve">avings &lt;1% of </w:t>
            </w:r>
            <w:r>
              <w:t>p</w:t>
            </w:r>
            <w:r w:rsidRPr="00E24A13">
              <w:t>re-</w:t>
            </w:r>
            <w:r>
              <w:t>u</w:t>
            </w:r>
            <w:r w:rsidRPr="00E24A13">
              <w:t>sage</w:t>
            </w:r>
          </w:p>
        </w:tc>
        <w:tc>
          <w:tcPr>
            <w:tcW w:w="699"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3,445</w:t>
            </w:r>
          </w:p>
        </w:tc>
        <w:tc>
          <w:tcPr>
            <w:tcW w:w="635"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69%</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180</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4%</w:t>
            </w:r>
          </w:p>
        </w:tc>
      </w:tr>
      <w:tr w:rsidR="006404D3" w:rsidRPr="00E24A13" w:rsidTr="00297A9C">
        <w:tc>
          <w:tcPr>
            <w:tcW w:w="2578" w:type="pct"/>
            <w:shd w:val="clear" w:color="auto" w:fill="auto"/>
            <w:vAlign w:val="center"/>
            <w:hideMark/>
          </w:tcPr>
          <w:p w:rsidR="006404D3" w:rsidRPr="00E24A13" w:rsidRDefault="006404D3" w:rsidP="00297A9C">
            <w:pPr>
              <w:pStyle w:val="TableRow-left"/>
              <w:keepNext/>
              <w:keepLines/>
            </w:pPr>
            <w:r w:rsidRPr="00E24A13">
              <w:t>Pre</w:t>
            </w:r>
            <w:r>
              <w:t>-</w:t>
            </w:r>
            <w:r w:rsidRPr="00E24A13">
              <w:t xml:space="preserve"> or </w:t>
            </w:r>
            <w:r>
              <w:t>p</w:t>
            </w:r>
            <w:r w:rsidRPr="00E24A13">
              <w:t>ost</w:t>
            </w:r>
            <w:r>
              <w:t>-p</w:t>
            </w:r>
            <w:r w:rsidRPr="00E24A13">
              <w:t xml:space="preserve">eriod </w:t>
            </w:r>
            <w:r>
              <w:t>u</w:t>
            </w:r>
            <w:r w:rsidRPr="00E24A13">
              <w:t>sage less than 1000 kWh</w:t>
            </w:r>
          </w:p>
        </w:tc>
        <w:tc>
          <w:tcPr>
            <w:tcW w:w="699"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3,422</w:t>
            </w:r>
          </w:p>
        </w:tc>
        <w:tc>
          <w:tcPr>
            <w:tcW w:w="635"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68%</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23</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0%</w:t>
            </w:r>
          </w:p>
        </w:tc>
      </w:tr>
      <w:tr w:rsidR="006404D3" w:rsidRPr="00E24A13" w:rsidTr="00297A9C">
        <w:tc>
          <w:tcPr>
            <w:tcW w:w="2578" w:type="pct"/>
            <w:shd w:val="clear" w:color="auto" w:fill="auto"/>
            <w:vAlign w:val="center"/>
            <w:hideMark/>
          </w:tcPr>
          <w:p w:rsidR="006404D3" w:rsidRPr="00E24A13" w:rsidRDefault="006404D3" w:rsidP="00297A9C">
            <w:pPr>
              <w:pStyle w:val="TableRow-left"/>
              <w:keepNext/>
              <w:keepLines/>
            </w:pPr>
            <w:r w:rsidRPr="00E24A13">
              <w:t xml:space="preserve">PRISM </w:t>
            </w:r>
            <w:r>
              <w:t>s</w:t>
            </w:r>
            <w:r w:rsidRPr="00E24A13">
              <w:t xml:space="preserve">creen: </w:t>
            </w:r>
            <w:r>
              <w:t>w</w:t>
            </w:r>
            <w:r w:rsidRPr="00E24A13">
              <w:t xml:space="preserve">rong </w:t>
            </w:r>
            <w:r>
              <w:t>s</w:t>
            </w:r>
            <w:r w:rsidRPr="00E24A13">
              <w:t xml:space="preserve">igns on PRISM </w:t>
            </w:r>
            <w:r>
              <w:t>p</w:t>
            </w:r>
            <w:r w:rsidRPr="00E24A13">
              <w:t>arameters</w:t>
            </w:r>
          </w:p>
        </w:tc>
        <w:tc>
          <w:tcPr>
            <w:tcW w:w="699"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3,384</w:t>
            </w:r>
          </w:p>
        </w:tc>
        <w:tc>
          <w:tcPr>
            <w:tcW w:w="635"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67%</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38</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1%</w:t>
            </w:r>
          </w:p>
        </w:tc>
      </w:tr>
      <w:tr w:rsidR="006404D3" w:rsidRPr="00E24A13" w:rsidTr="00130EBA">
        <w:tc>
          <w:tcPr>
            <w:tcW w:w="2578" w:type="pct"/>
            <w:tcBorders>
              <w:bottom w:val="single" w:sz="4" w:space="0" w:color="BFBFBF"/>
            </w:tcBorders>
            <w:shd w:val="clear" w:color="auto" w:fill="auto"/>
            <w:vAlign w:val="center"/>
            <w:hideMark/>
          </w:tcPr>
          <w:p w:rsidR="006404D3" w:rsidRPr="00E24A13" w:rsidRDefault="006404D3" w:rsidP="00297A9C">
            <w:pPr>
              <w:pStyle w:val="TableRow-left"/>
              <w:keepNext/>
              <w:keepLines/>
            </w:pPr>
            <w:r>
              <w:t>Account-level inspection of pre/post 12-month usage (e.g., vacancies, anomalies)</w:t>
            </w:r>
          </w:p>
        </w:tc>
        <w:tc>
          <w:tcPr>
            <w:tcW w:w="699" w:type="pct"/>
            <w:tcBorders>
              <w:bottom w:val="single" w:sz="4" w:space="0" w:color="BFBFBF"/>
            </w:tcBorders>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2,670</w:t>
            </w:r>
          </w:p>
        </w:tc>
        <w:tc>
          <w:tcPr>
            <w:tcW w:w="635" w:type="pct"/>
            <w:tcBorders>
              <w:bottom w:val="single" w:sz="4" w:space="0" w:color="BFBFBF"/>
            </w:tcBorders>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53%</w:t>
            </w:r>
          </w:p>
        </w:tc>
        <w:tc>
          <w:tcPr>
            <w:tcW w:w="544" w:type="pct"/>
            <w:tcBorders>
              <w:bottom w:val="single" w:sz="4" w:space="0" w:color="BFBFBF"/>
            </w:tcBorders>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714</w:t>
            </w:r>
          </w:p>
        </w:tc>
        <w:tc>
          <w:tcPr>
            <w:tcW w:w="544" w:type="pct"/>
            <w:tcBorders>
              <w:bottom w:val="single" w:sz="4" w:space="0" w:color="BFBFBF"/>
            </w:tcBorders>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14%</w:t>
            </w:r>
          </w:p>
        </w:tc>
      </w:tr>
      <w:tr w:rsidR="006404D3" w:rsidRPr="00E24A13" w:rsidTr="00130EBA">
        <w:tc>
          <w:tcPr>
            <w:tcW w:w="2578" w:type="pct"/>
            <w:shd w:val="clear" w:color="000000" w:fill="auto"/>
            <w:vAlign w:val="center"/>
            <w:hideMark/>
          </w:tcPr>
          <w:p w:rsidR="006404D3" w:rsidRPr="00E24A13" w:rsidRDefault="006404D3" w:rsidP="00297A9C">
            <w:pPr>
              <w:pStyle w:val="TableRow-left"/>
              <w:keepNext/>
              <w:keepLines/>
              <w:rPr>
                <w:b/>
                <w:bCs/>
                <w:color w:val="005DAA"/>
              </w:rPr>
            </w:pPr>
            <w:r w:rsidRPr="00E24A13">
              <w:rPr>
                <w:b/>
                <w:bCs/>
                <w:color w:val="005DAA"/>
              </w:rPr>
              <w:t xml:space="preserve">Final </w:t>
            </w:r>
            <w:r w:rsidR="009A6940">
              <w:rPr>
                <w:b/>
                <w:bCs/>
                <w:color w:val="005DAA"/>
              </w:rPr>
              <w:t>A</w:t>
            </w:r>
            <w:r w:rsidR="009A6940" w:rsidRPr="00E24A13">
              <w:rPr>
                <w:b/>
                <w:bCs/>
                <w:color w:val="005DAA"/>
              </w:rPr>
              <w:t xml:space="preserve">nalysis </w:t>
            </w:r>
            <w:r w:rsidR="009A6940">
              <w:rPr>
                <w:b/>
                <w:bCs/>
                <w:color w:val="005DAA"/>
              </w:rPr>
              <w:t>G</w:t>
            </w:r>
            <w:r w:rsidR="009A6940" w:rsidRPr="00E24A13">
              <w:rPr>
                <w:b/>
                <w:bCs/>
                <w:color w:val="005DAA"/>
              </w:rPr>
              <w:t>roup</w:t>
            </w:r>
          </w:p>
        </w:tc>
        <w:tc>
          <w:tcPr>
            <w:tcW w:w="699" w:type="pct"/>
            <w:shd w:val="clear" w:color="000000" w:fill="auto"/>
            <w:vAlign w:val="center"/>
            <w:hideMark/>
          </w:tcPr>
          <w:p w:rsidR="006404D3" w:rsidRPr="00E24A13" w:rsidRDefault="006404D3" w:rsidP="00297A9C">
            <w:pPr>
              <w:pStyle w:val="TableRow-right"/>
              <w:keepNext/>
              <w:keepLines/>
              <w:rPr>
                <w:b/>
                <w:bCs/>
                <w:color w:val="005DAA"/>
              </w:rPr>
            </w:pPr>
            <w:r>
              <w:rPr>
                <w:rFonts w:ascii="Calibri" w:hAnsi="Calibri"/>
                <w:b/>
                <w:bCs/>
                <w:color w:val="005DAA"/>
                <w:szCs w:val="20"/>
              </w:rPr>
              <w:t>2,670</w:t>
            </w:r>
          </w:p>
        </w:tc>
        <w:tc>
          <w:tcPr>
            <w:tcW w:w="635" w:type="pct"/>
            <w:shd w:val="clear" w:color="000000" w:fill="auto"/>
            <w:vAlign w:val="center"/>
            <w:hideMark/>
          </w:tcPr>
          <w:p w:rsidR="006404D3" w:rsidRPr="00E24A13" w:rsidRDefault="006404D3" w:rsidP="00297A9C">
            <w:pPr>
              <w:pStyle w:val="TableRow-right"/>
              <w:keepNext/>
              <w:keepLines/>
              <w:rPr>
                <w:b/>
                <w:bCs/>
                <w:color w:val="005DAA"/>
              </w:rPr>
            </w:pPr>
            <w:r>
              <w:rPr>
                <w:rFonts w:ascii="Calibri" w:hAnsi="Calibri"/>
                <w:b/>
                <w:bCs/>
                <w:color w:val="005DAA"/>
                <w:szCs w:val="20"/>
              </w:rPr>
              <w:t>53%</w:t>
            </w:r>
          </w:p>
        </w:tc>
        <w:tc>
          <w:tcPr>
            <w:tcW w:w="544" w:type="pct"/>
            <w:shd w:val="clear" w:color="000000" w:fill="auto"/>
            <w:vAlign w:val="center"/>
            <w:hideMark/>
          </w:tcPr>
          <w:p w:rsidR="006404D3" w:rsidRPr="00E24A13" w:rsidRDefault="006404D3" w:rsidP="00297A9C">
            <w:pPr>
              <w:pStyle w:val="TableRow-right"/>
              <w:keepNext/>
              <w:keepLines/>
              <w:rPr>
                <w:b/>
                <w:bCs/>
                <w:color w:val="005DAA"/>
              </w:rPr>
            </w:pPr>
            <w:r>
              <w:rPr>
                <w:rFonts w:ascii="Calibri" w:hAnsi="Calibri"/>
                <w:b/>
                <w:bCs/>
                <w:color w:val="005DAA"/>
                <w:szCs w:val="20"/>
              </w:rPr>
              <w:t>2,344</w:t>
            </w:r>
          </w:p>
        </w:tc>
        <w:tc>
          <w:tcPr>
            <w:tcW w:w="544" w:type="pct"/>
            <w:shd w:val="clear" w:color="000000" w:fill="auto"/>
            <w:vAlign w:val="center"/>
            <w:hideMark/>
          </w:tcPr>
          <w:p w:rsidR="006404D3" w:rsidRPr="00E24A13" w:rsidRDefault="006404D3" w:rsidP="00297A9C">
            <w:pPr>
              <w:pStyle w:val="TableRow-right"/>
              <w:keepNext/>
              <w:keepLines/>
              <w:rPr>
                <w:b/>
                <w:bCs/>
                <w:color w:val="005DAA"/>
              </w:rPr>
            </w:pPr>
            <w:r>
              <w:rPr>
                <w:rFonts w:ascii="Calibri" w:hAnsi="Calibri"/>
                <w:b/>
                <w:bCs/>
                <w:color w:val="005DAA"/>
                <w:szCs w:val="20"/>
              </w:rPr>
              <w:t>47%</w:t>
            </w:r>
          </w:p>
        </w:tc>
      </w:tr>
    </w:tbl>
    <w:p w:rsidR="006404D3" w:rsidRDefault="006404D3" w:rsidP="006404D3">
      <w:pPr>
        <w:pStyle w:val="NormalAfterTablesandFigures"/>
      </w:pPr>
    </w:p>
    <w:p w:rsidR="006404D3" w:rsidRDefault="006404D3" w:rsidP="006404D3">
      <w:pPr>
        <w:pStyle w:val="Caption"/>
      </w:pPr>
      <w:r>
        <w:lastRenderedPageBreak/>
        <w:t xml:space="preserve">Table </w:t>
      </w:r>
      <w:r w:rsidR="002506E1">
        <w:fldChar w:fldCharType="begin"/>
      </w:r>
      <w:r w:rsidR="002506E1">
        <w:instrText xml:space="preserve"> SEQ Table \* ARABIC </w:instrText>
      </w:r>
      <w:r w:rsidR="002506E1">
        <w:fldChar w:fldCharType="separate"/>
      </w:r>
      <w:r w:rsidR="00CD20CF">
        <w:rPr>
          <w:noProof/>
        </w:rPr>
        <w:t>101</w:t>
      </w:r>
      <w:r w:rsidR="002506E1">
        <w:rPr>
          <w:noProof/>
        </w:rPr>
        <w:fldChar w:fldCharType="end"/>
      </w:r>
      <w:r>
        <w:t>. Comparison Group Attrition: Electric Analysis (HES-IE SP4)</w:t>
      </w:r>
      <w:r w:rsidDel="00EF3BBF">
        <w:t xml:space="preserve">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937"/>
        <w:gridCol w:w="1339"/>
        <w:gridCol w:w="1216"/>
        <w:gridCol w:w="1042"/>
        <w:gridCol w:w="1042"/>
      </w:tblGrid>
      <w:tr w:rsidR="006404D3" w:rsidRPr="00E24A13" w:rsidTr="00297A9C">
        <w:tc>
          <w:tcPr>
            <w:tcW w:w="2578" w:type="pct"/>
            <w:shd w:val="clear" w:color="000000" w:fill="005DAA"/>
            <w:vAlign w:val="center"/>
            <w:hideMark/>
          </w:tcPr>
          <w:p w:rsidR="006404D3" w:rsidRPr="00E24A13" w:rsidRDefault="006404D3" w:rsidP="00297A9C">
            <w:pPr>
              <w:pStyle w:val="TableHeading-left"/>
              <w:keepNext/>
              <w:keepLines/>
              <w:jc w:val="center"/>
            </w:pPr>
            <w:r w:rsidRPr="00E24A13">
              <w:t>Screen</w:t>
            </w:r>
          </w:p>
        </w:tc>
        <w:tc>
          <w:tcPr>
            <w:tcW w:w="699" w:type="pct"/>
            <w:shd w:val="clear" w:color="000000" w:fill="005DAA"/>
            <w:vAlign w:val="center"/>
            <w:hideMark/>
          </w:tcPr>
          <w:p w:rsidR="006404D3" w:rsidRPr="00E24A13" w:rsidRDefault="006404D3" w:rsidP="00297A9C">
            <w:pPr>
              <w:pStyle w:val="TableHeading-centered"/>
              <w:keepNext/>
              <w:keepLines/>
            </w:pPr>
            <w:r w:rsidRPr="00E24A13">
              <w:t>Participants Remaining</w:t>
            </w:r>
          </w:p>
        </w:tc>
        <w:tc>
          <w:tcPr>
            <w:tcW w:w="635" w:type="pct"/>
            <w:shd w:val="clear" w:color="000000" w:fill="005DAA"/>
            <w:vAlign w:val="center"/>
            <w:hideMark/>
          </w:tcPr>
          <w:p w:rsidR="006404D3" w:rsidRPr="00E24A13" w:rsidRDefault="006404D3" w:rsidP="00297A9C">
            <w:pPr>
              <w:pStyle w:val="TableHeading-centered"/>
              <w:keepNext/>
              <w:keepLines/>
            </w:pPr>
            <w:r w:rsidRPr="00E24A13">
              <w:t>Percent Remaining</w:t>
            </w:r>
          </w:p>
        </w:tc>
        <w:tc>
          <w:tcPr>
            <w:tcW w:w="544" w:type="pct"/>
            <w:shd w:val="clear" w:color="000000" w:fill="005DAA"/>
            <w:vAlign w:val="center"/>
            <w:hideMark/>
          </w:tcPr>
          <w:p w:rsidR="006404D3" w:rsidRPr="00E24A13" w:rsidRDefault="006404D3" w:rsidP="00297A9C">
            <w:pPr>
              <w:pStyle w:val="TableHeading-centered"/>
              <w:keepNext/>
              <w:keepLines/>
            </w:pPr>
            <w:r w:rsidRPr="00E24A13">
              <w:t>Number Dropped</w:t>
            </w:r>
          </w:p>
        </w:tc>
        <w:tc>
          <w:tcPr>
            <w:tcW w:w="544" w:type="pct"/>
            <w:shd w:val="clear" w:color="000000" w:fill="005DAA"/>
            <w:vAlign w:val="center"/>
            <w:hideMark/>
          </w:tcPr>
          <w:p w:rsidR="006404D3" w:rsidRPr="00E24A13" w:rsidRDefault="006404D3" w:rsidP="00297A9C">
            <w:pPr>
              <w:pStyle w:val="TableHeading-centered"/>
              <w:keepNext/>
              <w:keepLines/>
            </w:pPr>
            <w:r w:rsidRPr="00E24A13">
              <w:t>Percent Dropped</w:t>
            </w:r>
          </w:p>
        </w:tc>
      </w:tr>
      <w:tr w:rsidR="006404D3" w:rsidRPr="00E24A13" w:rsidTr="00297A9C">
        <w:tc>
          <w:tcPr>
            <w:tcW w:w="2578" w:type="pct"/>
            <w:shd w:val="clear" w:color="auto" w:fill="auto"/>
            <w:vAlign w:val="center"/>
            <w:hideMark/>
          </w:tcPr>
          <w:p w:rsidR="006404D3" w:rsidRPr="00E24A13" w:rsidRDefault="006404D3" w:rsidP="00297A9C">
            <w:pPr>
              <w:pStyle w:val="TableRow-left"/>
              <w:keepNext/>
              <w:keepLines/>
            </w:pPr>
            <w:r w:rsidRPr="00E24A13">
              <w:t xml:space="preserve">Original </w:t>
            </w:r>
            <w:r>
              <w:t>e</w:t>
            </w:r>
            <w:r w:rsidRPr="00E24A13">
              <w:t xml:space="preserve">lectric </w:t>
            </w:r>
            <w:r>
              <w:t>a</w:t>
            </w:r>
            <w:r w:rsidRPr="00E24A13">
              <w:t>ccounts</w:t>
            </w:r>
          </w:p>
        </w:tc>
        <w:tc>
          <w:tcPr>
            <w:tcW w:w="699"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418</w:t>
            </w:r>
          </w:p>
        </w:tc>
        <w:tc>
          <w:tcPr>
            <w:tcW w:w="635"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100%</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0</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0%</w:t>
            </w:r>
          </w:p>
        </w:tc>
      </w:tr>
      <w:tr w:rsidR="006404D3" w:rsidRPr="00E24A13" w:rsidTr="00297A9C">
        <w:tc>
          <w:tcPr>
            <w:tcW w:w="2578" w:type="pct"/>
            <w:shd w:val="clear" w:color="auto" w:fill="auto"/>
            <w:vAlign w:val="center"/>
            <w:hideMark/>
          </w:tcPr>
          <w:p w:rsidR="006404D3" w:rsidRPr="00E24A13" w:rsidRDefault="006404D3" w:rsidP="00297A9C">
            <w:pPr>
              <w:pStyle w:val="TableRow-left"/>
              <w:keepNext/>
              <w:keepLines/>
            </w:pPr>
            <w:r w:rsidRPr="00E24A13">
              <w:t xml:space="preserve">Matched to </w:t>
            </w:r>
            <w:r>
              <w:t>b</w:t>
            </w:r>
            <w:r w:rsidRPr="00E24A13">
              <w:t xml:space="preserve">illing </w:t>
            </w:r>
            <w:r>
              <w:t>d</w:t>
            </w:r>
            <w:r w:rsidRPr="00E24A13">
              <w:t xml:space="preserve">ata </w:t>
            </w:r>
            <w:r>
              <w:t>p</w:t>
            </w:r>
            <w:r w:rsidRPr="00E24A13">
              <w:t>rovided</w:t>
            </w:r>
          </w:p>
        </w:tc>
        <w:tc>
          <w:tcPr>
            <w:tcW w:w="699"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412</w:t>
            </w:r>
          </w:p>
        </w:tc>
        <w:tc>
          <w:tcPr>
            <w:tcW w:w="635"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99%</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6</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1%</w:t>
            </w:r>
          </w:p>
        </w:tc>
      </w:tr>
      <w:tr w:rsidR="006404D3" w:rsidRPr="00E24A13" w:rsidTr="00297A9C">
        <w:tc>
          <w:tcPr>
            <w:tcW w:w="2578" w:type="pct"/>
            <w:shd w:val="clear" w:color="auto" w:fill="auto"/>
            <w:vAlign w:val="center"/>
            <w:hideMark/>
          </w:tcPr>
          <w:p w:rsidR="006404D3" w:rsidRPr="00E24A13" w:rsidRDefault="006404D3" w:rsidP="00297A9C">
            <w:pPr>
              <w:pStyle w:val="TableRow-left"/>
              <w:keepNext/>
              <w:keepLines/>
            </w:pPr>
            <w:r w:rsidRPr="00E24A13">
              <w:t xml:space="preserve">Insufficient </w:t>
            </w:r>
            <w:r>
              <w:t>p</w:t>
            </w:r>
            <w:r w:rsidRPr="00E24A13">
              <w:t xml:space="preserve">re- and </w:t>
            </w:r>
            <w:r>
              <w:t>p</w:t>
            </w:r>
            <w:r w:rsidRPr="00E24A13">
              <w:t>ost-</w:t>
            </w:r>
            <w:r>
              <w:t>p</w:t>
            </w:r>
            <w:r w:rsidRPr="00E24A13">
              <w:t xml:space="preserve">eriod </w:t>
            </w:r>
            <w:r>
              <w:t>m</w:t>
            </w:r>
            <w:r w:rsidRPr="00E24A13">
              <w:t>onths</w:t>
            </w:r>
          </w:p>
        </w:tc>
        <w:tc>
          <w:tcPr>
            <w:tcW w:w="699"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269</w:t>
            </w:r>
          </w:p>
        </w:tc>
        <w:tc>
          <w:tcPr>
            <w:tcW w:w="635"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64%</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143</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34%</w:t>
            </w:r>
          </w:p>
        </w:tc>
      </w:tr>
      <w:tr w:rsidR="006404D3" w:rsidRPr="00E24A13" w:rsidTr="00297A9C">
        <w:tc>
          <w:tcPr>
            <w:tcW w:w="2578" w:type="pct"/>
            <w:shd w:val="clear" w:color="auto" w:fill="auto"/>
            <w:vAlign w:val="center"/>
            <w:hideMark/>
          </w:tcPr>
          <w:p w:rsidR="006404D3" w:rsidRPr="00E24A13" w:rsidRDefault="006404D3" w:rsidP="00297A9C">
            <w:pPr>
              <w:pStyle w:val="TableRow-left"/>
              <w:keepNext/>
              <w:keepLines/>
            </w:pPr>
            <w:r w:rsidRPr="00E24A13">
              <w:t xml:space="preserve">Changed </w:t>
            </w:r>
            <w:r>
              <w:t>u</w:t>
            </w:r>
            <w:r w:rsidRPr="00E24A13">
              <w:t xml:space="preserve">sage from the </w:t>
            </w:r>
            <w:r>
              <w:t>p</w:t>
            </w:r>
            <w:r w:rsidRPr="00E24A13">
              <w:t xml:space="preserve">re to </w:t>
            </w:r>
            <w:r>
              <w:t>p</w:t>
            </w:r>
            <w:r w:rsidRPr="00E24A13">
              <w:t>ost (&gt; 70%)</w:t>
            </w:r>
          </w:p>
        </w:tc>
        <w:tc>
          <w:tcPr>
            <w:tcW w:w="699"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265</w:t>
            </w:r>
          </w:p>
        </w:tc>
        <w:tc>
          <w:tcPr>
            <w:tcW w:w="635"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63%</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4</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1%</w:t>
            </w:r>
          </w:p>
        </w:tc>
      </w:tr>
      <w:tr w:rsidR="006404D3" w:rsidRPr="00E24A13" w:rsidTr="00297A9C">
        <w:tc>
          <w:tcPr>
            <w:tcW w:w="2578" w:type="pct"/>
            <w:shd w:val="clear" w:color="auto" w:fill="auto"/>
            <w:vAlign w:val="center"/>
            <w:hideMark/>
          </w:tcPr>
          <w:p w:rsidR="006404D3" w:rsidRPr="00E24A13" w:rsidRDefault="006404D3" w:rsidP="00297A9C">
            <w:pPr>
              <w:pStyle w:val="TableRow-left"/>
              <w:keepNext/>
              <w:keepLines/>
            </w:pPr>
            <w:r w:rsidRPr="00E24A13">
              <w:t>Pre</w:t>
            </w:r>
            <w:r>
              <w:t>-</w:t>
            </w:r>
            <w:r w:rsidRPr="00E24A13">
              <w:t xml:space="preserve"> or </w:t>
            </w:r>
            <w:r>
              <w:t>p</w:t>
            </w:r>
            <w:r w:rsidRPr="00E24A13">
              <w:t>ost</w:t>
            </w:r>
            <w:r>
              <w:t>-p</w:t>
            </w:r>
            <w:r w:rsidRPr="00E24A13">
              <w:t xml:space="preserve">eriod </w:t>
            </w:r>
            <w:r>
              <w:t>u</w:t>
            </w:r>
            <w:r w:rsidRPr="00E24A13">
              <w:t>sage less than 1000 kWh or more than maximum participant usage</w:t>
            </w:r>
          </w:p>
        </w:tc>
        <w:tc>
          <w:tcPr>
            <w:tcW w:w="699"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260</w:t>
            </w:r>
          </w:p>
        </w:tc>
        <w:tc>
          <w:tcPr>
            <w:tcW w:w="635"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62%</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5</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1%</w:t>
            </w:r>
          </w:p>
        </w:tc>
      </w:tr>
      <w:tr w:rsidR="006404D3" w:rsidRPr="00E24A13" w:rsidTr="00297A9C">
        <w:tc>
          <w:tcPr>
            <w:tcW w:w="2578" w:type="pct"/>
            <w:shd w:val="clear" w:color="auto" w:fill="auto"/>
            <w:vAlign w:val="center"/>
            <w:hideMark/>
          </w:tcPr>
          <w:p w:rsidR="006404D3" w:rsidRPr="00E24A13" w:rsidRDefault="006404D3" w:rsidP="00297A9C">
            <w:pPr>
              <w:pStyle w:val="TableRow-left"/>
              <w:keepNext/>
              <w:keepLines/>
            </w:pPr>
            <w:r w:rsidRPr="00E24A13">
              <w:t xml:space="preserve">PRISM </w:t>
            </w:r>
            <w:r>
              <w:t>s</w:t>
            </w:r>
            <w:r w:rsidRPr="00E24A13">
              <w:t xml:space="preserve">creen: </w:t>
            </w:r>
            <w:r>
              <w:t>w</w:t>
            </w:r>
            <w:r w:rsidRPr="00E24A13">
              <w:t xml:space="preserve">rong </w:t>
            </w:r>
            <w:r>
              <w:t>s</w:t>
            </w:r>
            <w:r w:rsidRPr="00E24A13">
              <w:t xml:space="preserve">igns on PRISM </w:t>
            </w:r>
            <w:r>
              <w:t>p</w:t>
            </w:r>
            <w:r w:rsidRPr="00E24A13">
              <w:t>arameters</w:t>
            </w:r>
          </w:p>
        </w:tc>
        <w:tc>
          <w:tcPr>
            <w:tcW w:w="699"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256</w:t>
            </w:r>
          </w:p>
        </w:tc>
        <w:tc>
          <w:tcPr>
            <w:tcW w:w="635"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61%</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4</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1%</w:t>
            </w:r>
          </w:p>
        </w:tc>
      </w:tr>
      <w:tr w:rsidR="006404D3" w:rsidRPr="00E24A13" w:rsidTr="00130EBA">
        <w:tc>
          <w:tcPr>
            <w:tcW w:w="2578" w:type="pct"/>
            <w:tcBorders>
              <w:bottom w:val="single" w:sz="4" w:space="0" w:color="BFBFBF"/>
            </w:tcBorders>
            <w:shd w:val="clear" w:color="auto" w:fill="auto"/>
            <w:vAlign w:val="center"/>
          </w:tcPr>
          <w:p w:rsidR="006404D3" w:rsidRPr="00E24A13" w:rsidRDefault="006404D3" w:rsidP="00297A9C">
            <w:pPr>
              <w:pStyle w:val="TableRow-left"/>
              <w:keepNext/>
              <w:keepLines/>
            </w:pPr>
            <w:r>
              <w:t>Account-level inspection of pre/post 12-month usage (e.g., vacancies, anomalies)</w:t>
            </w:r>
          </w:p>
        </w:tc>
        <w:tc>
          <w:tcPr>
            <w:tcW w:w="699" w:type="pct"/>
            <w:tcBorders>
              <w:bottom w:val="single" w:sz="4" w:space="0" w:color="BFBFBF"/>
            </w:tcBorders>
            <w:shd w:val="clear" w:color="auto" w:fill="auto"/>
            <w:vAlign w:val="center"/>
          </w:tcPr>
          <w:p w:rsidR="006404D3" w:rsidRPr="00E24A13" w:rsidRDefault="006404D3" w:rsidP="00297A9C">
            <w:pPr>
              <w:pStyle w:val="TableRow-right"/>
              <w:keepNext/>
              <w:keepLines/>
            </w:pPr>
            <w:r>
              <w:rPr>
                <w:rFonts w:ascii="Calibri" w:hAnsi="Calibri"/>
                <w:color w:val="000000"/>
                <w:szCs w:val="20"/>
              </w:rPr>
              <w:t>256</w:t>
            </w:r>
          </w:p>
        </w:tc>
        <w:tc>
          <w:tcPr>
            <w:tcW w:w="635" w:type="pct"/>
            <w:tcBorders>
              <w:bottom w:val="single" w:sz="4" w:space="0" w:color="BFBFBF"/>
            </w:tcBorders>
            <w:shd w:val="clear" w:color="auto" w:fill="auto"/>
            <w:vAlign w:val="center"/>
          </w:tcPr>
          <w:p w:rsidR="006404D3" w:rsidRPr="00E24A13" w:rsidRDefault="006404D3" w:rsidP="00297A9C">
            <w:pPr>
              <w:pStyle w:val="TableRow-right"/>
              <w:keepNext/>
              <w:keepLines/>
            </w:pPr>
            <w:r>
              <w:rPr>
                <w:rFonts w:ascii="Calibri" w:hAnsi="Calibri"/>
                <w:color w:val="000000"/>
                <w:szCs w:val="20"/>
              </w:rPr>
              <w:t>61%</w:t>
            </w:r>
          </w:p>
        </w:tc>
        <w:tc>
          <w:tcPr>
            <w:tcW w:w="544" w:type="pct"/>
            <w:tcBorders>
              <w:bottom w:val="single" w:sz="4" w:space="0" w:color="BFBFBF"/>
            </w:tcBorders>
            <w:shd w:val="clear" w:color="auto" w:fill="auto"/>
            <w:vAlign w:val="center"/>
          </w:tcPr>
          <w:p w:rsidR="006404D3" w:rsidRPr="00E24A13" w:rsidRDefault="006404D3" w:rsidP="00297A9C">
            <w:pPr>
              <w:pStyle w:val="TableRow-right"/>
              <w:keepNext/>
              <w:keepLines/>
            </w:pPr>
            <w:r>
              <w:rPr>
                <w:rFonts w:ascii="Calibri" w:hAnsi="Calibri"/>
                <w:color w:val="000000"/>
                <w:szCs w:val="20"/>
              </w:rPr>
              <w:t>0</w:t>
            </w:r>
          </w:p>
        </w:tc>
        <w:tc>
          <w:tcPr>
            <w:tcW w:w="544" w:type="pct"/>
            <w:tcBorders>
              <w:bottom w:val="single" w:sz="4" w:space="0" w:color="BFBFBF"/>
            </w:tcBorders>
            <w:shd w:val="clear" w:color="auto" w:fill="auto"/>
            <w:vAlign w:val="center"/>
          </w:tcPr>
          <w:p w:rsidR="006404D3" w:rsidRPr="00E24A13" w:rsidRDefault="006404D3" w:rsidP="00297A9C">
            <w:pPr>
              <w:pStyle w:val="TableRow-right"/>
              <w:keepNext/>
              <w:keepLines/>
            </w:pPr>
            <w:r>
              <w:rPr>
                <w:rFonts w:ascii="Calibri" w:hAnsi="Calibri"/>
                <w:color w:val="000000"/>
                <w:szCs w:val="20"/>
              </w:rPr>
              <w:t>0%</w:t>
            </w:r>
          </w:p>
        </w:tc>
      </w:tr>
      <w:tr w:rsidR="006404D3" w:rsidRPr="00E24A13" w:rsidTr="00130EBA">
        <w:tc>
          <w:tcPr>
            <w:tcW w:w="2578" w:type="pct"/>
            <w:shd w:val="clear" w:color="000000" w:fill="auto"/>
            <w:vAlign w:val="center"/>
            <w:hideMark/>
          </w:tcPr>
          <w:p w:rsidR="006404D3" w:rsidRPr="00E24A13" w:rsidRDefault="006404D3" w:rsidP="00297A9C">
            <w:pPr>
              <w:pStyle w:val="TableRow-left"/>
              <w:keepNext/>
              <w:keepLines/>
              <w:rPr>
                <w:b/>
                <w:bCs/>
                <w:color w:val="005DAA"/>
              </w:rPr>
            </w:pPr>
            <w:r w:rsidRPr="00E24A13">
              <w:rPr>
                <w:b/>
                <w:bCs/>
                <w:color w:val="005DAA"/>
              </w:rPr>
              <w:t xml:space="preserve">Final </w:t>
            </w:r>
            <w:r w:rsidR="009A6940">
              <w:rPr>
                <w:b/>
                <w:bCs/>
                <w:color w:val="005DAA"/>
              </w:rPr>
              <w:t>A</w:t>
            </w:r>
            <w:r w:rsidR="009A6940" w:rsidRPr="00E24A13">
              <w:rPr>
                <w:b/>
                <w:bCs/>
                <w:color w:val="005DAA"/>
              </w:rPr>
              <w:t xml:space="preserve">nalysis </w:t>
            </w:r>
            <w:r w:rsidR="009A6940">
              <w:rPr>
                <w:b/>
                <w:bCs/>
                <w:color w:val="005DAA"/>
              </w:rPr>
              <w:t>G</w:t>
            </w:r>
            <w:r w:rsidR="009A6940" w:rsidRPr="00E24A13">
              <w:rPr>
                <w:b/>
                <w:bCs/>
                <w:color w:val="005DAA"/>
              </w:rPr>
              <w:t>roup</w:t>
            </w:r>
          </w:p>
        </w:tc>
        <w:tc>
          <w:tcPr>
            <w:tcW w:w="699" w:type="pct"/>
            <w:shd w:val="clear" w:color="000000" w:fill="auto"/>
            <w:vAlign w:val="center"/>
            <w:hideMark/>
          </w:tcPr>
          <w:p w:rsidR="006404D3" w:rsidRPr="00E24A13" w:rsidRDefault="006404D3" w:rsidP="00297A9C">
            <w:pPr>
              <w:pStyle w:val="TableRow-right"/>
              <w:keepNext/>
              <w:keepLines/>
              <w:rPr>
                <w:b/>
                <w:bCs/>
                <w:color w:val="005DAA"/>
              </w:rPr>
            </w:pPr>
            <w:r>
              <w:rPr>
                <w:rFonts w:ascii="Calibri" w:hAnsi="Calibri"/>
                <w:b/>
                <w:bCs/>
                <w:color w:val="005DAA"/>
                <w:szCs w:val="20"/>
              </w:rPr>
              <w:t>256</w:t>
            </w:r>
          </w:p>
        </w:tc>
        <w:tc>
          <w:tcPr>
            <w:tcW w:w="635" w:type="pct"/>
            <w:shd w:val="clear" w:color="000000" w:fill="auto"/>
            <w:vAlign w:val="center"/>
            <w:hideMark/>
          </w:tcPr>
          <w:p w:rsidR="006404D3" w:rsidRPr="00E24A13" w:rsidRDefault="006404D3" w:rsidP="00297A9C">
            <w:pPr>
              <w:pStyle w:val="TableRow-right"/>
              <w:keepNext/>
              <w:keepLines/>
              <w:rPr>
                <w:b/>
                <w:bCs/>
                <w:color w:val="005DAA"/>
              </w:rPr>
            </w:pPr>
            <w:r>
              <w:rPr>
                <w:rFonts w:ascii="Calibri" w:hAnsi="Calibri"/>
                <w:b/>
                <w:bCs/>
                <w:color w:val="005DAA"/>
                <w:szCs w:val="20"/>
              </w:rPr>
              <w:t>61%</w:t>
            </w:r>
          </w:p>
        </w:tc>
        <w:tc>
          <w:tcPr>
            <w:tcW w:w="544" w:type="pct"/>
            <w:shd w:val="clear" w:color="000000" w:fill="auto"/>
            <w:vAlign w:val="center"/>
            <w:hideMark/>
          </w:tcPr>
          <w:p w:rsidR="006404D3" w:rsidRPr="00E24A13" w:rsidRDefault="006404D3" w:rsidP="00297A9C">
            <w:pPr>
              <w:pStyle w:val="TableRow-right"/>
              <w:keepNext/>
              <w:keepLines/>
              <w:rPr>
                <w:b/>
                <w:bCs/>
                <w:color w:val="005DAA"/>
              </w:rPr>
            </w:pPr>
            <w:r>
              <w:rPr>
                <w:rFonts w:ascii="Calibri" w:hAnsi="Calibri"/>
                <w:b/>
                <w:bCs/>
                <w:color w:val="005DAA"/>
                <w:szCs w:val="20"/>
              </w:rPr>
              <w:t>162</w:t>
            </w:r>
          </w:p>
        </w:tc>
        <w:tc>
          <w:tcPr>
            <w:tcW w:w="544" w:type="pct"/>
            <w:shd w:val="clear" w:color="000000" w:fill="auto"/>
            <w:vAlign w:val="center"/>
            <w:hideMark/>
          </w:tcPr>
          <w:p w:rsidR="006404D3" w:rsidRPr="00E24A13" w:rsidRDefault="006404D3" w:rsidP="00297A9C">
            <w:pPr>
              <w:pStyle w:val="TableRow-right"/>
              <w:keepNext/>
              <w:keepLines/>
              <w:rPr>
                <w:b/>
                <w:bCs/>
                <w:color w:val="005DAA"/>
              </w:rPr>
            </w:pPr>
            <w:r>
              <w:rPr>
                <w:rFonts w:ascii="Calibri" w:hAnsi="Calibri"/>
                <w:b/>
                <w:bCs/>
                <w:color w:val="005DAA"/>
                <w:szCs w:val="20"/>
              </w:rPr>
              <w:t>39%</w:t>
            </w:r>
          </w:p>
        </w:tc>
      </w:tr>
    </w:tbl>
    <w:p w:rsidR="006404D3" w:rsidRDefault="006404D3" w:rsidP="006404D3">
      <w:pPr>
        <w:pStyle w:val="NormalAfterTablesandFigures"/>
      </w:pPr>
    </w:p>
    <w:p w:rsidR="006404D3" w:rsidRDefault="006404D3" w:rsidP="006404D3">
      <w:pPr>
        <w:pStyle w:val="Caption"/>
      </w:pPr>
      <w:r>
        <w:t xml:space="preserve">Table </w:t>
      </w:r>
      <w:r w:rsidR="002506E1">
        <w:fldChar w:fldCharType="begin"/>
      </w:r>
      <w:r w:rsidR="002506E1">
        <w:instrText xml:space="preserve"> SEQ Table \* ARABIC </w:instrText>
      </w:r>
      <w:r w:rsidR="002506E1">
        <w:fldChar w:fldCharType="separate"/>
      </w:r>
      <w:r w:rsidR="00CD20CF">
        <w:rPr>
          <w:noProof/>
        </w:rPr>
        <w:t>102</w:t>
      </w:r>
      <w:r w:rsidR="002506E1">
        <w:rPr>
          <w:noProof/>
        </w:rPr>
        <w:fldChar w:fldCharType="end"/>
      </w:r>
      <w:r>
        <w:t>. Participant Attrition: Gas Analysis (HES-IE SP4)</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937"/>
        <w:gridCol w:w="1339"/>
        <w:gridCol w:w="1216"/>
        <w:gridCol w:w="1042"/>
        <w:gridCol w:w="1042"/>
      </w:tblGrid>
      <w:tr w:rsidR="006404D3" w:rsidRPr="00E24A13" w:rsidTr="00297A9C">
        <w:tc>
          <w:tcPr>
            <w:tcW w:w="2578" w:type="pct"/>
            <w:shd w:val="clear" w:color="000000" w:fill="005DAA"/>
            <w:vAlign w:val="center"/>
            <w:hideMark/>
          </w:tcPr>
          <w:p w:rsidR="006404D3" w:rsidRPr="00E24A13" w:rsidRDefault="006404D3" w:rsidP="00297A9C">
            <w:pPr>
              <w:pStyle w:val="TableHeading-left"/>
              <w:keepNext/>
              <w:keepLines/>
              <w:jc w:val="center"/>
            </w:pPr>
            <w:r w:rsidRPr="00E24A13">
              <w:t>Screen</w:t>
            </w:r>
          </w:p>
        </w:tc>
        <w:tc>
          <w:tcPr>
            <w:tcW w:w="699" w:type="pct"/>
            <w:shd w:val="clear" w:color="000000" w:fill="005DAA"/>
            <w:vAlign w:val="center"/>
            <w:hideMark/>
          </w:tcPr>
          <w:p w:rsidR="006404D3" w:rsidRPr="00E24A13" w:rsidRDefault="006404D3" w:rsidP="00297A9C">
            <w:pPr>
              <w:pStyle w:val="TableHeading-centered"/>
              <w:keepNext/>
              <w:keepLines/>
            </w:pPr>
            <w:r w:rsidRPr="00E24A13">
              <w:t>Participants Remaining</w:t>
            </w:r>
          </w:p>
        </w:tc>
        <w:tc>
          <w:tcPr>
            <w:tcW w:w="635" w:type="pct"/>
            <w:shd w:val="clear" w:color="000000" w:fill="005DAA"/>
            <w:vAlign w:val="center"/>
            <w:hideMark/>
          </w:tcPr>
          <w:p w:rsidR="006404D3" w:rsidRPr="00E24A13" w:rsidRDefault="006404D3" w:rsidP="00297A9C">
            <w:pPr>
              <w:pStyle w:val="TableHeading-centered"/>
              <w:keepNext/>
              <w:keepLines/>
            </w:pPr>
            <w:r w:rsidRPr="00E24A13">
              <w:t>Percent Remaining</w:t>
            </w:r>
          </w:p>
        </w:tc>
        <w:tc>
          <w:tcPr>
            <w:tcW w:w="544" w:type="pct"/>
            <w:shd w:val="clear" w:color="000000" w:fill="005DAA"/>
            <w:vAlign w:val="center"/>
            <w:hideMark/>
          </w:tcPr>
          <w:p w:rsidR="006404D3" w:rsidRPr="00E24A13" w:rsidRDefault="006404D3" w:rsidP="00297A9C">
            <w:pPr>
              <w:pStyle w:val="TableHeading-centered"/>
              <w:keepNext/>
              <w:keepLines/>
            </w:pPr>
            <w:r w:rsidRPr="00E24A13">
              <w:t>Number Dropped</w:t>
            </w:r>
          </w:p>
        </w:tc>
        <w:tc>
          <w:tcPr>
            <w:tcW w:w="544" w:type="pct"/>
            <w:shd w:val="clear" w:color="000000" w:fill="005DAA"/>
            <w:vAlign w:val="center"/>
            <w:hideMark/>
          </w:tcPr>
          <w:p w:rsidR="006404D3" w:rsidRPr="00E24A13" w:rsidRDefault="006404D3" w:rsidP="00297A9C">
            <w:pPr>
              <w:pStyle w:val="TableHeading-centered"/>
              <w:keepNext/>
              <w:keepLines/>
            </w:pPr>
            <w:r w:rsidRPr="00E24A13">
              <w:t>Percent Dropped</w:t>
            </w:r>
          </w:p>
        </w:tc>
      </w:tr>
      <w:tr w:rsidR="006404D3" w:rsidRPr="00E24A13" w:rsidTr="00297A9C">
        <w:tc>
          <w:tcPr>
            <w:tcW w:w="2578" w:type="pct"/>
            <w:shd w:val="clear" w:color="auto" w:fill="auto"/>
            <w:vAlign w:val="center"/>
            <w:hideMark/>
          </w:tcPr>
          <w:p w:rsidR="006404D3" w:rsidRPr="00E24A13" w:rsidRDefault="006404D3" w:rsidP="00297A9C">
            <w:pPr>
              <w:pStyle w:val="TableRow-left"/>
              <w:keepNext/>
              <w:keepLines/>
            </w:pPr>
            <w:r w:rsidRPr="00E24A13">
              <w:t xml:space="preserve">Original </w:t>
            </w:r>
            <w:r>
              <w:t>g</w:t>
            </w:r>
            <w:r w:rsidRPr="00E24A13">
              <w:t xml:space="preserve">as </w:t>
            </w:r>
            <w:r>
              <w:t>a</w:t>
            </w:r>
            <w:r w:rsidRPr="00E24A13">
              <w:t>ccounts</w:t>
            </w:r>
          </w:p>
        </w:tc>
        <w:tc>
          <w:tcPr>
            <w:tcW w:w="699"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266</w:t>
            </w:r>
          </w:p>
        </w:tc>
        <w:tc>
          <w:tcPr>
            <w:tcW w:w="635"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100%</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0</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0%</w:t>
            </w:r>
          </w:p>
        </w:tc>
      </w:tr>
      <w:tr w:rsidR="006404D3" w:rsidRPr="00E24A13" w:rsidTr="00297A9C">
        <w:tc>
          <w:tcPr>
            <w:tcW w:w="2578" w:type="pct"/>
            <w:shd w:val="clear" w:color="auto" w:fill="auto"/>
            <w:vAlign w:val="center"/>
            <w:hideMark/>
          </w:tcPr>
          <w:p w:rsidR="006404D3" w:rsidRPr="00E24A13" w:rsidRDefault="006404D3" w:rsidP="00297A9C">
            <w:pPr>
              <w:pStyle w:val="TableRow-left"/>
              <w:keepNext/>
              <w:keepLines/>
            </w:pPr>
            <w:r w:rsidRPr="00E24A13">
              <w:t xml:space="preserve">Matched to </w:t>
            </w:r>
            <w:r>
              <w:t>b</w:t>
            </w:r>
            <w:r w:rsidRPr="00E24A13">
              <w:t xml:space="preserve">illing </w:t>
            </w:r>
            <w:r>
              <w:t>d</w:t>
            </w:r>
            <w:r w:rsidRPr="00E24A13">
              <w:t xml:space="preserve">ata </w:t>
            </w:r>
            <w:r>
              <w:t>p</w:t>
            </w:r>
            <w:r w:rsidRPr="00E24A13">
              <w:t>rovided</w:t>
            </w:r>
          </w:p>
        </w:tc>
        <w:tc>
          <w:tcPr>
            <w:tcW w:w="699"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215</w:t>
            </w:r>
          </w:p>
        </w:tc>
        <w:tc>
          <w:tcPr>
            <w:tcW w:w="635"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81%</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51</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19%</w:t>
            </w:r>
          </w:p>
        </w:tc>
      </w:tr>
      <w:tr w:rsidR="006404D3" w:rsidRPr="00E24A13" w:rsidTr="00297A9C">
        <w:tc>
          <w:tcPr>
            <w:tcW w:w="2578" w:type="pct"/>
            <w:shd w:val="clear" w:color="auto" w:fill="auto"/>
            <w:vAlign w:val="center"/>
            <w:hideMark/>
          </w:tcPr>
          <w:p w:rsidR="006404D3" w:rsidRPr="00E24A13" w:rsidRDefault="006404D3" w:rsidP="00297A9C">
            <w:pPr>
              <w:pStyle w:val="TableRow-left"/>
              <w:keepNext/>
              <w:keepLines/>
            </w:pPr>
            <w:r w:rsidRPr="00E24A13">
              <w:t xml:space="preserve">Insufficient </w:t>
            </w:r>
            <w:r>
              <w:t>p</w:t>
            </w:r>
            <w:r w:rsidRPr="00E24A13">
              <w:t xml:space="preserve">re- and </w:t>
            </w:r>
            <w:r>
              <w:t>p</w:t>
            </w:r>
            <w:r w:rsidRPr="00E24A13">
              <w:t>ost-</w:t>
            </w:r>
            <w:r>
              <w:t>p</w:t>
            </w:r>
            <w:r w:rsidRPr="00E24A13">
              <w:t xml:space="preserve">eriod </w:t>
            </w:r>
            <w:r>
              <w:t>m</w:t>
            </w:r>
            <w:r w:rsidRPr="00E24A13">
              <w:t>onths</w:t>
            </w:r>
          </w:p>
        </w:tc>
        <w:tc>
          <w:tcPr>
            <w:tcW w:w="699"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156</w:t>
            </w:r>
          </w:p>
        </w:tc>
        <w:tc>
          <w:tcPr>
            <w:tcW w:w="635"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59%</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59</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22%</w:t>
            </w:r>
          </w:p>
        </w:tc>
      </w:tr>
      <w:tr w:rsidR="006404D3" w:rsidRPr="00E24A13" w:rsidTr="00297A9C">
        <w:tc>
          <w:tcPr>
            <w:tcW w:w="2578" w:type="pct"/>
            <w:shd w:val="clear" w:color="auto" w:fill="auto"/>
            <w:vAlign w:val="center"/>
            <w:hideMark/>
          </w:tcPr>
          <w:p w:rsidR="006404D3" w:rsidRPr="00E24A13" w:rsidRDefault="006404D3" w:rsidP="00297A9C">
            <w:pPr>
              <w:pStyle w:val="TableRow-left"/>
              <w:keepNext/>
              <w:keepLines/>
            </w:pPr>
            <w:r w:rsidRPr="00E24A13">
              <w:t xml:space="preserve">Changed </w:t>
            </w:r>
            <w:r>
              <w:t>u</w:t>
            </w:r>
            <w:r w:rsidRPr="00E24A13">
              <w:t xml:space="preserve">sage from the </w:t>
            </w:r>
            <w:r>
              <w:t>p</w:t>
            </w:r>
            <w:r w:rsidRPr="00E24A13">
              <w:t xml:space="preserve">re to </w:t>
            </w:r>
            <w:r>
              <w:t>p</w:t>
            </w:r>
            <w:r w:rsidRPr="00E24A13">
              <w:t>ost (&gt; 70%)</w:t>
            </w:r>
          </w:p>
        </w:tc>
        <w:tc>
          <w:tcPr>
            <w:tcW w:w="699"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156</w:t>
            </w:r>
          </w:p>
        </w:tc>
        <w:tc>
          <w:tcPr>
            <w:tcW w:w="635"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59%</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0</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0%</w:t>
            </w:r>
          </w:p>
        </w:tc>
      </w:tr>
      <w:tr w:rsidR="006404D3" w:rsidRPr="00E24A13" w:rsidTr="00297A9C">
        <w:tc>
          <w:tcPr>
            <w:tcW w:w="2578" w:type="pct"/>
            <w:shd w:val="clear" w:color="auto" w:fill="auto"/>
            <w:vAlign w:val="center"/>
            <w:hideMark/>
          </w:tcPr>
          <w:p w:rsidR="006404D3" w:rsidRPr="00E24A13" w:rsidRDefault="006404D3" w:rsidP="00297A9C">
            <w:pPr>
              <w:pStyle w:val="TableRow-left"/>
              <w:keepNext/>
              <w:keepLines/>
            </w:pPr>
            <w:r w:rsidRPr="00A67235">
              <w:rPr>
                <w:i/>
              </w:rPr>
              <w:t>Ex ante</w:t>
            </w:r>
            <w:r w:rsidRPr="00E24A13">
              <w:t xml:space="preserve"> </w:t>
            </w:r>
            <w:r>
              <w:t>s</w:t>
            </w:r>
            <w:r w:rsidRPr="00E24A13">
              <w:t xml:space="preserve">avings higher than </w:t>
            </w:r>
            <w:r>
              <w:t>p</w:t>
            </w:r>
            <w:r w:rsidRPr="00E24A13">
              <w:t>re-</w:t>
            </w:r>
            <w:r>
              <w:t>u</w:t>
            </w:r>
            <w:r w:rsidRPr="00E24A13">
              <w:t xml:space="preserve">sage, or </w:t>
            </w:r>
            <w:r w:rsidRPr="00A67235">
              <w:rPr>
                <w:i/>
              </w:rPr>
              <w:t>ex ante</w:t>
            </w:r>
            <w:r w:rsidRPr="00E24A13">
              <w:t xml:space="preserve"> </w:t>
            </w:r>
            <w:r>
              <w:t>s</w:t>
            </w:r>
            <w:r w:rsidRPr="00E24A13">
              <w:t xml:space="preserve">avings &lt;1% of </w:t>
            </w:r>
            <w:r>
              <w:t>p</w:t>
            </w:r>
            <w:r w:rsidRPr="00E24A13">
              <w:t>re-</w:t>
            </w:r>
            <w:r>
              <w:t>u</w:t>
            </w:r>
            <w:r w:rsidRPr="00E24A13">
              <w:t>sage</w:t>
            </w:r>
          </w:p>
        </w:tc>
        <w:tc>
          <w:tcPr>
            <w:tcW w:w="699"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147</w:t>
            </w:r>
          </w:p>
        </w:tc>
        <w:tc>
          <w:tcPr>
            <w:tcW w:w="635"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55%</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9</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3%</w:t>
            </w:r>
          </w:p>
        </w:tc>
      </w:tr>
      <w:tr w:rsidR="006404D3" w:rsidRPr="00E24A13" w:rsidTr="00297A9C">
        <w:tc>
          <w:tcPr>
            <w:tcW w:w="2578" w:type="pct"/>
            <w:shd w:val="clear" w:color="auto" w:fill="auto"/>
            <w:vAlign w:val="center"/>
            <w:hideMark/>
          </w:tcPr>
          <w:p w:rsidR="006404D3" w:rsidRPr="00E24A13" w:rsidRDefault="006404D3" w:rsidP="00297A9C">
            <w:pPr>
              <w:pStyle w:val="TableRow-left"/>
              <w:keepNext/>
              <w:keepLines/>
            </w:pPr>
            <w:r w:rsidRPr="00E24A13">
              <w:t>Pre</w:t>
            </w:r>
            <w:r>
              <w:t>;</w:t>
            </w:r>
            <w:r w:rsidRPr="00E24A13">
              <w:t xml:space="preserve"> or </w:t>
            </w:r>
            <w:r>
              <w:t>p</w:t>
            </w:r>
            <w:r w:rsidRPr="00E24A13">
              <w:t>ost</w:t>
            </w:r>
            <w:r>
              <w:t>-p</w:t>
            </w:r>
            <w:r w:rsidRPr="00E24A13">
              <w:t xml:space="preserve">eriod </w:t>
            </w:r>
            <w:r>
              <w:t>u</w:t>
            </w:r>
            <w:r w:rsidRPr="00E24A13">
              <w:t>sage less than 200 therms</w:t>
            </w:r>
          </w:p>
        </w:tc>
        <w:tc>
          <w:tcPr>
            <w:tcW w:w="699"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145</w:t>
            </w:r>
          </w:p>
        </w:tc>
        <w:tc>
          <w:tcPr>
            <w:tcW w:w="635"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55%</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2</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1%</w:t>
            </w:r>
          </w:p>
        </w:tc>
      </w:tr>
      <w:tr w:rsidR="006404D3" w:rsidRPr="00E24A13" w:rsidTr="00297A9C">
        <w:tc>
          <w:tcPr>
            <w:tcW w:w="2578" w:type="pct"/>
            <w:shd w:val="clear" w:color="auto" w:fill="auto"/>
            <w:vAlign w:val="center"/>
            <w:hideMark/>
          </w:tcPr>
          <w:p w:rsidR="006404D3" w:rsidRPr="00E24A13" w:rsidRDefault="006404D3" w:rsidP="00297A9C">
            <w:pPr>
              <w:pStyle w:val="TableRow-left"/>
              <w:keepNext/>
              <w:keepLines/>
            </w:pPr>
            <w:r w:rsidRPr="00E24A13">
              <w:t xml:space="preserve">PRISM </w:t>
            </w:r>
            <w:r>
              <w:t>s</w:t>
            </w:r>
            <w:r w:rsidRPr="00E24A13">
              <w:t xml:space="preserve">creen: </w:t>
            </w:r>
            <w:r>
              <w:t>w</w:t>
            </w:r>
            <w:r w:rsidRPr="00E24A13">
              <w:t xml:space="preserve">rong </w:t>
            </w:r>
            <w:r>
              <w:t>s</w:t>
            </w:r>
            <w:r w:rsidRPr="00E24A13">
              <w:t xml:space="preserve">igns on PRISM </w:t>
            </w:r>
            <w:r>
              <w:t>p</w:t>
            </w:r>
            <w:r w:rsidRPr="00E24A13">
              <w:t>arameters</w:t>
            </w:r>
          </w:p>
        </w:tc>
        <w:tc>
          <w:tcPr>
            <w:tcW w:w="699"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145</w:t>
            </w:r>
          </w:p>
        </w:tc>
        <w:tc>
          <w:tcPr>
            <w:tcW w:w="635"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55%</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0</w:t>
            </w:r>
          </w:p>
        </w:tc>
        <w:tc>
          <w:tcPr>
            <w:tcW w:w="544" w:type="pct"/>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0%</w:t>
            </w:r>
          </w:p>
        </w:tc>
      </w:tr>
      <w:tr w:rsidR="006404D3" w:rsidRPr="00E24A13" w:rsidTr="00130EBA">
        <w:tc>
          <w:tcPr>
            <w:tcW w:w="2578" w:type="pct"/>
            <w:tcBorders>
              <w:bottom w:val="single" w:sz="4" w:space="0" w:color="BFBFBF"/>
            </w:tcBorders>
            <w:shd w:val="clear" w:color="auto" w:fill="auto"/>
            <w:vAlign w:val="center"/>
            <w:hideMark/>
          </w:tcPr>
          <w:p w:rsidR="006404D3" w:rsidRPr="00E24A13" w:rsidRDefault="006404D3" w:rsidP="00297A9C">
            <w:pPr>
              <w:pStyle w:val="TableRow-left"/>
              <w:keepNext/>
              <w:keepLines/>
            </w:pPr>
            <w:r>
              <w:t>Account-level inspection of pre/post 12-month usage (e.g., vacancies, anomalies)</w:t>
            </w:r>
          </w:p>
        </w:tc>
        <w:tc>
          <w:tcPr>
            <w:tcW w:w="699" w:type="pct"/>
            <w:tcBorders>
              <w:bottom w:val="single" w:sz="4" w:space="0" w:color="BFBFBF"/>
            </w:tcBorders>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114</w:t>
            </w:r>
          </w:p>
        </w:tc>
        <w:tc>
          <w:tcPr>
            <w:tcW w:w="635" w:type="pct"/>
            <w:tcBorders>
              <w:bottom w:val="single" w:sz="4" w:space="0" w:color="BFBFBF"/>
            </w:tcBorders>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43%</w:t>
            </w:r>
          </w:p>
        </w:tc>
        <w:tc>
          <w:tcPr>
            <w:tcW w:w="544" w:type="pct"/>
            <w:tcBorders>
              <w:bottom w:val="single" w:sz="4" w:space="0" w:color="BFBFBF"/>
            </w:tcBorders>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31</w:t>
            </w:r>
          </w:p>
        </w:tc>
        <w:tc>
          <w:tcPr>
            <w:tcW w:w="544" w:type="pct"/>
            <w:tcBorders>
              <w:bottom w:val="single" w:sz="4" w:space="0" w:color="BFBFBF"/>
            </w:tcBorders>
            <w:shd w:val="clear" w:color="auto" w:fill="auto"/>
            <w:vAlign w:val="center"/>
            <w:hideMark/>
          </w:tcPr>
          <w:p w:rsidR="006404D3" w:rsidRPr="00E24A13" w:rsidRDefault="006404D3" w:rsidP="00297A9C">
            <w:pPr>
              <w:pStyle w:val="TableRow-right"/>
              <w:keepNext/>
              <w:keepLines/>
            </w:pPr>
            <w:r>
              <w:rPr>
                <w:rFonts w:ascii="Calibri" w:hAnsi="Calibri"/>
                <w:color w:val="000000"/>
                <w:szCs w:val="20"/>
              </w:rPr>
              <w:t>12%</w:t>
            </w:r>
          </w:p>
        </w:tc>
      </w:tr>
      <w:tr w:rsidR="006404D3" w:rsidRPr="00E24A13" w:rsidTr="00130EBA">
        <w:tc>
          <w:tcPr>
            <w:tcW w:w="2578" w:type="pct"/>
            <w:shd w:val="clear" w:color="000000" w:fill="auto"/>
            <w:vAlign w:val="center"/>
            <w:hideMark/>
          </w:tcPr>
          <w:p w:rsidR="006404D3" w:rsidRPr="00E24A13" w:rsidRDefault="006404D3" w:rsidP="00297A9C">
            <w:pPr>
              <w:pStyle w:val="TableRow-left"/>
              <w:keepNext/>
              <w:keepLines/>
              <w:rPr>
                <w:b/>
                <w:bCs/>
                <w:color w:val="005DAA"/>
              </w:rPr>
            </w:pPr>
            <w:r w:rsidRPr="00E24A13">
              <w:rPr>
                <w:b/>
                <w:bCs/>
                <w:color w:val="005DAA"/>
              </w:rPr>
              <w:t xml:space="preserve">Final </w:t>
            </w:r>
            <w:r w:rsidR="009A6940">
              <w:rPr>
                <w:b/>
                <w:bCs/>
                <w:color w:val="005DAA"/>
              </w:rPr>
              <w:t>A</w:t>
            </w:r>
            <w:r w:rsidR="009A6940" w:rsidRPr="00E24A13">
              <w:rPr>
                <w:b/>
                <w:bCs/>
                <w:color w:val="005DAA"/>
              </w:rPr>
              <w:t xml:space="preserve">nalysis </w:t>
            </w:r>
            <w:r w:rsidR="009A6940">
              <w:rPr>
                <w:b/>
                <w:bCs/>
                <w:color w:val="005DAA"/>
              </w:rPr>
              <w:t>G</w:t>
            </w:r>
            <w:r w:rsidR="009A6940" w:rsidRPr="00E24A13">
              <w:rPr>
                <w:b/>
                <w:bCs/>
                <w:color w:val="005DAA"/>
              </w:rPr>
              <w:t>roup</w:t>
            </w:r>
          </w:p>
        </w:tc>
        <w:tc>
          <w:tcPr>
            <w:tcW w:w="699" w:type="pct"/>
            <w:shd w:val="clear" w:color="000000" w:fill="auto"/>
            <w:vAlign w:val="center"/>
            <w:hideMark/>
          </w:tcPr>
          <w:p w:rsidR="006404D3" w:rsidRPr="00E24A13" w:rsidRDefault="006404D3" w:rsidP="00297A9C">
            <w:pPr>
              <w:pStyle w:val="TableRow-right"/>
              <w:keepNext/>
              <w:keepLines/>
              <w:rPr>
                <w:b/>
                <w:bCs/>
                <w:color w:val="005DAA"/>
              </w:rPr>
            </w:pPr>
            <w:r>
              <w:rPr>
                <w:rFonts w:ascii="Calibri" w:hAnsi="Calibri"/>
                <w:b/>
                <w:bCs/>
                <w:color w:val="005DAA"/>
                <w:szCs w:val="20"/>
              </w:rPr>
              <w:t>114</w:t>
            </w:r>
          </w:p>
        </w:tc>
        <w:tc>
          <w:tcPr>
            <w:tcW w:w="635" w:type="pct"/>
            <w:shd w:val="clear" w:color="000000" w:fill="auto"/>
            <w:vAlign w:val="center"/>
            <w:hideMark/>
          </w:tcPr>
          <w:p w:rsidR="006404D3" w:rsidRPr="00E24A13" w:rsidRDefault="006404D3" w:rsidP="00297A9C">
            <w:pPr>
              <w:pStyle w:val="TableRow-right"/>
              <w:keepNext/>
              <w:keepLines/>
              <w:rPr>
                <w:b/>
                <w:bCs/>
                <w:color w:val="005DAA"/>
              </w:rPr>
            </w:pPr>
            <w:r>
              <w:rPr>
                <w:rFonts w:ascii="Calibri" w:hAnsi="Calibri"/>
                <w:b/>
                <w:bCs/>
                <w:color w:val="005DAA"/>
                <w:szCs w:val="20"/>
              </w:rPr>
              <w:t>43%</w:t>
            </w:r>
          </w:p>
        </w:tc>
        <w:tc>
          <w:tcPr>
            <w:tcW w:w="544" w:type="pct"/>
            <w:shd w:val="clear" w:color="000000" w:fill="auto"/>
            <w:vAlign w:val="center"/>
            <w:hideMark/>
          </w:tcPr>
          <w:p w:rsidR="006404D3" w:rsidRPr="00E24A13" w:rsidRDefault="006404D3" w:rsidP="00297A9C">
            <w:pPr>
              <w:pStyle w:val="TableRow-right"/>
              <w:keepNext/>
              <w:keepLines/>
              <w:rPr>
                <w:b/>
                <w:bCs/>
                <w:color w:val="005DAA"/>
              </w:rPr>
            </w:pPr>
            <w:r>
              <w:rPr>
                <w:rFonts w:ascii="Calibri" w:hAnsi="Calibri"/>
                <w:b/>
                <w:bCs/>
                <w:color w:val="005DAA"/>
                <w:szCs w:val="20"/>
              </w:rPr>
              <w:t>152</w:t>
            </w:r>
          </w:p>
        </w:tc>
        <w:tc>
          <w:tcPr>
            <w:tcW w:w="544" w:type="pct"/>
            <w:shd w:val="clear" w:color="000000" w:fill="auto"/>
            <w:vAlign w:val="center"/>
            <w:hideMark/>
          </w:tcPr>
          <w:p w:rsidR="006404D3" w:rsidRPr="00E24A13" w:rsidRDefault="006404D3" w:rsidP="00297A9C">
            <w:pPr>
              <w:pStyle w:val="TableRow-right"/>
              <w:keepNext/>
              <w:keepLines/>
              <w:rPr>
                <w:b/>
                <w:bCs/>
                <w:color w:val="005DAA"/>
              </w:rPr>
            </w:pPr>
            <w:r>
              <w:rPr>
                <w:rFonts w:ascii="Calibri" w:hAnsi="Calibri"/>
                <w:b/>
                <w:bCs/>
                <w:color w:val="005DAA"/>
                <w:szCs w:val="20"/>
              </w:rPr>
              <w:t>57%</w:t>
            </w:r>
          </w:p>
        </w:tc>
      </w:tr>
    </w:tbl>
    <w:p w:rsidR="006404D3" w:rsidRPr="00F50771" w:rsidRDefault="006404D3" w:rsidP="006404D3">
      <w:pPr>
        <w:pStyle w:val="NormalAfterTablesandFigures"/>
      </w:pPr>
    </w:p>
    <w:p w:rsidR="006E30B7" w:rsidRPr="005B12BB" w:rsidRDefault="006E30B7" w:rsidP="00130EBA"/>
    <w:p w:rsidR="006E30B7" w:rsidRDefault="006E30B7" w:rsidP="006E30B7">
      <w:pPr>
        <w:tabs>
          <w:tab w:val="left" w:pos="2880"/>
        </w:tabs>
        <w:ind w:left="3420" w:hanging="2430"/>
        <w:sectPr w:rsidR="006E30B7" w:rsidSect="00985CC7">
          <w:footerReference w:type="even" r:id="rId46"/>
          <w:footerReference w:type="default" r:id="rId47"/>
          <w:pgSz w:w="12240" w:h="15840"/>
          <w:pgMar w:top="1440" w:right="1440" w:bottom="1440" w:left="1440" w:header="720" w:footer="720" w:gutter="0"/>
          <w:cols w:space="720"/>
          <w:docGrid w:linePitch="360"/>
        </w:sectPr>
      </w:pPr>
    </w:p>
    <w:p w:rsidR="006E30B7" w:rsidRDefault="006E30B7" w:rsidP="006E30B7">
      <w:pPr>
        <w:pStyle w:val="Heading1"/>
      </w:pPr>
      <w:bookmarkStart w:id="173" w:name="_Toc389663858"/>
      <w:r>
        <w:lastRenderedPageBreak/>
        <w:t xml:space="preserve">Appendix </w:t>
      </w:r>
      <w:r w:rsidR="001D311B">
        <w:t>E</w:t>
      </w:r>
      <w:r>
        <w:t>. Billing Analysis Model Outputs</w:t>
      </w:r>
      <w:r w:rsidR="006D5A4A">
        <w:t xml:space="preserve"> for HES-IE SP1 &amp; SP4</w:t>
      </w:r>
      <w:bookmarkEnd w:id="173"/>
    </w:p>
    <w:p w:rsidR="00BF660E" w:rsidRPr="00BF660E" w:rsidRDefault="00BF660E" w:rsidP="0096060F">
      <w:pPr>
        <w:pStyle w:val="Heading3"/>
        <w:keepNext w:val="0"/>
        <w:keepLines w:val="0"/>
      </w:pPr>
      <w:r>
        <w:t>HES</w:t>
      </w:r>
      <w:r w:rsidR="00F33DC9">
        <w:t xml:space="preserve">-IE </w:t>
      </w:r>
      <w:r w:rsidR="001478F7">
        <w:t>Subprogram</w:t>
      </w:r>
      <w:r w:rsidR="00F33DC9">
        <w:t xml:space="preserve"> </w:t>
      </w:r>
      <w:r>
        <w:t>Electric Models</w:t>
      </w:r>
    </w:p>
    <w:p w:rsidR="00D26056" w:rsidRPr="00C67070" w:rsidRDefault="00BF660E" w:rsidP="009A6940">
      <w:pPr>
        <w:pStyle w:val="Caption"/>
        <w:keepNext w:val="0"/>
        <w:keepLines w:val="0"/>
      </w:pPr>
      <w:r>
        <w:t xml:space="preserve">Table </w:t>
      </w:r>
      <w:r w:rsidR="005C2163">
        <w:rPr>
          <w:b w:val="0"/>
          <w:bCs w:val="0"/>
        </w:rPr>
        <w:fldChar w:fldCharType="begin"/>
      </w:r>
      <w:r w:rsidR="00606CE0">
        <w:rPr>
          <w:b w:val="0"/>
          <w:bCs w:val="0"/>
        </w:rPr>
        <w:instrText xml:space="preserve"> SEQ Table \* ARABIC </w:instrText>
      </w:r>
      <w:r w:rsidR="005C2163">
        <w:rPr>
          <w:b w:val="0"/>
          <w:bCs w:val="0"/>
        </w:rPr>
        <w:fldChar w:fldCharType="separate"/>
      </w:r>
      <w:r w:rsidR="00CD20CF">
        <w:rPr>
          <w:b w:val="0"/>
          <w:bCs w:val="0"/>
          <w:noProof/>
        </w:rPr>
        <w:t>103</w:t>
      </w:r>
      <w:r w:rsidR="005C2163">
        <w:rPr>
          <w:b w:val="0"/>
          <w:bCs w:val="0"/>
          <w:noProof/>
          <w:color w:val="auto"/>
          <w:szCs w:val="22"/>
        </w:rPr>
        <w:fldChar w:fldCharType="end"/>
      </w:r>
      <w:r>
        <w:t>. Overall HES</w:t>
      </w:r>
      <w:r w:rsidR="00F33DC9">
        <w:t>-IE SP1</w:t>
      </w:r>
      <w:r>
        <w:t xml:space="preserve"> </w:t>
      </w:r>
      <w:r w:rsidR="00FB2664">
        <w:t>Electric</w:t>
      </w:r>
      <w:r>
        <w:t xml:space="preserve"> Savings Model Output After Screening</w:t>
      </w:r>
      <w:r w:rsidR="009A6940">
        <w:t xml:space="preserve"> </w:t>
      </w:r>
      <w:r w:rsidR="009A6940">
        <w:br/>
      </w:r>
      <w:r w:rsidR="00D26056" w:rsidRPr="00C67070">
        <w:t>(n=1,348 participants</w:t>
      </w:r>
      <w:r w:rsidR="009A6940">
        <w:t>;</w:t>
      </w:r>
      <w:r w:rsidR="00D26056" w:rsidRPr="00C67070">
        <w:t xml:space="preserve"> n=197 nonparticipants)</w:t>
      </w:r>
    </w:p>
    <w:tbl>
      <w:tblPr>
        <w:tblW w:w="500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30"/>
        <w:gridCol w:w="2222"/>
        <w:gridCol w:w="2267"/>
        <w:gridCol w:w="1734"/>
        <w:gridCol w:w="994"/>
        <w:gridCol w:w="1029"/>
      </w:tblGrid>
      <w:tr w:rsidR="00D26056" w:rsidRPr="006F1941" w:rsidTr="00130EBA">
        <w:trPr>
          <w:jc w:val="center"/>
        </w:trPr>
        <w:tc>
          <w:tcPr>
            <w:tcW w:w="0" w:type="auto"/>
            <w:shd w:val="clear" w:color="000000" w:fill="005DAA"/>
            <w:noWrap/>
            <w:vAlign w:val="center"/>
            <w:hideMark/>
          </w:tcPr>
          <w:p w:rsidR="00D26056" w:rsidRPr="006F1941" w:rsidRDefault="00D26056" w:rsidP="00130EBA">
            <w:pPr>
              <w:keepNext/>
              <w:keepLines/>
              <w:spacing w:after="0"/>
              <w:jc w:val="center"/>
              <w:rPr>
                <w:rFonts w:ascii="Calibri" w:eastAsia="Times New Roman" w:hAnsi="Calibri" w:cs="Times New Roman"/>
                <w:b/>
                <w:bCs/>
                <w:color w:val="FFFFFF"/>
              </w:rPr>
            </w:pPr>
            <w:r w:rsidRPr="006F1941">
              <w:rPr>
                <w:rFonts w:ascii="Calibri" w:eastAsia="Times New Roman" w:hAnsi="Calibri" w:cs="Times New Roman"/>
                <w:b/>
                <w:bCs/>
                <w:color w:val="FFFFFF"/>
              </w:rPr>
              <w:t>Group</w:t>
            </w:r>
          </w:p>
        </w:tc>
        <w:tc>
          <w:tcPr>
            <w:tcW w:w="0" w:type="auto"/>
            <w:shd w:val="clear" w:color="000000" w:fill="005DAA"/>
            <w:noWrap/>
            <w:vAlign w:val="center"/>
            <w:hideMark/>
          </w:tcPr>
          <w:p w:rsidR="00D26056" w:rsidRPr="006F1941" w:rsidRDefault="00D26056" w:rsidP="00130EBA">
            <w:pPr>
              <w:keepNext/>
              <w:keepLines/>
              <w:spacing w:after="0"/>
              <w:jc w:val="center"/>
              <w:rPr>
                <w:rFonts w:ascii="Calibri" w:eastAsia="Times New Roman" w:hAnsi="Calibri" w:cs="Times New Roman"/>
                <w:b/>
                <w:bCs/>
                <w:color w:val="FFFFFF"/>
              </w:rPr>
            </w:pPr>
            <w:r w:rsidRPr="006F1941">
              <w:rPr>
                <w:rFonts w:ascii="Calibri" w:eastAsia="Times New Roman" w:hAnsi="Calibri" w:cs="Times New Roman"/>
                <w:b/>
                <w:bCs/>
                <w:color w:val="FFFFFF"/>
              </w:rPr>
              <w:t>Variable</w:t>
            </w:r>
          </w:p>
        </w:tc>
        <w:tc>
          <w:tcPr>
            <w:tcW w:w="0" w:type="auto"/>
            <w:shd w:val="clear" w:color="000000" w:fill="005DAA"/>
            <w:noWrap/>
            <w:vAlign w:val="center"/>
            <w:hideMark/>
          </w:tcPr>
          <w:p w:rsidR="00D26056" w:rsidRPr="006F1941" w:rsidRDefault="00D26056" w:rsidP="00130EBA">
            <w:pPr>
              <w:keepNext/>
              <w:keepLines/>
              <w:spacing w:after="0"/>
              <w:jc w:val="center"/>
              <w:rPr>
                <w:rFonts w:ascii="Calibri" w:eastAsia="Times New Roman" w:hAnsi="Calibri" w:cs="Times New Roman"/>
                <w:b/>
                <w:bCs/>
                <w:color w:val="FFFFFF"/>
              </w:rPr>
            </w:pPr>
            <w:r w:rsidRPr="006F1941">
              <w:rPr>
                <w:rFonts w:ascii="Calibri" w:eastAsia="Times New Roman" w:hAnsi="Calibri" w:cs="Times New Roman"/>
                <w:b/>
                <w:bCs/>
                <w:color w:val="FFFFFF"/>
              </w:rPr>
              <w:t>Parameter Estimate</w:t>
            </w:r>
          </w:p>
        </w:tc>
        <w:tc>
          <w:tcPr>
            <w:tcW w:w="0" w:type="auto"/>
            <w:shd w:val="clear" w:color="000000" w:fill="005DAA"/>
            <w:noWrap/>
            <w:vAlign w:val="center"/>
            <w:hideMark/>
          </w:tcPr>
          <w:p w:rsidR="00D26056" w:rsidRPr="006F1941" w:rsidRDefault="00D26056" w:rsidP="00130EBA">
            <w:pPr>
              <w:keepNext/>
              <w:keepLines/>
              <w:spacing w:after="0"/>
              <w:jc w:val="center"/>
              <w:rPr>
                <w:rFonts w:ascii="Calibri" w:eastAsia="Times New Roman" w:hAnsi="Calibri" w:cs="Times New Roman"/>
                <w:b/>
                <w:bCs/>
                <w:color w:val="FFFFFF"/>
              </w:rPr>
            </w:pPr>
            <w:r w:rsidRPr="006F1941">
              <w:rPr>
                <w:rFonts w:ascii="Calibri" w:eastAsia="Times New Roman" w:hAnsi="Calibri" w:cs="Times New Roman"/>
                <w:b/>
                <w:bCs/>
                <w:color w:val="FFFFFF"/>
              </w:rPr>
              <w:t>Standard Error</w:t>
            </w:r>
          </w:p>
        </w:tc>
        <w:tc>
          <w:tcPr>
            <w:tcW w:w="0" w:type="auto"/>
            <w:shd w:val="clear" w:color="000000" w:fill="005DAA"/>
            <w:noWrap/>
            <w:vAlign w:val="center"/>
            <w:hideMark/>
          </w:tcPr>
          <w:p w:rsidR="00D26056" w:rsidRPr="006F1941" w:rsidRDefault="00D26056" w:rsidP="00130EBA">
            <w:pPr>
              <w:keepNext/>
              <w:keepLines/>
              <w:spacing w:after="0"/>
              <w:jc w:val="center"/>
              <w:rPr>
                <w:rFonts w:ascii="Calibri" w:eastAsia="Times New Roman" w:hAnsi="Calibri" w:cs="Times New Roman"/>
                <w:b/>
                <w:bCs/>
                <w:color w:val="FFFFFF"/>
              </w:rPr>
            </w:pPr>
            <w:r w:rsidRPr="006F1941">
              <w:rPr>
                <w:rFonts w:ascii="Calibri" w:eastAsia="Times New Roman" w:hAnsi="Calibri" w:cs="Times New Roman"/>
                <w:b/>
                <w:bCs/>
                <w:color w:val="FFFFFF"/>
              </w:rPr>
              <w:t>Z-Score</w:t>
            </w:r>
          </w:p>
        </w:tc>
        <w:tc>
          <w:tcPr>
            <w:tcW w:w="0" w:type="auto"/>
            <w:shd w:val="clear" w:color="000000" w:fill="005DAA"/>
            <w:noWrap/>
            <w:vAlign w:val="center"/>
            <w:hideMark/>
          </w:tcPr>
          <w:p w:rsidR="00D26056" w:rsidRPr="006F1941" w:rsidRDefault="00D26056" w:rsidP="00130EBA">
            <w:pPr>
              <w:keepNext/>
              <w:keepLines/>
              <w:spacing w:after="0"/>
              <w:jc w:val="center"/>
              <w:rPr>
                <w:rFonts w:ascii="Calibri" w:eastAsia="Times New Roman" w:hAnsi="Calibri" w:cs="Times New Roman"/>
                <w:b/>
                <w:bCs/>
                <w:color w:val="FFFFFF"/>
              </w:rPr>
            </w:pPr>
            <w:r w:rsidRPr="006F1941">
              <w:rPr>
                <w:rFonts w:ascii="Calibri" w:eastAsia="Times New Roman" w:hAnsi="Calibri" w:cs="Times New Roman"/>
                <w:b/>
                <w:bCs/>
                <w:color w:val="FFFFFF"/>
              </w:rPr>
              <w:t>p-Value</w:t>
            </w:r>
          </w:p>
        </w:tc>
      </w:tr>
      <w:tr w:rsidR="00D26056" w:rsidRPr="006F1941" w:rsidTr="00130EBA">
        <w:trPr>
          <w:jc w:val="center"/>
        </w:trPr>
        <w:tc>
          <w:tcPr>
            <w:tcW w:w="0" w:type="auto"/>
            <w:vMerge w:val="restart"/>
            <w:shd w:val="clear" w:color="auto" w:fill="auto"/>
            <w:noWrap/>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Participant</w:t>
            </w:r>
          </w:p>
        </w:tc>
        <w:tc>
          <w:tcPr>
            <w:tcW w:w="0" w:type="auto"/>
            <w:shd w:val="clear" w:color="auto" w:fill="auto"/>
            <w:noWrap/>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AvgHDD</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0.3489</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0.0183</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19.05</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&lt;.0001</w:t>
            </w:r>
          </w:p>
        </w:tc>
      </w:tr>
      <w:tr w:rsidR="00D26056" w:rsidRPr="006F1941" w:rsidTr="00130EBA">
        <w:trPr>
          <w:jc w:val="center"/>
        </w:trPr>
        <w:tc>
          <w:tcPr>
            <w:tcW w:w="0" w:type="auto"/>
            <w:vMerge/>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AvgCDD</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1.2102</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0.0369</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32.82</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&lt;.0001</w:t>
            </w:r>
          </w:p>
        </w:tc>
      </w:tr>
      <w:tr w:rsidR="00D26056" w:rsidRPr="006F1941" w:rsidTr="00130EBA">
        <w:trPr>
          <w:jc w:val="center"/>
        </w:trPr>
        <w:tc>
          <w:tcPr>
            <w:tcW w:w="0" w:type="auto"/>
            <w:vMerge/>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Other Program * HDD</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0.1565</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0.1274</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1.23</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0.2193</w:t>
            </w:r>
          </w:p>
        </w:tc>
      </w:tr>
      <w:tr w:rsidR="00D26056" w:rsidRPr="006F1941" w:rsidTr="00130EBA">
        <w:trPr>
          <w:jc w:val="center"/>
        </w:trPr>
        <w:tc>
          <w:tcPr>
            <w:tcW w:w="0" w:type="auto"/>
            <w:vMerge/>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HER *HDD</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0.7026</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0.1593</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4.41</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&lt;.0001</w:t>
            </w:r>
          </w:p>
        </w:tc>
      </w:tr>
      <w:tr w:rsidR="00D26056" w:rsidRPr="006F1941" w:rsidTr="00130EBA">
        <w:trPr>
          <w:jc w:val="center"/>
        </w:trPr>
        <w:tc>
          <w:tcPr>
            <w:tcW w:w="0" w:type="auto"/>
            <w:vMerge/>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Other Program *CDD</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-0.3204</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0.2618</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-1.22</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0.2211</w:t>
            </w:r>
          </w:p>
        </w:tc>
      </w:tr>
      <w:tr w:rsidR="00D26056" w:rsidRPr="006F1941" w:rsidTr="00130EBA">
        <w:trPr>
          <w:jc w:val="center"/>
        </w:trPr>
        <w:tc>
          <w:tcPr>
            <w:tcW w:w="0" w:type="auto"/>
            <w:vMerge/>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HER * CDD</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1.1216</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0.3008</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3.73</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0.0002</w:t>
            </w:r>
          </w:p>
        </w:tc>
      </w:tr>
      <w:tr w:rsidR="00D26056" w:rsidRPr="006F1941" w:rsidTr="00130EBA">
        <w:trPr>
          <w:jc w:val="center"/>
        </w:trPr>
        <w:tc>
          <w:tcPr>
            <w:tcW w:w="0" w:type="auto"/>
            <w:vMerge/>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Post</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-1.3003</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0.1583</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-8.21</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&lt;.0001</w:t>
            </w:r>
          </w:p>
        </w:tc>
      </w:tr>
      <w:tr w:rsidR="00D26056" w:rsidRPr="006F1941" w:rsidTr="00130EBA">
        <w:trPr>
          <w:jc w:val="center"/>
        </w:trPr>
        <w:tc>
          <w:tcPr>
            <w:tcW w:w="0" w:type="auto"/>
            <w:vMerge/>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Post*HDD</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-0.0476</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0.0085</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-5.6</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&lt;.0001</w:t>
            </w:r>
          </w:p>
        </w:tc>
      </w:tr>
      <w:tr w:rsidR="00D26056" w:rsidRPr="006F1941" w:rsidTr="00130EBA">
        <w:trPr>
          <w:jc w:val="center"/>
        </w:trPr>
        <w:tc>
          <w:tcPr>
            <w:tcW w:w="0" w:type="auto"/>
            <w:vMerge/>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Post*CDD</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-0.027</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0.0243</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-1.11</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0.2659</w:t>
            </w:r>
          </w:p>
        </w:tc>
      </w:tr>
      <w:tr w:rsidR="00D26056" w:rsidRPr="006F1941" w:rsidTr="00130EBA">
        <w:trPr>
          <w:jc w:val="center"/>
        </w:trPr>
        <w:tc>
          <w:tcPr>
            <w:tcW w:w="0" w:type="auto"/>
            <w:vMerge/>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HER * Post</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-0.4009</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0.9844</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-0.41</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0.6839</w:t>
            </w:r>
          </w:p>
        </w:tc>
      </w:tr>
      <w:tr w:rsidR="00D26056" w:rsidRPr="006F1941" w:rsidTr="00130EBA">
        <w:trPr>
          <w:jc w:val="center"/>
        </w:trPr>
        <w:tc>
          <w:tcPr>
            <w:tcW w:w="0" w:type="auto"/>
            <w:vMerge/>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Other Program * Post</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-9.499</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5.2006</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-1.83</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0.0678</w:t>
            </w:r>
          </w:p>
        </w:tc>
      </w:tr>
      <w:tr w:rsidR="00D26056" w:rsidRPr="006F1941" w:rsidTr="00130EBA">
        <w:trPr>
          <w:jc w:val="center"/>
        </w:trPr>
        <w:tc>
          <w:tcPr>
            <w:tcW w:w="0" w:type="auto"/>
            <w:vMerge w:val="restart"/>
            <w:shd w:val="clear" w:color="auto" w:fill="auto"/>
            <w:noWrap/>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Comparison</w:t>
            </w:r>
          </w:p>
        </w:tc>
        <w:tc>
          <w:tcPr>
            <w:tcW w:w="0" w:type="auto"/>
            <w:shd w:val="clear" w:color="auto" w:fill="auto"/>
            <w:noWrap/>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AvgHDD</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0.3909</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0.0483</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8.09</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&lt;.0001</w:t>
            </w:r>
          </w:p>
        </w:tc>
      </w:tr>
      <w:tr w:rsidR="00D26056" w:rsidRPr="006F1941" w:rsidTr="00130EBA">
        <w:trPr>
          <w:jc w:val="center"/>
        </w:trPr>
        <w:tc>
          <w:tcPr>
            <w:tcW w:w="0" w:type="auto"/>
            <w:vMerge/>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AvgCDD</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1.2219</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0.0951</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12.85</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&lt;.0001</w:t>
            </w:r>
          </w:p>
        </w:tc>
      </w:tr>
      <w:tr w:rsidR="00D26056" w:rsidRPr="006F1941" w:rsidTr="00130EBA">
        <w:trPr>
          <w:jc w:val="center"/>
        </w:trPr>
        <w:tc>
          <w:tcPr>
            <w:tcW w:w="0" w:type="auto"/>
            <w:vMerge/>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Other Program * HDD</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-0.3019</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0.057</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-5.29</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&lt;.0001</w:t>
            </w:r>
          </w:p>
        </w:tc>
      </w:tr>
      <w:tr w:rsidR="00D26056" w:rsidRPr="006F1941" w:rsidTr="00130EBA">
        <w:trPr>
          <w:jc w:val="center"/>
        </w:trPr>
        <w:tc>
          <w:tcPr>
            <w:tcW w:w="0" w:type="auto"/>
            <w:vMerge/>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HER *HDD</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0.9481</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0.0479</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19.8</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&lt;.0001</w:t>
            </w:r>
          </w:p>
        </w:tc>
      </w:tr>
      <w:tr w:rsidR="00D26056" w:rsidRPr="006F1941" w:rsidTr="00130EBA">
        <w:trPr>
          <w:jc w:val="center"/>
        </w:trPr>
        <w:tc>
          <w:tcPr>
            <w:tcW w:w="0" w:type="auto"/>
            <w:vMerge/>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Other Program *CDD</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-0.2041</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0.2586</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-0.79</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0.4299</w:t>
            </w:r>
          </w:p>
        </w:tc>
      </w:tr>
      <w:tr w:rsidR="00D26056" w:rsidRPr="006F1941" w:rsidTr="00130EBA">
        <w:trPr>
          <w:jc w:val="center"/>
        </w:trPr>
        <w:tc>
          <w:tcPr>
            <w:tcW w:w="0" w:type="auto"/>
            <w:vMerge/>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HER * CDD</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1.6066</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0.0934</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17.21</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&lt;.0001</w:t>
            </w:r>
          </w:p>
        </w:tc>
      </w:tr>
      <w:tr w:rsidR="00D26056" w:rsidRPr="006F1941" w:rsidTr="00130EBA">
        <w:trPr>
          <w:jc w:val="center"/>
        </w:trPr>
        <w:tc>
          <w:tcPr>
            <w:tcW w:w="0" w:type="auto"/>
            <w:vMerge/>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Post</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-0.1223</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0.4639</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-0.26</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0.792</w:t>
            </w:r>
          </w:p>
        </w:tc>
      </w:tr>
      <w:tr w:rsidR="00D26056" w:rsidRPr="006F1941" w:rsidTr="00130EBA">
        <w:trPr>
          <w:jc w:val="center"/>
        </w:trPr>
        <w:tc>
          <w:tcPr>
            <w:tcW w:w="0" w:type="auto"/>
            <w:vMerge/>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Post*HDD</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0.0457</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0.0193</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2.37</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0.0177</w:t>
            </w:r>
          </w:p>
        </w:tc>
      </w:tr>
      <w:tr w:rsidR="00D26056" w:rsidRPr="006F1941" w:rsidTr="00130EBA">
        <w:trPr>
          <w:jc w:val="center"/>
        </w:trPr>
        <w:tc>
          <w:tcPr>
            <w:tcW w:w="0" w:type="auto"/>
            <w:vMerge/>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Post*CDD</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0.1703</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0.0722</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2.36</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0.0183</w:t>
            </w:r>
          </w:p>
        </w:tc>
      </w:tr>
      <w:tr w:rsidR="00D26056" w:rsidRPr="006F1941" w:rsidTr="00130EBA">
        <w:trPr>
          <w:jc w:val="center"/>
        </w:trPr>
        <w:tc>
          <w:tcPr>
            <w:tcW w:w="0" w:type="auto"/>
            <w:vMerge/>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HER * Post</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-1.9488</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0.3352</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-5.81</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&lt;.0001</w:t>
            </w:r>
          </w:p>
        </w:tc>
      </w:tr>
      <w:tr w:rsidR="00D26056" w:rsidRPr="006F1941" w:rsidTr="00130EBA">
        <w:trPr>
          <w:jc w:val="center"/>
        </w:trPr>
        <w:tc>
          <w:tcPr>
            <w:tcW w:w="0" w:type="auto"/>
            <w:vMerge/>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6F1941" w:rsidRDefault="00D26056" w:rsidP="00130EBA">
            <w:pPr>
              <w:keepNext/>
              <w:keepLines/>
              <w:spacing w:after="0"/>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Other Program * Post</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-5.601</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1.8904</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-2.96</w:t>
            </w:r>
          </w:p>
        </w:tc>
        <w:tc>
          <w:tcPr>
            <w:tcW w:w="0" w:type="auto"/>
            <w:shd w:val="clear" w:color="auto" w:fill="auto"/>
            <w:noWrap/>
            <w:vAlign w:val="center"/>
            <w:hideMark/>
          </w:tcPr>
          <w:p w:rsidR="00D26056" w:rsidRPr="006F1941" w:rsidRDefault="00D26056" w:rsidP="00130EBA">
            <w:pPr>
              <w:keepNext/>
              <w:keepLines/>
              <w:spacing w:after="0"/>
              <w:jc w:val="right"/>
              <w:rPr>
                <w:rFonts w:ascii="Calibri" w:eastAsia="Times New Roman" w:hAnsi="Calibri" w:cs="Times New Roman"/>
                <w:color w:val="000000"/>
                <w:sz w:val="20"/>
                <w:szCs w:val="20"/>
              </w:rPr>
            </w:pPr>
            <w:r w:rsidRPr="006F1941">
              <w:rPr>
                <w:rFonts w:ascii="Calibri" w:eastAsia="Times New Roman" w:hAnsi="Calibri" w:cs="Times New Roman"/>
                <w:color w:val="000000"/>
                <w:sz w:val="20"/>
                <w:szCs w:val="20"/>
              </w:rPr>
              <w:t>0.003</w:t>
            </w:r>
          </w:p>
        </w:tc>
      </w:tr>
    </w:tbl>
    <w:p w:rsidR="00D26056" w:rsidRDefault="00D26056" w:rsidP="00130EBA">
      <w:pPr>
        <w:pStyle w:val="NormalAfterTablesandFigures"/>
      </w:pPr>
    </w:p>
    <w:p w:rsidR="00D26056" w:rsidRDefault="00BF660E" w:rsidP="009A6940">
      <w:pPr>
        <w:pStyle w:val="Caption"/>
      </w:pPr>
      <w:r>
        <w:lastRenderedPageBreak/>
        <w:t xml:space="preserve">Table </w:t>
      </w:r>
      <w:r w:rsidR="005C2163">
        <w:rPr>
          <w:b w:val="0"/>
          <w:bCs w:val="0"/>
        </w:rPr>
        <w:fldChar w:fldCharType="begin"/>
      </w:r>
      <w:r w:rsidR="00606CE0">
        <w:rPr>
          <w:b w:val="0"/>
          <w:bCs w:val="0"/>
        </w:rPr>
        <w:instrText xml:space="preserve"> SEQ Table \* ARABIC </w:instrText>
      </w:r>
      <w:r w:rsidR="005C2163">
        <w:rPr>
          <w:b w:val="0"/>
          <w:bCs w:val="0"/>
        </w:rPr>
        <w:fldChar w:fldCharType="separate"/>
      </w:r>
      <w:r w:rsidR="00CD20CF">
        <w:rPr>
          <w:b w:val="0"/>
          <w:bCs w:val="0"/>
          <w:noProof/>
        </w:rPr>
        <w:t>104</w:t>
      </w:r>
      <w:r w:rsidR="005C2163">
        <w:rPr>
          <w:b w:val="0"/>
          <w:bCs w:val="0"/>
          <w:noProof/>
          <w:color w:val="auto"/>
          <w:szCs w:val="22"/>
        </w:rPr>
        <w:fldChar w:fldCharType="end"/>
      </w:r>
      <w:r>
        <w:t>.</w:t>
      </w:r>
      <w:r w:rsidR="00F33DC9">
        <w:t>Overall</w:t>
      </w:r>
      <w:r>
        <w:t xml:space="preserve"> HES</w:t>
      </w:r>
      <w:r w:rsidR="00F33DC9">
        <w:t>-IE</w:t>
      </w:r>
      <w:r>
        <w:t xml:space="preserve"> </w:t>
      </w:r>
      <w:r w:rsidR="00F33DC9">
        <w:t xml:space="preserve">SP4 </w:t>
      </w:r>
      <w:r w:rsidR="00FB2664">
        <w:t>Electric</w:t>
      </w:r>
      <w:r>
        <w:t xml:space="preserve"> Savings Model Output After Screening</w:t>
      </w:r>
      <w:r w:rsidR="009A6940">
        <w:t xml:space="preserve"> </w:t>
      </w:r>
      <w:r w:rsidR="009A6940">
        <w:br/>
      </w:r>
      <w:r w:rsidR="00D26056" w:rsidRPr="00C67070">
        <w:t>(n=2,670 participant</w:t>
      </w:r>
      <w:r w:rsidR="009A6940">
        <w:t>;</w:t>
      </w:r>
      <w:r w:rsidR="00D26056" w:rsidRPr="00C67070">
        <w:t xml:space="preserve"> n=256 nonparticipant)</w:t>
      </w:r>
    </w:p>
    <w:tbl>
      <w:tblPr>
        <w:tblW w:w="500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30"/>
        <w:gridCol w:w="2222"/>
        <w:gridCol w:w="2267"/>
        <w:gridCol w:w="1734"/>
        <w:gridCol w:w="994"/>
        <w:gridCol w:w="1029"/>
      </w:tblGrid>
      <w:tr w:rsidR="00D26056" w:rsidRPr="00C67070" w:rsidTr="00130EBA">
        <w:trPr>
          <w:jc w:val="center"/>
        </w:trPr>
        <w:tc>
          <w:tcPr>
            <w:tcW w:w="0" w:type="auto"/>
            <w:shd w:val="clear" w:color="000000" w:fill="005DAA"/>
            <w:noWrap/>
            <w:vAlign w:val="center"/>
            <w:hideMark/>
          </w:tcPr>
          <w:p w:rsidR="00D26056" w:rsidRPr="00C67070" w:rsidRDefault="00D26056" w:rsidP="00130EBA">
            <w:pPr>
              <w:keepNext/>
              <w:keepLines/>
              <w:spacing w:after="0"/>
              <w:jc w:val="center"/>
              <w:rPr>
                <w:rFonts w:ascii="Calibri" w:eastAsia="Times New Roman" w:hAnsi="Calibri" w:cs="Times New Roman"/>
                <w:b/>
                <w:bCs/>
                <w:color w:val="FFFFFF"/>
              </w:rPr>
            </w:pPr>
            <w:r w:rsidRPr="00C67070">
              <w:rPr>
                <w:rFonts w:ascii="Calibri" w:eastAsia="Times New Roman" w:hAnsi="Calibri" w:cs="Times New Roman"/>
                <w:b/>
                <w:bCs/>
                <w:color w:val="FFFFFF"/>
              </w:rPr>
              <w:t>Group</w:t>
            </w:r>
          </w:p>
        </w:tc>
        <w:tc>
          <w:tcPr>
            <w:tcW w:w="0" w:type="auto"/>
            <w:shd w:val="clear" w:color="000000" w:fill="005DAA"/>
            <w:noWrap/>
            <w:vAlign w:val="center"/>
            <w:hideMark/>
          </w:tcPr>
          <w:p w:rsidR="00D26056" w:rsidRPr="00C67070" w:rsidRDefault="00D26056" w:rsidP="00130EBA">
            <w:pPr>
              <w:keepNext/>
              <w:keepLines/>
              <w:spacing w:after="0"/>
              <w:jc w:val="center"/>
              <w:rPr>
                <w:rFonts w:ascii="Calibri" w:eastAsia="Times New Roman" w:hAnsi="Calibri" w:cs="Times New Roman"/>
                <w:b/>
                <w:bCs/>
                <w:color w:val="FFFFFF"/>
              </w:rPr>
            </w:pPr>
            <w:r w:rsidRPr="00C67070">
              <w:rPr>
                <w:rFonts w:ascii="Calibri" w:eastAsia="Times New Roman" w:hAnsi="Calibri" w:cs="Times New Roman"/>
                <w:b/>
                <w:bCs/>
                <w:color w:val="FFFFFF"/>
              </w:rPr>
              <w:t>Variable</w:t>
            </w:r>
          </w:p>
        </w:tc>
        <w:tc>
          <w:tcPr>
            <w:tcW w:w="0" w:type="auto"/>
            <w:shd w:val="clear" w:color="000000" w:fill="005DAA"/>
            <w:noWrap/>
            <w:vAlign w:val="center"/>
            <w:hideMark/>
          </w:tcPr>
          <w:p w:rsidR="00D26056" w:rsidRPr="00C67070" w:rsidRDefault="00D26056" w:rsidP="00130EBA">
            <w:pPr>
              <w:keepNext/>
              <w:keepLines/>
              <w:spacing w:after="0"/>
              <w:jc w:val="center"/>
              <w:rPr>
                <w:rFonts w:ascii="Calibri" w:eastAsia="Times New Roman" w:hAnsi="Calibri" w:cs="Times New Roman"/>
                <w:b/>
                <w:bCs/>
                <w:color w:val="FFFFFF"/>
              </w:rPr>
            </w:pPr>
            <w:r w:rsidRPr="00C67070">
              <w:rPr>
                <w:rFonts w:ascii="Calibri" w:eastAsia="Times New Roman" w:hAnsi="Calibri" w:cs="Times New Roman"/>
                <w:b/>
                <w:bCs/>
                <w:color w:val="FFFFFF"/>
              </w:rPr>
              <w:t>Parameter Estimate</w:t>
            </w:r>
          </w:p>
        </w:tc>
        <w:tc>
          <w:tcPr>
            <w:tcW w:w="0" w:type="auto"/>
            <w:shd w:val="clear" w:color="000000" w:fill="005DAA"/>
            <w:noWrap/>
            <w:vAlign w:val="center"/>
            <w:hideMark/>
          </w:tcPr>
          <w:p w:rsidR="00D26056" w:rsidRPr="00C67070" w:rsidRDefault="00D26056" w:rsidP="00130EBA">
            <w:pPr>
              <w:keepNext/>
              <w:keepLines/>
              <w:spacing w:after="0"/>
              <w:jc w:val="center"/>
              <w:rPr>
                <w:rFonts w:ascii="Calibri" w:eastAsia="Times New Roman" w:hAnsi="Calibri" w:cs="Times New Roman"/>
                <w:b/>
                <w:bCs/>
                <w:color w:val="FFFFFF"/>
              </w:rPr>
            </w:pPr>
            <w:r w:rsidRPr="00C67070">
              <w:rPr>
                <w:rFonts w:ascii="Calibri" w:eastAsia="Times New Roman" w:hAnsi="Calibri" w:cs="Times New Roman"/>
                <w:b/>
                <w:bCs/>
                <w:color w:val="FFFFFF"/>
              </w:rPr>
              <w:t>Standard Error</w:t>
            </w:r>
          </w:p>
        </w:tc>
        <w:tc>
          <w:tcPr>
            <w:tcW w:w="0" w:type="auto"/>
            <w:shd w:val="clear" w:color="000000" w:fill="005DAA"/>
            <w:noWrap/>
            <w:vAlign w:val="center"/>
            <w:hideMark/>
          </w:tcPr>
          <w:p w:rsidR="00D26056" w:rsidRPr="00C67070" w:rsidRDefault="00D26056" w:rsidP="00130EBA">
            <w:pPr>
              <w:keepNext/>
              <w:keepLines/>
              <w:spacing w:after="0"/>
              <w:jc w:val="center"/>
              <w:rPr>
                <w:rFonts w:ascii="Calibri" w:eastAsia="Times New Roman" w:hAnsi="Calibri" w:cs="Times New Roman"/>
                <w:b/>
                <w:bCs/>
                <w:color w:val="FFFFFF"/>
              </w:rPr>
            </w:pPr>
            <w:r w:rsidRPr="00C67070">
              <w:rPr>
                <w:rFonts w:ascii="Calibri" w:eastAsia="Times New Roman" w:hAnsi="Calibri" w:cs="Times New Roman"/>
                <w:b/>
                <w:bCs/>
                <w:color w:val="FFFFFF"/>
              </w:rPr>
              <w:t>Z-Score</w:t>
            </w:r>
          </w:p>
        </w:tc>
        <w:tc>
          <w:tcPr>
            <w:tcW w:w="0" w:type="auto"/>
            <w:shd w:val="clear" w:color="000000" w:fill="005DAA"/>
            <w:noWrap/>
            <w:vAlign w:val="center"/>
            <w:hideMark/>
          </w:tcPr>
          <w:p w:rsidR="00D26056" w:rsidRPr="00C67070" w:rsidRDefault="00D26056" w:rsidP="00130EBA">
            <w:pPr>
              <w:keepNext/>
              <w:keepLines/>
              <w:spacing w:after="0"/>
              <w:jc w:val="center"/>
              <w:rPr>
                <w:rFonts w:ascii="Calibri" w:eastAsia="Times New Roman" w:hAnsi="Calibri" w:cs="Times New Roman"/>
                <w:b/>
                <w:bCs/>
                <w:color w:val="FFFFFF"/>
              </w:rPr>
            </w:pPr>
            <w:r w:rsidRPr="00C67070">
              <w:rPr>
                <w:rFonts w:ascii="Calibri" w:eastAsia="Times New Roman" w:hAnsi="Calibri" w:cs="Times New Roman"/>
                <w:b/>
                <w:bCs/>
                <w:color w:val="FFFFFF"/>
              </w:rPr>
              <w:t>p-Value</w:t>
            </w:r>
          </w:p>
        </w:tc>
      </w:tr>
      <w:tr w:rsidR="00D26056" w:rsidRPr="00C67070" w:rsidTr="00130EBA">
        <w:trPr>
          <w:jc w:val="center"/>
        </w:trPr>
        <w:tc>
          <w:tcPr>
            <w:tcW w:w="0" w:type="auto"/>
            <w:vMerge w:val="restart"/>
            <w:shd w:val="clear" w:color="auto" w:fill="auto"/>
            <w:noWrap/>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Participant</w:t>
            </w:r>
          </w:p>
        </w:tc>
        <w:tc>
          <w:tcPr>
            <w:tcW w:w="0" w:type="auto"/>
            <w:shd w:val="clear" w:color="auto" w:fill="auto"/>
            <w:noWrap/>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AvgHDD</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0.2082</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0.0075</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27.93</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&lt;.0001</w:t>
            </w:r>
          </w:p>
        </w:tc>
      </w:tr>
      <w:tr w:rsidR="00D26056" w:rsidRPr="00C67070" w:rsidTr="00130EBA">
        <w:trPr>
          <w:jc w:val="center"/>
        </w:trPr>
        <w:tc>
          <w:tcPr>
            <w:tcW w:w="0" w:type="auto"/>
            <w:vMerge/>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AvgCDD</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0.8216</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0.0269</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30.58</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&lt;.0001</w:t>
            </w:r>
          </w:p>
        </w:tc>
      </w:tr>
      <w:tr w:rsidR="00D26056" w:rsidRPr="00C67070" w:rsidTr="00130EBA">
        <w:trPr>
          <w:jc w:val="center"/>
        </w:trPr>
        <w:tc>
          <w:tcPr>
            <w:tcW w:w="0" w:type="auto"/>
            <w:vMerge/>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Other Program * HDD</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w:t>
            </w:r>
          </w:p>
        </w:tc>
      </w:tr>
      <w:tr w:rsidR="00D26056" w:rsidRPr="00C67070" w:rsidTr="00130EBA">
        <w:trPr>
          <w:jc w:val="center"/>
        </w:trPr>
        <w:tc>
          <w:tcPr>
            <w:tcW w:w="0" w:type="auto"/>
            <w:vMerge/>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HER *HDD</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0.5185</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0.2197</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2.36</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0.0183</w:t>
            </w:r>
          </w:p>
        </w:tc>
      </w:tr>
      <w:tr w:rsidR="00D26056" w:rsidRPr="00C67070" w:rsidTr="00130EBA">
        <w:trPr>
          <w:jc w:val="center"/>
        </w:trPr>
        <w:tc>
          <w:tcPr>
            <w:tcW w:w="0" w:type="auto"/>
            <w:vMerge/>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Other Program *CDD</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w:t>
            </w:r>
          </w:p>
        </w:tc>
      </w:tr>
      <w:tr w:rsidR="00D26056" w:rsidRPr="00C67070" w:rsidTr="00130EBA">
        <w:trPr>
          <w:jc w:val="center"/>
        </w:trPr>
        <w:tc>
          <w:tcPr>
            <w:tcW w:w="0" w:type="auto"/>
            <w:vMerge/>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HER * CDD</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1.2637</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0.484</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2.61</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0.009</w:t>
            </w:r>
          </w:p>
        </w:tc>
      </w:tr>
      <w:tr w:rsidR="00D26056" w:rsidRPr="00C67070" w:rsidTr="00130EBA">
        <w:trPr>
          <w:jc w:val="center"/>
        </w:trPr>
        <w:tc>
          <w:tcPr>
            <w:tcW w:w="0" w:type="auto"/>
            <w:vMerge/>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Post</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-1.3963</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0.1089</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-12.82</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&lt;.0001</w:t>
            </w:r>
          </w:p>
        </w:tc>
      </w:tr>
      <w:tr w:rsidR="00D26056" w:rsidRPr="00C67070" w:rsidTr="00130EBA">
        <w:trPr>
          <w:jc w:val="center"/>
        </w:trPr>
        <w:tc>
          <w:tcPr>
            <w:tcW w:w="0" w:type="auto"/>
            <w:vMerge/>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Post*HDD</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-0.0043</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0.0046</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-0.92</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0.3589</w:t>
            </w:r>
          </w:p>
        </w:tc>
      </w:tr>
      <w:tr w:rsidR="00D26056" w:rsidRPr="00C67070" w:rsidTr="00130EBA">
        <w:trPr>
          <w:jc w:val="center"/>
        </w:trPr>
        <w:tc>
          <w:tcPr>
            <w:tcW w:w="0" w:type="auto"/>
            <w:vMerge/>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Post*CDD</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0.1221</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0.0121</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10.1</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&lt;.0001</w:t>
            </w:r>
          </w:p>
        </w:tc>
      </w:tr>
      <w:tr w:rsidR="00D26056" w:rsidRPr="00C67070" w:rsidTr="00130EBA">
        <w:trPr>
          <w:jc w:val="center"/>
        </w:trPr>
        <w:tc>
          <w:tcPr>
            <w:tcW w:w="0" w:type="auto"/>
            <w:vMerge/>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HER * Post</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-3.3507</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2.9051</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-1.15</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0.2488</w:t>
            </w:r>
          </w:p>
        </w:tc>
      </w:tr>
      <w:tr w:rsidR="00D26056" w:rsidRPr="00C67070" w:rsidTr="00130EBA">
        <w:trPr>
          <w:jc w:val="center"/>
        </w:trPr>
        <w:tc>
          <w:tcPr>
            <w:tcW w:w="0" w:type="auto"/>
            <w:vMerge/>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Other Program * Post</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w:t>
            </w:r>
          </w:p>
        </w:tc>
      </w:tr>
      <w:tr w:rsidR="00D26056" w:rsidRPr="00C67070" w:rsidTr="00130EBA">
        <w:trPr>
          <w:jc w:val="center"/>
        </w:trPr>
        <w:tc>
          <w:tcPr>
            <w:tcW w:w="0" w:type="auto"/>
            <w:vMerge w:val="restart"/>
            <w:shd w:val="clear" w:color="auto" w:fill="auto"/>
            <w:noWrap/>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Comparison</w:t>
            </w:r>
          </w:p>
        </w:tc>
        <w:tc>
          <w:tcPr>
            <w:tcW w:w="0" w:type="auto"/>
            <w:shd w:val="clear" w:color="auto" w:fill="auto"/>
            <w:noWrap/>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AvgHDD</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0.3291</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0.03</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10.96</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&lt;.0001</w:t>
            </w:r>
          </w:p>
        </w:tc>
      </w:tr>
      <w:tr w:rsidR="00D26056" w:rsidRPr="00C67070" w:rsidTr="00130EBA">
        <w:trPr>
          <w:jc w:val="center"/>
        </w:trPr>
        <w:tc>
          <w:tcPr>
            <w:tcW w:w="0" w:type="auto"/>
            <w:vMerge/>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AvgCDD</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0.8241</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0.0486</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16.94</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&lt;.0001</w:t>
            </w:r>
          </w:p>
        </w:tc>
      </w:tr>
      <w:tr w:rsidR="00D26056" w:rsidRPr="00C67070" w:rsidTr="00130EBA">
        <w:trPr>
          <w:jc w:val="center"/>
        </w:trPr>
        <w:tc>
          <w:tcPr>
            <w:tcW w:w="0" w:type="auto"/>
            <w:vMerge/>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Other Program * HDD</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w:t>
            </w:r>
          </w:p>
        </w:tc>
      </w:tr>
      <w:tr w:rsidR="00D26056" w:rsidRPr="00C67070" w:rsidTr="00130EBA">
        <w:trPr>
          <w:jc w:val="center"/>
        </w:trPr>
        <w:tc>
          <w:tcPr>
            <w:tcW w:w="0" w:type="auto"/>
            <w:vMerge/>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HER *HDD</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0.9318</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0.3993</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2.33</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0.0196</w:t>
            </w:r>
          </w:p>
        </w:tc>
      </w:tr>
      <w:tr w:rsidR="00D26056" w:rsidRPr="00C67070" w:rsidTr="00130EBA">
        <w:trPr>
          <w:jc w:val="center"/>
        </w:trPr>
        <w:tc>
          <w:tcPr>
            <w:tcW w:w="0" w:type="auto"/>
            <w:vMerge/>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Other Program *CDD</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w:t>
            </w:r>
          </w:p>
        </w:tc>
      </w:tr>
      <w:tr w:rsidR="00D26056" w:rsidRPr="00C67070" w:rsidTr="00130EBA">
        <w:trPr>
          <w:jc w:val="center"/>
        </w:trPr>
        <w:tc>
          <w:tcPr>
            <w:tcW w:w="0" w:type="auto"/>
            <w:vMerge/>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HER * CDD</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1.0014</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0.1167</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8.58</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&lt;.0001</w:t>
            </w:r>
          </w:p>
        </w:tc>
      </w:tr>
      <w:tr w:rsidR="00D26056" w:rsidRPr="00C67070" w:rsidTr="00130EBA">
        <w:trPr>
          <w:jc w:val="center"/>
        </w:trPr>
        <w:tc>
          <w:tcPr>
            <w:tcW w:w="0" w:type="auto"/>
            <w:vMerge/>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Post</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0.2847</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0.24</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1.19</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0.2356</w:t>
            </w:r>
          </w:p>
        </w:tc>
      </w:tr>
      <w:tr w:rsidR="00D26056" w:rsidRPr="00C67070" w:rsidTr="00130EBA">
        <w:trPr>
          <w:jc w:val="center"/>
        </w:trPr>
        <w:tc>
          <w:tcPr>
            <w:tcW w:w="0" w:type="auto"/>
            <w:vMerge/>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Post*HDD</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-0.0079</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0.0136</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-0.58</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0.5599</w:t>
            </w:r>
          </w:p>
        </w:tc>
      </w:tr>
      <w:tr w:rsidR="00D26056" w:rsidRPr="00C67070" w:rsidTr="00130EBA">
        <w:trPr>
          <w:jc w:val="center"/>
        </w:trPr>
        <w:tc>
          <w:tcPr>
            <w:tcW w:w="0" w:type="auto"/>
            <w:vMerge/>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Post*CDD</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0.1688</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0.0402</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4.2</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&lt;.0001</w:t>
            </w:r>
          </w:p>
        </w:tc>
      </w:tr>
      <w:tr w:rsidR="00D26056" w:rsidRPr="00C67070" w:rsidTr="00130EBA">
        <w:trPr>
          <w:jc w:val="center"/>
        </w:trPr>
        <w:tc>
          <w:tcPr>
            <w:tcW w:w="0" w:type="auto"/>
            <w:vMerge/>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HER * Post</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-5.4305</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1.2168</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-4.46</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&lt;.0001</w:t>
            </w:r>
          </w:p>
        </w:tc>
      </w:tr>
      <w:tr w:rsidR="00D26056" w:rsidRPr="00C67070" w:rsidTr="00130EBA">
        <w:trPr>
          <w:jc w:val="center"/>
        </w:trPr>
        <w:tc>
          <w:tcPr>
            <w:tcW w:w="0" w:type="auto"/>
            <w:vMerge/>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C67070" w:rsidRDefault="00D26056" w:rsidP="00130EBA">
            <w:pPr>
              <w:keepNext/>
              <w:keepLines/>
              <w:spacing w:after="0"/>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Other Program * Post</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0</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w:t>
            </w:r>
          </w:p>
        </w:tc>
        <w:tc>
          <w:tcPr>
            <w:tcW w:w="0" w:type="auto"/>
            <w:shd w:val="clear" w:color="auto" w:fill="auto"/>
            <w:noWrap/>
            <w:vAlign w:val="center"/>
            <w:hideMark/>
          </w:tcPr>
          <w:p w:rsidR="00D26056" w:rsidRPr="00C67070" w:rsidRDefault="00D26056" w:rsidP="00130EBA">
            <w:pPr>
              <w:keepNext/>
              <w:keepLines/>
              <w:spacing w:after="0"/>
              <w:jc w:val="right"/>
              <w:rPr>
                <w:rFonts w:ascii="Calibri" w:eastAsia="Times New Roman" w:hAnsi="Calibri" w:cs="Times New Roman"/>
                <w:color w:val="000000"/>
                <w:sz w:val="20"/>
                <w:szCs w:val="20"/>
              </w:rPr>
            </w:pPr>
            <w:r w:rsidRPr="00C67070">
              <w:rPr>
                <w:rFonts w:ascii="Calibri" w:eastAsia="Times New Roman" w:hAnsi="Calibri" w:cs="Times New Roman"/>
                <w:color w:val="000000"/>
                <w:sz w:val="20"/>
                <w:szCs w:val="20"/>
              </w:rPr>
              <w:t>.</w:t>
            </w:r>
          </w:p>
        </w:tc>
      </w:tr>
    </w:tbl>
    <w:p w:rsidR="00D26056" w:rsidRPr="00C67070" w:rsidRDefault="00D26056" w:rsidP="00DC70BB">
      <w:pPr>
        <w:pStyle w:val="NormalAfterTablesandFigures"/>
      </w:pPr>
    </w:p>
    <w:p w:rsidR="00BF660E" w:rsidRDefault="00BF660E" w:rsidP="0096060F">
      <w:pPr>
        <w:pStyle w:val="Heading3"/>
        <w:keepNext w:val="0"/>
        <w:keepLines w:val="0"/>
      </w:pPr>
      <w:r>
        <w:t>HES</w:t>
      </w:r>
      <w:r w:rsidR="00F33DC9">
        <w:t xml:space="preserve">-IE </w:t>
      </w:r>
      <w:r w:rsidR="001478F7">
        <w:t>Subprogram</w:t>
      </w:r>
      <w:r>
        <w:t xml:space="preserve"> Gas Models</w:t>
      </w:r>
    </w:p>
    <w:p w:rsidR="004C442A" w:rsidRDefault="00BF660E" w:rsidP="009A6940">
      <w:pPr>
        <w:pStyle w:val="Caption"/>
        <w:keepNext w:val="0"/>
        <w:keepLines w:val="0"/>
      </w:pPr>
      <w:r>
        <w:t xml:space="preserve">Table </w:t>
      </w:r>
      <w:r w:rsidR="005C2163">
        <w:rPr>
          <w:b w:val="0"/>
          <w:bCs w:val="0"/>
        </w:rPr>
        <w:fldChar w:fldCharType="begin"/>
      </w:r>
      <w:r w:rsidR="00606CE0">
        <w:rPr>
          <w:b w:val="0"/>
          <w:bCs w:val="0"/>
        </w:rPr>
        <w:instrText xml:space="preserve"> SEQ Table \* ARABIC </w:instrText>
      </w:r>
      <w:r w:rsidR="005C2163">
        <w:rPr>
          <w:b w:val="0"/>
          <w:bCs w:val="0"/>
        </w:rPr>
        <w:fldChar w:fldCharType="separate"/>
      </w:r>
      <w:r w:rsidR="00CD20CF">
        <w:rPr>
          <w:b w:val="0"/>
          <w:bCs w:val="0"/>
          <w:noProof/>
        </w:rPr>
        <w:t>105</w:t>
      </w:r>
      <w:r w:rsidR="005C2163">
        <w:rPr>
          <w:b w:val="0"/>
          <w:bCs w:val="0"/>
          <w:noProof/>
          <w:color w:val="auto"/>
          <w:szCs w:val="22"/>
        </w:rPr>
        <w:fldChar w:fldCharType="end"/>
      </w:r>
      <w:r>
        <w:t>. Overall HES</w:t>
      </w:r>
      <w:r w:rsidR="00F33DC9">
        <w:t>-IE SP1</w:t>
      </w:r>
      <w:r>
        <w:t xml:space="preserve"> Gas Savings Model Output After Screening</w:t>
      </w:r>
      <w:r w:rsidR="009A6940">
        <w:t xml:space="preserve"> </w:t>
      </w:r>
      <w:r w:rsidR="009A6940">
        <w:br/>
      </w:r>
      <w:r w:rsidR="004C442A">
        <w:t>(n</w:t>
      </w:r>
      <w:r w:rsidR="00D26056">
        <w:t>=</w:t>
      </w:r>
      <w:r w:rsidR="00D26056" w:rsidRPr="00141B9C">
        <w:t>23</w:t>
      </w:r>
      <w:r w:rsidR="00D26056">
        <w:t>1</w:t>
      </w:r>
      <w:r w:rsidR="00D26056" w:rsidRPr="00141B9C">
        <w:t xml:space="preserve"> </w:t>
      </w:r>
      <w:r w:rsidR="00D26056">
        <w:t>participants</w:t>
      </w:r>
      <w:r w:rsidR="004C442A">
        <w:t>)</w:t>
      </w:r>
    </w:p>
    <w:tbl>
      <w:tblPr>
        <w:tblW w:w="500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98"/>
        <w:gridCol w:w="1321"/>
        <w:gridCol w:w="2580"/>
        <w:gridCol w:w="1974"/>
        <w:gridCol w:w="1132"/>
        <w:gridCol w:w="1171"/>
      </w:tblGrid>
      <w:tr w:rsidR="00D26056" w:rsidRPr="00141B9C" w:rsidTr="001157A7">
        <w:trPr>
          <w:jc w:val="center"/>
        </w:trPr>
        <w:tc>
          <w:tcPr>
            <w:tcW w:w="0" w:type="auto"/>
            <w:shd w:val="clear" w:color="000000" w:fill="005DAA"/>
            <w:noWrap/>
            <w:vAlign w:val="center"/>
            <w:hideMark/>
          </w:tcPr>
          <w:p w:rsidR="00D26056" w:rsidRPr="00141B9C" w:rsidRDefault="00D26056" w:rsidP="001157A7">
            <w:pPr>
              <w:keepNext/>
              <w:keepLines/>
              <w:spacing w:after="0"/>
              <w:jc w:val="center"/>
              <w:rPr>
                <w:rFonts w:ascii="Calibri" w:eastAsia="Times New Roman" w:hAnsi="Calibri" w:cs="Times New Roman"/>
                <w:b/>
                <w:bCs/>
                <w:color w:val="FFFFFF"/>
              </w:rPr>
            </w:pPr>
            <w:r w:rsidRPr="00141B9C">
              <w:rPr>
                <w:rFonts w:ascii="Calibri" w:eastAsia="Times New Roman" w:hAnsi="Calibri" w:cs="Times New Roman"/>
                <w:b/>
                <w:bCs/>
                <w:color w:val="FFFFFF"/>
              </w:rPr>
              <w:t>Group</w:t>
            </w:r>
          </w:p>
        </w:tc>
        <w:tc>
          <w:tcPr>
            <w:tcW w:w="0" w:type="auto"/>
            <w:shd w:val="clear" w:color="000000" w:fill="005DAA"/>
            <w:noWrap/>
            <w:vAlign w:val="center"/>
            <w:hideMark/>
          </w:tcPr>
          <w:p w:rsidR="00D26056" w:rsidRPr="00141B9C" w:rsidRDefault="00D26056" w:rsidP="001157A7">
            <w:pPr>
              <w:keepNext/>
              <w:keepLines/>
              <w:spacing w:after="0"/>
              <w:jc w:val="center"/>
              <w:rPr>
                <w:rFonts w:ascii="Calibri" w:eastAsia="Times New Roman" w:hAnsi="Calibri" w:cs="Times New Roman"/>
                <w:b/>
                <w:bCs/>
                <w:color w:val="FFFFFF"/>
              </w:rPr>
            </w:pPr>
            <w:r w:rsidRPr="00141B9C">
              <w:rPr>
                <w:rFonts w:ascii="Calibri" w:eastAsia="Times New Roman" w:hAnsi="Calibri" w:cs="Times New Roman"/>
                <w:b/>
                <w:bCs/>
                <w:color w:val="FFFFFF"/>
              </w:rPr>
              <w:t>Variable</w:t>
            </w:r>
          </w:p>
        </w:tc>
        <w:tc>
          <w:tcPr>
            <w:tcW w:w="0" w:type="auto"/>
            <w:shd w:val="clear" w:color="000000" w:fill="005DAA"/>
            <w:noWrap/>
            <w:vAlign w:val="center"/>
            <w:hideMark/>
          </w:tcPr>
          <w:p w:rsidR="00D26056" w:rsidRPr="00141B9C" w:rsidRDefault="00D26056" w:rsidP="001157A7">
            <w:pPr>
              <w:keepNext/>
              <w:keepLines/>
              <w:spacing w:after="0"/>
              <w:jc w:val="center"/>
              <w:rPr>
                <w:rFonts w:ascii="Calibri" w:eastAsia="Times New Roman" w:hAnsi="Calibri" w:cs="Times New Roman"/>
                <w:b/>
                <w:bCs/>
                <w:color w:val="FFFFFF"/>
              </w:rPr>
            </w:pPr>
            <w:r w:rsidRPr="00141B9C">
              <w:rPr>
                <w:rFonts w:ascii="Calibri" w:eastAsia="Times New Roman" w:hAnsi="Calibri" w:cs="Times New Roman"/>
                <w:b/>
                <w:bCs/>
                <w:color w:val="FFFFFF"/>
              </w:rPr>
              <w:t>Parameter Estimate</w:t>
            </w:r>
          </w:p>
        </w:tc>
        <w:tc>
          <w:tcPr>
            <w:tcW w:w="0" w:type="auto"/>
            <w:shd w:val="clear" w:color="000000" w:fill="005DAA"/>
            <w:noWrap/>
            <w:vAlign w:val="center"/>
            <w:hideMark/>
          </w:tcPr>
          <w:p w:rsidR="00D26056" w:rsidRPr="00141B9C" w:rsidRDefault="00D26056" w:rsidP="001157A7">
            <w:pPr>
              <w:keepNext/>
              <w:keepLines/>
              <w:spacing w:after="0"/>
              <w:jc w:val="center"/>
              <w:rPr>
                <w:rFonts w:ascii="Calibri" w:eastAsia="Times New Roman" w:hAnsi="Calibri" w:cs="Times New Roman"/>
                <w:b/>
                <w:bCs/>
                <w:color w:val="FFFFFF"/>
              </w:rPr>
            </w:pPr>
            <w:r w:rsidRPr="00141B9C">
              <w:rPr>
                <w:rFonts w:ascii="Calibri" w:eastAsia="Times New Roman" w:hAnsi="Calibri" w:cs="Times New Roman"/>
                <w:b/>
                <w:bCs/>
                <w:color w:val="FFFFFF"/>
              </w:rPr>
              <w:t>Standard Error</w:t>
            </w:r>
          </w:p>
        </w:tc>
        <w:tc>
          <w:tcPr>
            <w:tcW w:w="0" w:type="auto"/>
            <w:shd w:val="clear" w:color="000000" w:fill="005DAA"/>
            <w:noWrap/>
            <w:vAlign w:val="center"/>
            <w:hideMark/>
          </w:tcPr>
          <w:p w:rsidR="00D26056" w:rsidRPr="00141B9C" w:rsidRDefault="00D26056" w:rsidP="001157A7">
            <w:pPr>
              <w:keepNext/>
              <w:keepLines/>
              <w:spacing w:after="0"/>
              <w:jc w:val="center"/>
              <w:rPr>
                <w:rFonts w:ascii="Calibri" w:eastAsia="Times New Roman" w:hAnsi="Calibri" w:cs="Times New Roman"/>
                <w:b/>
                <w:bCs/>
                <w:color w:val="FFFFFF"/>
              </w:rPr>
            </w:pPr>
            <w:r w:rsidRPr="00141B9C">
              <w:rPr>
                <w:rFonts w:ascii="Calibri" w:eastAsia="Times New Roman" w:hAnsi="Calibri" w:cs="Times New Roman"/>
                <w:b/>
                <w:bCs/>
                <w:color w:val="FFFFFF"/>
              </w:rPr>
              <w:t>Z-Score</w:t>
            </w:r>
          </w:p>
        </w:tc>
        <w:tc>
          <w:tcPr>
            <w:tcW w:w="0" w:type="auto"/>
            <w:shd w:val="clear" w:color="000000" w:fill="005DAA"/>
            <w:noWrap/>
            <w:vAlign w:val="center"/>
            <w:hideMark/>
          </w:tcPr>
          <w:p w:rsidR="00D26056" w:rsidRPr="00141B9C" w:rsidRDefault="00D26056" w:rsidP="001157A7">
            <w:pPr>
              <w:keepNext/>
              <w:keepLines/>
              <w:spacing w:after="0"/>
              <w:jc w:val="center"/>
              <w:rPr>
                <w:rFonts w:ascii="Calibri" w:eastAsia="Times New Roman" w:hAnsi="Calibri" w:cs="Times New Roman"/>
                <w:b/>
                <w:bCs/>
                <w:color w:val="FFFFFF"/>
              </w:rPr>
            </w:pPr>
            <w:r w:rsidRPr="00141B9C">
              <w:rPr>
                <w:rFonts w:ascii="Calibri" w:eastAsia="Times New Roman" w:hAnsi="Calibri" w:cs="Times New Roman"/>
                <w:b/>
                <w:bCs/>
                <w:color w:val="FFFFFF"/>
              </w:rPr>
              <w:t>p-Value</w:t>
            </w:r>
          </w:p>
        </w:tc>
      </w:tr>
      <w:tr w:rsidR="00D26056" w:rsidRPr="00141B9C" w:rsidTr="001157A7">
        <w:trPr>
          <w:jc w:val="center"/>
        </w:trPr>
        <w:tc>
          <w:tcPr>
            <w:tcW w:w="0" w:type="auto"/>
            <w:vMerge w:val="restart"/>
            <w:shd w:val="clear" w:color="auto" w:fill="auto"/>
            <w:noWrap/>
            <w:vAlign w:val="center"/>
            <w:hideMark/>
          </w:tcPr>
          <w:p w:rsidR="00D26056" w:rsidRPr="00141B9C" w:rsidRDefault="00D26056" w:rsidP="001157A7">
            <w:pPr>
              <w:keepNext/>
              <w:keepLines/>
              <w:spacing w:after="0"/>
              <w:rPr>
                <w:rFonts w:ascii="Calibri" w:eastAsia="Times New Roman" w:hAnsi="Calibri" w:cs="Times New Roman"/>
                <w:color w:val="000000"/>
                <w:sz w:val="20"/>
                <w:szCs w:val="20"/>
              </w:rPr>
            </w:pPr>
            <w:r w:rsidRPr="00141B9C">
              <w:rPr>
                <w:rFonts w:ascii="Calibri" w:eastAsia="Times New Roman" w:hAnsi="Calibri" w:cs="Times New Roman"/>
                <w:color w:val="000000"/>
                <w:sz w:val="20"/>
                <w:szCs w:val="20"/>
              </w:rPr>
              <w:t>Participant</w:t>
            </w:r>
          </w:p>
        </w:tc>
        <w:tc>
          <w:tcPr>
            <w:tcW w:w="0" w:type="auto"/>
            <w:shd w:val="clear" w:color="auto" w:fill="auto"/>
            <w:noWrap/>
            <w:vAlign w:val="center"/>
            <w:hideMark/>
          </w:tcPr>
          <w:p w:rsidR="00D26056" w:rsidRPr="00141B9C" w:rsidRDefault="00D26056" w:rsidP="001157A7">
            <w:pPr>
              <w:keepNext/>
              <w:keepLines/>
              <w:spacing w:after="0"/>
              <w:rPr>
                <w:rFonts w:ascii="Calibri" w:eastAsia="Times New Roman" w:hAnsi="Calibri" w:cs="Times New Roman"/>
                <w:color w:val="000000"/>
                <w:sz w:val="20"/>
                <w:szCs w:val="20"/>
              </w:rPr>
            </w:pPr>
            <w:r w:rsidRPr="00141B9C">
              <w:rPr>
                <w:rFonts w:ascii="Calibri" w:eastAsia="Times New Roman" w:hAnsi="Calibri" w:cs="Times New Roman"/>
                <w:color w:val="000000"/>
                <w:sz w:val="20"/>
                <w:szCs w:val="20"/>
              </w:rPr>
              <w:t>Post</w:t>
            </w:r>
          </w:p>
        </w:tc>
        <w:tc>
          <w:tcPr>
            <w:tcW w:w="0" w:type="auto"/>
            <w:shd w:val="clear" w:color="auto" w:fill="auto"/>
            <w:noWrap/>
            <w:vAlign w:val="center"/>
            <w:hideMark/>
          </w:tcPr>
          <w:p w:rsidR="00D26056" w:rsidRPr="00141B9C" w:rsidRDefault="00D26056" w:rsidP="001157A7">
            <w:pPr>
              <w:keepNext/>
              <w:keepLines/>
              <w:spacing w:after="0"/>
              <w:jc w:val="right"/>
              <w:rPr>
                <w:rFonts w:ascii="Calibri" w:eastAsia="Times New Roman" w:hAnsi="Calibri" w:cs="Times New Roman"/>
                <w:color w:val="000000"/>
                <w:sz w:val="20"/>
                <w:szCs w:val="20"/>
              </w:rPr>
            </w:pPr>
            <w:r w:rsidRPr="00141B9C">
              <w:rPr>
                <w:rFonts w:ascii="Calibri" w:eastAsia="Times New Roman" w:hAnsi="Calibri" w:cs="Times New Roman"/>
                <w:color w:val="000000"/>
                <w:sz w:val="20"/>
                <w:szCs w:val="20"/>
              </w:rPr>
              <w:t>0.0084</w:t>
            </w:r>
          </w:p>
        </w:tc>
        <w:tc>
          <w:tcPr>
            <w:tcW w:w="0" w:type="auto"/>
            <w:shd w:val="clear" w:color="auto" w:fill="auto"/>
            <w:noWrap/>
            <w:vAlign w:val="center"/>
            <w:hideMark/>
          </w:tcPr>
          <w:p w:rsidR="00D26056" w:rsidRPr="00141B9C" w:rsidRDefault="00D26056" w:rsidP="001157A7">
            <w:pPr>
              <w:keepNext/>
              <w:keepLines/>
              <w:spacing w:after="0"/>
              <w:jc w:val="right"/>
              <w:rPr>
                <w:rFonts w:ascii="Calibri" w:eastAsia="Times New Roman" w:hAnsi="Calibri" w:cs="Times New Roman"/>
                <w:color w:val="000000"/>
                <w:sz w:val="20"/>
                <w:szCs w:val="20"/>
              </w:rPr>
            </w:pPr>
            <w:r w:rsidRPr="00141B9C">
              <w:rPr>
                <w:rFonts w:ascii="Calibri" w:eastAsia="Times New Roman" w:hAnsi="Calibri" w:cs="Times New Roman"/>
                <w:color w:val="000000"/>
                <w:sz w:val="20"/>
                <w:szCs w:val="20"/>
              </w:rPr>
              <w:t>0.0115</w:t>
            </w:r>
          </w:p>
        </w:tc>
        <w:tc>
          <w:tcPr>
            <w:tcW w:w="0" w:type="auto"/>
            <w:shd w:val="clear" w:color="auto" w:fill="auto"/>
            <w:noWrap/>
            <w:vAlign w:val="center"/>
            <w:hideMark/>
          </w:tcPr>
          <w:p w:rsidR="00D26056" w:rsidRPr="00141B9C" w:rsidRDefault="00D26056" w:rsidP="001157A7">
            <w:pPr>
              <w:keepNext/>
              <w:keepLines/>
              <w:spacing w:after="0"/>
              <w:jc w:val="right"/>
              <w:rPr>
                <w:rFonts w:ascii="Calibri" w:eastAsia="Times New Roman" w:hAnsi="Calibri" w:cs="Times New Roman"/>
                <w:color w:val="000000"/>
                <w:sz w:val="20"/>
                <w:szCs w:val="20"/>
              </w:rPr>
            </w:pPr>
            <w:r w:rsidRPr="00141B9C">
              <w:rPr>
                <w:rFonts w:ascii="Calibri" w:eastAsia="Times New Roman" w:hAnsi="Calibri" w:cs="Times New Roman"/>
                <w:color w:val="000000"/>
                <w:sz w:val="20"/>
                <w:szCs w:val="20"/>
              </w:rPr>
              <w:t>0.73</w:t>
            </w:r>
          </w:p>
        </w:tc>
        <w:tc>
          <w:tcPr>
            <w:tcW w:w="0" w:type="auto"/>
            <w:shd w:val="clear" w:color="auto" w:fill="auto"/>
            <w:noWrap/>
            <w:vAlign w:val="center"/>
            <w:hideMark/>
          </w:tcPr>
          <w:p w:rsidR="00D26056" w:rsidRPr="00141B9C" w:rsidRDefault="00D26056" w:rsidP="001157A7">
            <w:pPr>
              <w:keepNext/>
              <w:keepLines/>
              <w:spacing w:after="0"/>
              <w:jc w:val="right"/>
              <w:rPr>
                <w:rFonts w:ascii="Calibri" w:eastAsia="Times New Roman" w:hAnsi="Calibri" w:cs="Times New Roman"/>
                <w:color w:val="000000"/>
                <w:sz w:val="20"/>
                <w:szCs w:val="20"/>
              </w:rPr>
            </w:pPr>
            <w:r w:rsidRPr="00141B9C">
              <w:rPr>
                <w:rFonts w:ascii="Calibri" w:eastAsia="Times New Roman" w:hAnsi="Calibri" w:cs="Times New Roman"/>
                <w:color w:val="000000"/>
                <w:sz w:val="20"/>
                <w:szCs w:val="20"/>
              </w:rPr>
              <w:t>0.4629</w:t>
            </w:r>
          </w:p>
        </w:tc>
      </w:tr>
      <w:tr w:rsidR="00D26056" w:rsidRPr="00141B9C" w:rsidTr="001157A7">
        <w:trPr>
          <w:jc w:val="center"/>
        </w:trPr>
        <w:tc>
          <w:tcPr>
            <w:tcW w:w="0" w:type="auto"/>
            <w:vMerge/>
            <w:vAlign w:val="center"/>
            <w:hideMark/>
          </w:tcPr>
          <w:p w:rsidR="00D26056" w:rsidRPr="00141B9C" w:rsidRDefault="00D26056" w:rsidP="001157A7">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141B9C" w:rsidRDefault="00D26056" w:rsidP="001157A7">
            <w:pPr>
              <w:keepNext/>
              <w:keepLines/>
              <w:spacing w:after="0"/>
              <w:rPr>
                <w:rFonts w:ascii="Calibri" w:eastAsia="Times New Roman" w:hAnsi="Calibri" w:cs="Times New Roman"/>
                <w:color w:val="000000"/>
                <w:sz w:val="20"/>
                <w:szCs w:val="20"/>
              </w:rPr>
            </w:pPr>
            <w:r w:rsidRPr="00141B9C">
              <w:rPr>
                <w:rFonts w:ascii="Calibri" w:eastAsia="Times New Roman" w:hAnsi="Calibri" w:cs="Times New Roman"/>
                <w:color w:val="000000"/>
                <w:sz w:val="20"/>
                <w:szCs w:val="20"/>
              </w:rPr>
              <w:t>Post*HDD</w:t>
            </w:r>
          </w:p>
        </w:tc>
        <w:tc>
          <w:tcPr>
            <w:tcW w:w="0" w:type="auto"/>
            <w:shd w:val="clear" w:color="auto" w:fill="auto"/>
            <w:noWrap/>
            <w:vAlign w:val="center"/>
            <w:hideMark/>
          </w:tcPr>
          <w:p w:rsidR="00D26056" w:rsidRPr="00141B9C" w:rsidRDefault="00D26056" w:rsidP="001157A7">
            <w:pPr>
              <w:keepNext/>
              <w:keepLines/>
              <w:spacing w:after="0"/>
              <w:jc w:val="right"/>
              <w:rPr>
                <w:rFonts w:ascii="Calibri" w:eastAsia="Times New Roman" w:hAnsi="Calibri" w:cs="Times New Roman"/>
                <w:color w:val="000000"/>
                <w:sz w:val="20"/>
                <w:szCs w:val="20"/>
              </w:rPr>
            </w:pPr>
            <w:r w:rsidRPr="00141B9C">
              <w:rPr>
                <w:rFonts w:ascii="Calibri" w:eastAsia="Times New Roman" w:hAnsi="Calibri" w:cs="Times New Roman"/>
                <w:color w:val="000000"/>
                <w:sz w:val="20"/>
                <w:szCs w:val="20"/>
              </w:rPr>
              <w:t>-0.0176</w:t>
            </w:r>
          </w:p>
        </w:tc>
        <w:tc>
          <w:tcPr>
            <w:tcW w:w="0" w:type="auto"/>
            <w:shd w:val="clear" w:color="auto" w:fill="auto"/>
            <w:noWrap/>
            <w:vAlign w:val="center"/>
            <w:hideMark/>
          </w:tcPr>
          <w:p w:rsidR="00D26056" w:rsidRPr="00141B9C" w:rsidRDefault="00D26056" w:rsidP="001157A7">
            <w:pPr>
              <w:keepNext/>
              <w:keepLines/>
              <w:spacing w:after="0"/>
              <w:jc w:val="right"/>
              <w:rPr>
                <w:rFonts w:ascii="Calibri" w:eastAsia="Times New Roman" w:hAnsi="Calibri" w:cs="Times New Roman"/>
                <w:color w:val="000000"/>
                <w:sz w:val="20"/>
                <w:szCs w:val="20"/>
              </w:rPr>
            </w:pPr>
            <w:r w:rsidRPr="00141B9C">
              <w:rPr>
                <w:rFonts w:ascii="Calibri" w:eastAsia="Times New Roman" w:hAnsi="Calibri" w:cs="Times New Roman"/>
                <w:color w:val="000000"/>
                <w:sz w:val="20"/>
                <w:szCs w:val="20"/>
              </w:rPr>
              <w:t>0.0015</w:t>
            </w:r>
          </w:p>
        </w:tc>
        <w:tc>
          <w:tcPr>
            <w:tcW w:w="0" w:type="auto"/>
            <w:shd w:val="clear" w:color="auto" w:fill="auto"/>
            <w:noWrap/>
            <w:vAlign w:val="center"/>
            <w:hideMark/>
          </w:tcPr>
          <w:p w:rsidR="00D26056" w:rsidRPr="00141B9C" w:rsidRDefault="00D26056" w:rsidP="001157A7">
            <w:pPr>
              <w:keepNext/>
              <w:keepLines/>
              <w:spacing w:after="0"/>
              <w:jc w:val="right"/>
              <w:rPr>
                <w:rFonts w:ascii="Calibri" w:eastAsia="Times New Roman" w:hAnsi="Calibri" w:cs="Times New Roman"/>
                <w:color w:val="000000"/>
                <w:sz w:val="20"/>
                <w:szCs w:val="20"/>
              </w:rPr>
            </w:pPr>
            <w:r w:rsidRPr="00141B9C">
              <w:rPr>
                <w:rFonts w:ascii="Calibri" w:eastAsia="Times New Roman" w:hAnsi="Calibri" w:cs="Times New Roman"/>
                <w:color w:val="000000"/>
                <w:sz w:val="20"/>
                <w:szCs w:val="20"/>
              </w:rPr>
              <w:t>-11.43</w:t>
            </w:r>
          </w:p>
        </w:tc>
        <w:tc>
          <w:tcPr>
            <w:tcW w:w="0" w:type="auto"/>
            <w:shd w:val="clear" w:color="auto" w:fill="auto"/>
            <w:noWrap/>
            <w:vAlign w:val="center"/>
            <w:hideMark/>
          </w:tcPr>
          <w:p w:rsidR="00D26056" w:rsidRPr="00141B9C" w:rsidRDefault="00D26056" w:rsidP="001157A7">
            <w:pPr>
              <w:keepNext/>
              <w:keepLines/>
              <w:spacing w:after="0"/>
              <w:jc w:val="right"/>
              <w:rPr>
                <w:rFonts w:ascii="Calibri" w:eastAsia="Times New Roman" w:hAnsi="Calibri" w:cs="Times New Roman"/>
                <w:color w:val="000000"/>
                <w:sz w:val="20"/>
                <w:szCs w:val="20"/>
              </w:rPr>
            </w:pPr>
            <w:r w:rsidRPr="00141B9C">
              <w:rPr>
                <w:rFonts w:ascii="Calibri" w:eastAsia="Times New Roman" w:hAnsi="Calibri" w:cs="Times New Roman"/>
                <w:color w:val="000000"/>
                <w:sz w:val="20"/>
                <w:szCs w:val="20"/>
              </w:rPr>
              <w:t>&lt;.0001</w:t>
            </w:r>
          </w:p>
        </w:tc>
      </w:tr>
    </w:tbl>
    <w:p w:rsidR="0096060F" w:rsidRDefault="0096060F" w:rsidP="0096060F">
      <w:pPr>
        <w:pStyle w:val="NormalAfterTablesandFigures"/>
      </w:pPr>
    </w:p>
    <w:p w:rsidR="00D26056" w:rsidRDefault="0096060F" w:rsidP="009A6940">
      <w:pPr>
        <w:pStyle w:val="Caption"/>
        <w:keepNext w:val="0"/>
        <w:keepLines w:val="0"/>
      </w:pPr>
      <w:r>
        <w:t xml:space="preserve">Table </w:t>
      </w:r>
      <w:r w:rsidR="005C2163">
        <w:rPr>
          <w:b w:val="0"/>
          <w:bCs w:val="0"/>
        </w:rPr>
        <w:fldChar w:fldCharType="begin"/>
      </w:r>
      <w:r w:rsidR="00606CE0">
        <w:rPr>
          <w:b w:val="0"/>
          <w:bCs w:val="0"/>
        </w:rPr>
        <w:instrText xml:space="preserve"> SEQ Table \* ARABIC </w:instrText>
      </w:r>
      <w:r w:rsidR="005C2163">
        <w:rPr>
          <w:b w:val="0"/>
          <w:bCs w:val="0"/>
        </w:rPr>
        <w:fldChar w:fldCharType="separate"/>
      </w:r>
      <w:r w:rsidR="00CD20CF">
        <w:rPr>
          <w:b w:val="0"/>
          <w:bCs w:val="0"/>
          <w:noProof/>
        </w:rPr>
        <w:t>106</w:t>
      </w:r>
      <w:r w:rsidR="005C2163">
        <w:rPr>
          <w:b w:val="0"/>
          <w:bCs w:val="0"/>
          <w:noProof/>
          <w:color w:val="auto"/>
          <w:szCs w:val="22"/>
        </w:rPr>
        <w:fldChar w:fldCharType="end"/>
      </w:r>
      <w:r>
        <w:t>. Overall HES-IE SP4 Gas Savings Model Output After Screening</w:t>
      </w:r>
      <w:r w:rsidR="009A6940">
        <w:t xml:space="preserve"> </w:t>
      </w:r>
      <w:r w:rsidR="009A6940">
        <w:br/>
      </w:r>
      <w:r w:rsidR="00D26056">
        <w:t>(n=114</w:t>
      </w:r>
      <w:r w:rsidR="00D26056" w:rsidRPr="00141B9C">
        <w:t xml:space="preserve"> </w:t>
      </w:r>
      <w:r w:rsidR="00D26056">
        <w:t>participants)</w:t>
      </w:r>
    </w:p>
    <w:tbl>
      <w:tblPr>
        <w:tblW w:w="500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98"/>
        <w:gridCol w:w="1321"/>
        <w:gridCol w:w="2580"/>
        <w:gridCol w:w="1974"/>
        <w:gridCol w:w="1132"/>
        <w:gridCol w:w="1171"/>
      </w:tblGrid>
      <w:tr w:rsidR="00D26056" w:rsidRPr="00C106B5" w:rsidTr="00DC70BB">
        <w:trPr>
          <w:jc w:val="center"/>
        </w:trPr>
        <w:tc>
          <w:tcPr>
            <w:tcW w:w="0" w:type="auto"/>
            <w:shd w:val="clear" w:color="000000" w:fill="005DAA"/>
            <w:noWrap/>
            <w:vAlign w:val="center"/>
            <w:hideMark/>
          </w:tcPr>
          <w:p w:rsidR="00D26056" w:rsidRPr="00C106B5" w:rsidRDefault="00D26056" w:rsidP="001157A7">
            <w:pPr>
              <w:keepNext/>
              <w:keepLines/>
              <w:spacing w:after="0"/>
              <w:jc w:val="center"/>
              <w:rPr>
                <w:rFonts w:ascii="Calibri" w:eastAsia="Times New Roman" w:hAnsi="Calibri" w:cs="Times New Roman"/>
                <w:b/>
                <w:bCs/>
                <w:color w:val="FFFFFF"/>
              </w:rPr>
            </w:pPr>
            <w:r w:rsidRPr="00C106B5">
              <w:rPr>
                <w:rFonts w:ascii="Calibri" w:eastAsia="Times New Roman" w:hAnsi="Calibri" w:cs="Times New Roman"/>
                <w:b/>
                <w:bCs/>
                <w:color w:val="FFFFFF"/>
              </w:rPr>
              <w:t>Group</w:t>
            </w:r>
          </w:p>
        </w:tc>
        <w:tc>
          <w:tcPr>
            <w:tcW w:w="0" w:type="auto"/>
            <w:shd w:val="clear" w:color="000000" w:fill="005DAA"/>
            <w:noWrap/>
            <w:vAlign w:val="center"/>
            <w:hideMark/>
          </w:tcPr>
          <w:p w:rsidR="00D26056" w:rsidRPr="00C106B5" w:rsidRDefault="00D26056" w:rsidP="001157A7">
            <w:pPr>
              <w:keepNext/>
              <w:keepLines/>
              <w:spacing w:after="0"/>
              <w:jc w:val="center"/>
              <w:rPr>
                <w:rFonts w:ascii="Calibri" w:eastAsia="Times New Roman" w:hAnsi="Calibri" w:cs="Times New Roman"/>
                <w:b/>
                <w:bCs/>
                <w:color w:val="FFFFFF"/>
              </w:rPr>
            </w:pPr>
            <w:r w:rsidRPr="00C106B5">
              <w:rPr>
                <w:rFonts w:ascii="Calibri" w:eastAsia="Times New Roman" w:hAnsi="Calibri" w:cs="Times New Roman"/>
                <w:b/>
                <w:bCs/>
                <w:color w:val="FFFFFF"/>
              </w:rPr>
              <w:t>Variable</w:t>
            </w:r>
          </w:p>
        </w:tc>
        <w:tc>
          <w:tcPr>
            <w:tcW w:w="0" w:type="auto"/>
            <w:shd w:val="clear" w:color="000000" w:fill="005DAA"/>
            <w:noWrap/>
            <w:vAlign w:val="center"/>
            <w:hideMark/>
          </w:tcPr>
          <w:p w:rsidR="00D26056" w:rsidRPr="00C106B5" w:rsidRDefault="00D26056" w:rsidP="001157A7">
            <w:pPr>
              <w:keepNext/>
              <w:keepLines/>
              <w:spacing w:after="0"/>
              <w:jc w:val="center"/>
              <w:rPr>
                <w:rFonts w:ascii="Calibri" w:eastAsia="Times New Roman" w:hAnsi="Calibri" w:cs="Times New Roman"/>
                <w:b/>
                <w:bCs/>
                <w:color w:val="FFFFFF"/>
              </w:rPr>
            </w:pPr>
            <w:r w:rsidRPr="00C106B5">
              <w:rPr>
                <w:rFonts w:ascii="Calibri" w:eastAsia="Times New Roman" w:hAnsi="Calibri" w:cs="Times New Roman"/>
                <w:b/>
                <w:bCs/>
                <w:color w:val="FFFFFF"/>
              </w:rPr>
              <w:t>Parameter Estimate</w:t>
            </w:r>
          </w:p>
        </w:tc>
        <w:tc>
          <w:tcPr>
            <w:tcW w:w="0" w:type="auto"/>
            <w:shd w:val="clear" w:color="000000" w:fill="005DAA"/>
            <w:noWrap/>
            <w:vAlign w:val="center"/>
            <w:hideMark/>
          </w:tcPr>
          <w:p w:rsidR="00D26056" w:rsidRPr="00C106B5" w:rsidRDefault="00D26056" w:rsidP="001157A7">
            <w:pPr>
              <w:keepNext/>
              <w:keepLines/>
              <w:spacing w:after="0"/>
              <w:jc w:val="center"/>
              <w:rPr>
                <w:rFonts w:ascii="Calibri" w:eastAsia="Times New Roman" w:hAnsi="Calibri" w:cs="Times New Roman"/>
                <w:b/>
                <w:bCs/>
                <w:color w:val="FFFFFF"/>
              </w:rPr>
            </w:pPr>
            <w:r w:rsidRPr="00C106B5">
              <w:rPr>
                <w:rFonts w:ascii="Calibri" w:eastAsia="Times New Roman" w:hAnsi="Calibri" w:cs="Times New Roman"/>
                <w:b/>
                <w:bCs/>
                <w:color w:val="FFFFFF"/>
              </w:rPr>
              <w:t>Standard Error</w:t>
            </w:r>
          </w:p>
        </w:tc>
        <w:tc>
          <w:tcPr>
            <w:tcW w:w="0" w:type="auto"/>
            <w:shd w:val="clear" w:color="000000" w:fill="005DAA"/>
            <w:noWrap/>
            <w:vAlign w:val="center"/>
            <w:hideMark/>
          </w:tcPr>
          <w:p w:rsidR="00D26056" w:rsidRPr="00C106B5" w:rsidRDefault="00D26056" w:rsidP="001157A7">
            <w:pPr>
              <w:keepNext/>
              <w:keepLines/>
              <w:spacing w:after="0"/>
              <w:jc w:val="center"/>
              <w:rPr>
                <w:rFonts w:ascii="Calibri" w:eastAsia="Times New Roman" w:hAnsi="Calibri" w:cs="Times New Roman"/>
                <w:b/>
                <w:bCs/>
                <w:color w:val="FFFFFF"/>
              </w:rPr>
            </w:pPr>
            <w:r w:rsidRPr="00C106B5">
              <w:rPr>
                <w:rFonts w:ascii="Calibri" w:eastAsia="Times New Roman" w:hAnsi="Calibri" w:cs="Times New Roman"/>
                <w:b/>
                <w:bCs/>
                <w:color w:val="FFFFFF"/>
              </w:rPr>
              <w:t>Z-Score</w:t>
            </w:r>
          </w:p>
        </w:tc>
        <w:tc>
          <w:tcPr>
            <w:tcW w:w="0" w:type="auto"/>
            <w:shd w:val="clear" w:color="000000" w:fill="005DAA"/>
            <w:noWrap/>
            <w:vAlign w:val="center"/>
            <w:hideMark/>
          </w:tcPr>
          <w:p w:rsidR="00D26056" w:rsidRPr="00C106B5" w:rsidRDefault="00D26056" w:rsidP="001157A7">
            <w:pPr>
              <w:keepNext/>
              <w:keepLines/>
              <w:spacing w:after="0"/>
              <w:jc w:val="center"/>
              <w:rPr>
                <w:rFonts w:ascii="Calibri" w:eastAsia="Times New Roman" w:hAnsi="Calibri" w:cs="Times New Roman"/>
                <w:b/>
                <w:bCs/>
                <w:color w:val="FFFFFF"/>
              </w:rPr>
            </w:pPr>
            <w:r w:rsidRPr="00C106B5">
              <w:rPr>
                <w:rFonts w:ascii="Calibri" w:eastAsia="Times New Roman" w:hAnsi="Calibri" w:cs="Times New Roman"/>
                <w:b/>
                <w:bCs/>
                <w:color w:val="FFFFFF"/>
              </w:rPr>
              <w:t>p-Value</w:t>
            </w:r>
          </w:p>
        </w:tc>
      </w:tr>
      <w:tr w:rsidR="00D26056" w:rsidRPr="00C106B5" w:rsidTr="00DC70BB">
        <w:trPr>
          <w:jc w:val="center"/>
        </w:trPr>
        <w:tc>
          <w:tcPr>
            <w:tcW w:w="0" w:type="auto"/>
            <w:vMerge w:val="restart"/>
            <w:shd w:val="clear" w:color="auto" w:fill="auto"/>
            <w:noWrap/>
            <w:vAlign w:val="center"/>
            <w:hideMark/>
          </w:tcPr>
          <w:p w:rsidR="00D26056" w:rsidRPr="00C106B5" w:rsidRDefault="00D26056" w:rsidP="001157A7">
            <w:pPr>
              <w:keepNext/>
              <w:keepLines/>
              <w:spacing w:after="0"/>
              <w:rPr>
                <w:rFonts w:ascii="Calibri" w:eastAsia="Times New Roman" w:hAnsi="Calibri" w:cs="Times New Roman"/>
                <w:color w:val="000000"/>
                <w:sz w:val="20"/>
                <w:szCs w:val="20"/>
              </w:rPr>
            </w:pPr>
            <w:r w:rsidRPr="00C106B5">
              <w:rPr>
                <w:rFonts w:ascii="Calibri" w:eastAsia="Times New Roman" w:hAnsi="Calibri" w:cs="Times New Roman"/>
                <w:color w:val="000000"/>
                <w:sz w:val="20"/>
                <w:szCs w:val="20"/>
              </w:rPr>
              <w:t>Participant</w:t>
            </w:r>
          </w:p>
        </w:tc>
        <w:tc>
          <w:tcPr>
            <w:tcW w:w="0" w:type="auto"/>
            <w:shd w:val="clear" w:color="auto" w:fill="auto"/>
            <w:noWrap/>
            <w:vAlign w:val="center"/>
            <w:hideMark/>
          </w:tcPr>
          <w:p w:rsidR="00D26056" w:rsidRPr="00C106B5" w:rsidRDefault="00D26056" w:rsidP="001157A7">
            <w:pPr>
              <w:keepNext/>
              <w:keepLines/>
              <w:spacing w:after="0"/>
              <w:rPr>
                <w:rFonts w:ascii="Calibri" w:eastAsia="Times New Roman" w:hAnsi="Calibri" w:cs="Times New Roman"/>
                <w:color w:val="000000"/>
                <w:sz w:val="20"/>
                <w:szCs w:val="20"/>
              </w:rPr>
            </w:pPr>
            <w:r w:rsidRPr="00C106B5">
              <w:rPr>
                <w:rFonts w:ascii="Calibri" w:eastAsia="Times New Roman" w:hAnsi="Calibri" w:cs="Times New Roman"/>
                <w:color w:val="000000"/>
                <w:sz w:val="20"/>
                <w:szCs w:val="20"/>
              </w:rPr>
              <w:t>Post</w:t>
            </w:r>
          </w:p>
        </w:tc>
        <w:tc>
          <w:tcPr>
            <w:tcW w:w="0" w:type="auto"/>
            <w:shd w:val="clear" w:color="auto" w:fill="auto"/>
            <w:noWrap/>
            <w:vAlign w:val="center"/>
            <w:hideMark/>
          </w:tcPr>
          <w:p w:rsidR="00D26056" w:rsidRPr="00C106B5" w:rsidRDefault="00D26056" w:rsidP="001157A7">
            <w:pPr>
              <w:keepNext/>
              <w:keepLines/>
              <w:spacing w:after="0"/>
              <w:jc w:val="right"/>
              <w:rPr>
                <w:rFonts w:ascii="Calibri" w:eastAsia="Times New Roman" w:hAnsi="Calibri" w:cs="Times New Roman"/>
                <w:color w:val="000000"/>
                <w:sz w:val="20"/>
                <w:szCs w:val="20"/>
              </w:rPr>
            </w:pPr>
            <w:r w:rsidRPr="00C106B5">
              <w:rPr>
                <w:rFonts w:ascii="Calibri" w:eastAsia="Times New Roman" w:hAnsi="Calibri" w:cs="Times New Roman"/>
                <w:color w:val="000000"/>
                <w:sz w:val="20"/>
                <w:szCs w:val="20"/>
              </w:rPr>
              <w:t>-0.0182</w:t>
            </w:r>
          </w:p>
        </w:tc>
        <w:tc>
          <w:tcPr>
            <w:tcW w:w="0" w:type="auto"/>
            <w:shd w:val="clear" w:color="auto" w:fill="auto"/>
            <w:noWrap/>
            <w:vAlign w:val="center"/>
            <w:hideMark/>
          </w:tcPr>
          <w:p w:rsidR="00D26056" w:rsidRPr="00C106B5" w:rsidRDefault="00D26056" w:rsidP="001157A7">
            <w:pPr>
              <w:keepNext/>
              <w:keepLines/>
              <w:spacing w:after="0"/>
              <w:jc w:val="right"/>
              <w:rPr>
                <w:rFonts w:ascii="Calibri" w:eastAsia="Times New Roman" w:hAnsi="Calibri" w:cs="Times New Roman"/>
                <w:color w:val="000000"/>
                <w:sz w:val="20"/>
                <w:szCs w:val="20"/>
              </w:rPr>
            </w:pPr>
            <w:r w:rsidRPr="00C106B5">
              <w:rPr>
                <w:rFonts w:ascii="Calibri" w:eastAsia="Times New Roman" w:hAnsi="Calibri" w:cs="Times New Roman"/>
                <w:color w:val="000000"/>
                <w:sz w:val="20"/>
                <w:szCs w:val="20"/>
              </w:rPr>
              <w:t>0.0181</w:t>
            </w:r>
          </w:p>
        </w:tc>
        <w:tc>
          <w:tcPr>
            <w:tcW w:w="0" w:type="auto"/>
            <w:shd w:val="clear" w:color="auto" w:fill="auto"/>
            <w:noWrap/>
            <w:vAlign w:val="center"/>
            <w:hideMark/>
          </w:tcPr>
          <w:p w:rsidR="00D26056" w:rsidRPr="00C106B5" w:rsidRDefault="00D26056" w:rsidP="001157A7">
            <w:pPr>
              <w:keepNext/>
              <w:keepLines/>
              <w:spacing w:after="0"/>
              <w:jc w:val="right"/>
              <w:rPr>
                <w:rFonts w:ascii="Calibri" w:eastAsia="Times New Roman" w:hAnsi="Calibri" w:cs="Times New Roman"/>
                <w:color w:val="000000"/>
                <w:sz w:val="20"/>
                <w:szCs w:val="20"/>
              </w:rPr>
            </w:pPr>
            <w:r w:rsidRPr="00C106B5">
              <w:rPr>
                <w:rFonts w:ascii="Calibri" w:eastAsia="Times New Roman" w:hAnsi="Calibri" w:cs="Times New Roman"/>
                <w:color w:val="000000"/>
                <w:sz w:val="20"/>
                <w:szCs w:val="20"/>
              </w:rPr>
              <w:t>-1.01</w:t>
            </w:r>
          </w:p>
        </w:tc>
        <w:tc>
          <w:tcPr>
            <w:tcW w:w="0" w:type="auto"/>
            <w:shd w:val="clear" w:color="auto" w:fill="auto"/>
            <w:noWrap/>
            <w:vAlign w:val="center"/>
            <w:hideMark/>
          </w:tcPr>
          <w:p w:rsidR="00D26056" w:rsidRPr="00C106B5" w:rsidRDefault="00D26056" w:rsidP="001157A7">
            <w:pPr>
              <w:keepNext/>
              <w:keepLines/>
              <w:spacing w:after="0"/>
              <w:jc w:val="right"/>
              <w:rPr>
                <w:rFonts w:ascii="Calibri" w:eastAsia="Times New Roman" w:hAnsi="Calibri" w:cs="Times New Roman"/>
                <w:color w:val="000000"/>
                <w:sz w:val="20"/>
                <w:szCs w:val="20"/>
              </w:rPr>
            </w:pPr>
            <w:r w:rsidRPr="00C106B5">
              <w:rPr>
                <w:rFonts w:ascii="Calibri" w:eastAsia="Times New Roman" w:hAnsi="Calibri" w:cs="Times New Roman"/>
                <w:color w:val="000000"/>
                <w:sz w:val="20"/>
                <w:szCs w:val="20"/>
              </w:rPr>
              <w:t>0.3145</w:t>
            </w:r>
          </w:p>
        </w:tc>
      </w:tr>
      <w:tr w:rsidR="00D26056" w:rsidRPr="00C106B5" w:rsidTr="00DC70BB">
        <w:trPr>
          <w:jc w:val="center"/>
        </w:trPr>
        <w:tc>
          <w:tcPr>
            <w:tcW w:w="0" w:type="auto"/>
            <w:vMerge/>
            <w:vAlign w:val="center"/>
            <w:hideMark/>
          </w:tcPr>
          <w:p w:rsidR="00D26056" w:rsidRPr="00C106B5" w:rsidRDefault="00D26056" w:rsidP="001157A7">
            <w:pPr>
              <w:keepNext/>
              <w:keepLines/>
              <w:spacing w:after="0"/>
              <w:rPr>
                <w:rFonts w:ascii="Calibri" w:eastAsia="Times New Roman" w:hAnsi="Calibri" w:cs="Times New Roman"/>
                <w:color w:val="000000"/>
                <w:sz w:val="20"/>
                <w:szCs w:val="20"/>
              </w:rPr>
            </w:pPr>
          </w:p>
        </w:tc>
        <w:tc>
          <w:tcPr>
            <w:tcW w:w="0" w:type="auto"/>
            <w:shd w:val="clear" w:color="auto" w:fill="auto"/>
            <w:noWrap/>
            <w:vAlign w:val="center"/>
            <w:hideMark/>
          </w:tcPr>
          <w:p w:rsidR="00D26056" w:rsidRPr="00C106B5" w:rsidRDefault="00D26056" w:rsidP="001157A7">
            <w:pPr>
              <w:keepNext/>
              <w:keepLines/>
              <w:spacing w:after="0"/>
              <w:rPr>
                <w:rFonts w:ascii="Calibri" w:eastAsia="Times New Roman" w:hAnsi="Calibri" w:cs="Times New Roman"/>
                <w:color w:val="000000"/>
                <w:sz w:val="20"/>
                <w:szCs w:val="20"/>
              </w:rPr>
            </w:pPr>
            <w:r w:rsidRPr="00C106B5">
              <w:rPr>
                <w:rFonts w:ascii="Calibri" w:eastAsia="Times New Roman" w:hAnsi="Calibri" w:cs="Times New Roman"/>
                <w:color w:val="000000"/>
                <w:sz w:val="20"/>
                <w:szCs w:val="20"/>
              </w:rPr>
              <w:t>Post*HDD</w:t>
            </w:r>
          </w:p>
        </w:tc>
        <w:tc>
          <w:tcPr>
            <w:tcW w:w="0" w:type="auto"/>
            <w:shd w:val="clear" w:color="auto" w:fill="auto"/>
            <w:noWrap/>
            <w:vAlign w:val="center"/>
            <w:hideMark/>
          </w:tcPr>
          <w:p w:rsidR="00D26056" w:rsidRPr="00C106B5" w:rsidRDefault="00D26056" w:rsidP="001157A7">
            <w:pPr>
              <w:keepNext/>
              <w:keepLines/>
              <w:spacing w:after="0"/>
              <w:jc w:val="right"/>
              <w:rPr>
                <w:rFonts w:ascii="Calibri" w:eastAsia="Times New Roman" w:hAnsi="Calibri" w:cs="Times New Roman"/>
                <w:color w:val="000000"/>
                <w:sz w:val="20"/>
                <w:szCs w:val="20"/>
              </w:rPr>
            </w:pPr>
            <w:r w:rsidRPr="00C106B5">
              <w:rPr>
                <w:rFonts w:ascii="Calibri" w:eastAsia="Times New Roman" w:hAnsi="Calibri" w:cs="Times New Roman"/>
                <w:color w:val="000000"/>
                <w:sz w:val="20"/>
                <w:szCs w:val="20"/>
              </w:rPr>
              <w:t>-0.006</w:t>
            </w:r>
          </w:p>
        </w:tc>
        <w:tc>
          <w:tcPr>
            <w:tcW w:w="0" w:type="auto"/>
            <w:shd w:val="clear" w:color="auto" w:fill="auto"/>
            <w:noWrap/>
            <w:vAlign w:val="center"/>
            <w:hideMark/>
          </w:tcPr>
          <w:p w:rsidR="00D26056" w:rsidRPr="00C106B5" w:rsidRDefault="00D26056" w:rsidP="001157A7">
            <w:pPr>
              <w:keepNext/>
              <w:keepLines/>
              <w:spacing w:after="0"/>
              <w:jc w:val="right"/>
              <w:rPr>
                <w:rFonts w:ascii="Calibri" w:eastAsia="Times New Roman" w:hAnsi="Calibri" w:cs="Times New Roman"/>
                <w:color w:val="000000"/>
                <w:sz w:val="20"/>
                <w:szCs w:val="20"/>
              </w:rPr>
            </w:pPr>
            <w:r w:rsidRPr="00C106B5">
              <w:rPr>
                <w:rFonts w:ascii="Calibri" w:eastAsia="Times New Roman" w:hAnsi="Calibri" w:cs="Times New Roman"/>
                <w:color w:val="000000"/>
                <w:sz w:val="20"/>
                <w:szCs w:val="20"/>
              </w:rPr>
              <w:t>0.0013</w:t>
            </w:r>
          </w:p>
        </w:tc>
        <w:tc>
          <w:tcPr>
            <w:tcW w:w="0" w:type="auto"/>
            <w:shd w:val="clear" w:color="auto" w:fill="auto"/>
            <w:noWrap/>
            <w:vAlign w:val="center"/>
            <w:hideMark/>
          </w:tcPr>
          <w:p w:rsidR="00D26056" w:rsidRPr="00C106B5" w:rsidRDefault="00D26056" w:rsidP="001157A7">
            <w:pPr>
              <w:keepNext/>
              <w:keepLines/>
              <w:spacing w:after="0"/>
              <w:jc w:val="right"/>
              <w:rPr>
                <w:rFonts w:ascii="Calibri" w:eastAsia="Times New Roman" w:hAnsi="Calibri" w:cs="Times New Roman"/>
                <w:color w:val="000000"/>
                <w:sz w:val="20"/>
                <w:szCs w:val="20"/>
              </w:rPr>
            </w:pPr>
            <w:r w:rsidRPr="00C106B5">
              <w:rPr>
                <w:rFonts w:ascii="Calibri" w:eastAsia="Times New Roman" w:hAnsi="Calibri" w:cs="Times New Roman"/>
                <w:color w:val="000000"/>
                <w:sz w:val="20"/>
                <w:szCs w:val="20"/>
              </w:rPr>
              <w:t>-4.55</w:t>
            </w:r>
          </w:p>
        </w:tc>
        <w:tc>
          <w:tcPr>
            <w:tcW w:w="0" w:type="auto"/>
            <w:shd w:val="clear" w:color="auto" w:fill="auto"/>
            <w:noWrap/>
            <w:vAlign w:val="center"/>
            <w:hideMark/>
          </w:tcPr>
          <w:p w:rsidR="00D26056" w:rsidRPr="00C106B5" w:rsidRDefault="00D26056" w:rsidP="001157A7">
            <w:pPr>
              <w:keepNext/>
              <w:keepLines/>
              <w:spacing w:after="0"/>
              <w:jc w:val="right"/>
              <w:rPr>
                <w:rFonts w:ascii="Calibri" w:eastAsia="Times New Roman" w:hAnsi="Calibri" w:cs="Times New Roman"/>
                <w:color w:val="000000"/>
                <w:sz w:val="20"/>
                <w:szCs w:val="20"/>
              </w:rPr>
            </w:pPr>
            <w:r w:rsidRPr="00C106B5">
              <w:rPr>
                <w:rFonts w:ascii="Calibri" w:eastAsia="Times New Roman" w:hAnsi="Calibri" w:cs="Times New Roman"/>
                <w:color w:val="000000"/>
                <w:sz w:val="20"/>
                <w:szCs w:val="20"/>
              </w:rPr>
              <w:t>&lt;.0001</w:t>
            </w:r>
          </w:p>
        </w:tc>
      </w:tr>
    </w:tbl>
    <w:p w:rsidR="003369D1" w:rsidRDefault="003369D1" w:rsidP="001E13F6">
      <w:pPr>
        <w:pStyle w:val="NormalAfterTablesandFigures"/>
      </w:pPr>
    </w:p>
    <w:sectPr w:rsidR="003369D1" w:rsidSect="00985CC7">
      <w:footerReference w:type="even" r:id="rId48"/>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21C" w:rsidRDefault="003C321C" w:rsidP="002A1A4B">
      <w:pPr>
        <w:spacing w:after="0" w:line="240" w:lineRule="auto"/>
      </w:pPr>
      <w:r>
        <w:separator/>
      </w:r>
    </w:p>
  </w:endnote>
  <w:endnote w:type="continuationSeparator" w:id="0">
    <w:p w:rsidR="003C321C" w:rsidRDefault="003C321C" w:rsidP="002A1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E7722" w:rsidRDefault="009E7722" w:rsidP="00961251">
    <w:pPr>
      <w:pStyle w:val="Footer"/>
      <w:pBdr>
        <w:top w:val="none" w:sz="0" w:space="0" w:color="auto"/>
      </w:pBd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E7722" w:rsidRDefault="005C2163" w:rsidP="00E41C3A">
    <w:pPr>
      <w:pStyle w:val="Footer"/>
    </w:pPr>
    <w:r>
      <w:fldChar w:fldCharType="begin"/>
    </w:r>
    <w:r w:rsidR="009E7722">
      <w:instrText xml:space="preserve"> PAGE   \* MERGEFORMAT </w:instrText>
    </w:r>
    <w:r>
      <w:fldChar w:fldCharType="separate"/>
    </w:r>
    <w:r w:rsidR="002506E1">
      <w:rPr>
        <w:noProof/>
      </w:rPr>
      <w:t>23</w:t>
    </w:r>
    <w:r>
      <w:rPr>
        <w:noProof/>
      </w:rPr>
      <w:fldChar w:fldCharType="end"/>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E7722" w:rsidRPr="0073395A" w:rsidRDefault="005C2163" w:rsidP="00D42382">
    <w:pPr>
      <w:pStyle w:val="Footer"/>
    </w:pPr>
    <w:r>
      <w:fldChar w:fldCharType="begin"/>
    </w:r>
    <w:r w:rsidR="009E7722">
      <w:instrText xml:space="preserve"> PAGE   \* MERGEFORMAT </w:instrText>
    </w:r>
    <w:r>
      <w:fldChar w:fldCharType="separate"/>
    </w:r>
    <w:r w:rsidR="002506E1">
      <w:rPr>
        <w:noProof/>
      </w:rPr>
      <w:t>42</w:t>
    </w:r>
    <w:r>
      <w:rPr>
        <w:noProof/>
      </w:rPr>
      <w:fldChar w:fldCharType="end"/>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E7722" w:rsidRDefault="005C2163" w:rsidP="00D42382">
    <w:pPr>
      <w:pStyle w:val="Footer"/>
    </w:pPr>
    <w:r>
      <w:fldChar w:fldCharType="begin"/>
    </w:r>
    <w:r w:rsidR="009E7722">
      <w:instrText xml:space="preserve"> PAGE   \* MERGEFORMAT </w:instrText>
    </w:r>
    <w:r>
      <w:fldChar w:fldCharType="separate"/>
    </w:r>
    <w:r w:rsidR="002506E1">
      <w:rPr>
        <w:noProof/>
      </w:rPr>
      <w:t>43</w:t>
    </w:r>
    <w:r>
      <w:rPr>
        <w:noProof/>
      </w:rPr>
      <w:fldChar w:fldCharType="end"/>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E7722" w:rsidRPr="0073395A" w:rsidRDefault="005C2163" w:rsidP="00E716B9">
    <w:pPr>
      <w:pStyle w:val="Footer"/>
    </w:pPr>
    <w:r>
      <w:fldChar w:fldCharType="begin"/>
    </w:r>
    <w:r w:rsidR="009E7722">
      <w:instrText xml:space="preserve"> PAGE   \* MERGEFORMAT </w:instrText>
    </w:r>
    <w:r>
      <w:fldChar w:fldCharType="separate"/>
    </w:r>
    <w:r w:rsidR="002506E1">
      <w:rPr>
        <w:noProof/>
      </w:rPr>
      <w:t>58</w:t>
    </w:r>
    <w:r>
      <w:rPr>
        <w:noProof/>
      </w:rPr>
      <w:fldChar w:fldCharType="end"/>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E7722" w:rsidRDefault="005C2163" w:rsidP="00E716B9">
    <w:pPr>
      <w:pStyle w:val="Footer"/>
    </w:pPr>
    <w:r>
      <w:fldChar w:fldCharType="begin"/>
    </w:r>
    <w:r w:rsidR="009E7722">
      <w:instrText xml:space="preserve"> PAGE   \* MERGEFORMAT </w:instrText>
    </w:r>
    <w:r>
      <w:fldChar w:fldCharType="separate"/>
    </w:r>
    <w:r w:rsidR="002506E1">
      <w:rPr>
        <w:noProof/>
      </w:rPr>
      <w:t>57</w:t>
    </w:r>
    <w:r>
      <w:rPr>
        <w:noProof/>
      </w:rPr>
      <w:fldChar w:fldCharType="end"/>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E7722" w:rsidRPr="0073395A" w:rsidRDefault="005C2163" w:rsidP="00D42382">
    <w:pPr>
      <w:pStyle w:val="Footer"/>
    </w:pPr>
    <w:r>
      <w:fldChar w:fldCharType="begin"/>
    </w:r>
    <w:r w:rsidR="009E7722">
      <w:instrText xml:space="preserve"> PAGE   \* MERGEFORMAT </w:instrText>
    </w:r>
    <w:r>
      <w:fldChar w:fldCharType="separate"/>
    </w:r>
    <w:r w:rsidR="002506E1">
      <w:rPr>
        <w:noProof/>
      </w:rPr>
      <w:t>82</w:t>
    </w:r>
    <w:r>
      <w:rPr>
        <w:noProof/>
      </w:rPr>
      <w:fldChar w:fldCharType="end"/>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E7722" w:rsidRDefault="005C2163" w:rsidP="00D42382">
    <w:pPr>
      <w:pStyle w:val="Footer"/>
    </w:pPr>
    <w:r>
      <w:fldChar w:fldCharType="begin"/>
    </w:r>
    <w:r w:rsidR="009E7722">
      <w:instrText xml:space="preserve"> PAGE   \* MERGEFORMAT </w:instrText>
    </w:r>
    <w:r>
      <w:fldChar w:fldCharType="separate"/>
    </w:r>
    <w:r w:rsidR="002506E1">
      <w:rPr>
        <w:noProof/>
      </w:rPr>
      <w:t>83</w:t>
    </w:r>
    <w:r>
      <w:rPr>
        <w:noProof/>
      </w:rPr>
      <w:fldChar w:fldCharType="end"/>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E7722" w:rsidRPr="0073395A" w:rsidRDefault="005C2163" w:rsidP="00D42382">
    <w:pPr>
      <w:pStyle w:val="Footer"/>
    </w:pPr>
    <w:r>
      <w:fldChar w:fldCharType="begin"/>
    </w:r>
    <w:r w:rsidR="009E7722">
      <w:instrText xml:space="preserve"> PAGE   \* MERGEFORMAT </w:instrText>
    </w:r>
    <w:r>
      <w:fldChar w:fldCharType="separate"/>
    </w:r>
    <w:r w:rsidR="002506E1">
      <w:rPr>
        <w:noProof/>
      </w:rPr>
      <w:t>88</w:t>
    </w:r>
    <w:r>
      <w:rPr>
        <w:noProof/>
      </w:rPr>
      <w:fldChar w:fldCharType="end"/>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E7722" w:rsidRDefault="005C2163" w:rsidP="00D42382">
    <w:pPr>
      <w:pStyle w:val="Footer"/>
    </w:pPr>
    <w:r>
      <w:fldChar w:fldCharType="begin"/>
    </w:r>
    <w:r w:rsidR="009E7722">
      <w:instrText xml:space="preserve"> PAGE   \* MERGEFORMAT </w:instrText>
    </w:r>
    <w:r>
      <w:fldChar w:fldCharType="separate"/>
    </w:r>
    <w:r w:rsidR="002506E1">
      <w:rPr>
        <w:noProof/>
      </w:rPr>
      <w:t>89</w:t>
    </w:r>
    <w:r>
      <w:rPr>
        <w:noProof/>
      </w:rPr>
      <w:fldChar w:fldCharType="end"/>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E7722" w:rsidRPr="0073395A" w:rsidRDefault="005C2163" w:rsidP="00D42382">
    <w:pPr>
      <w:pStyle w:val="Footer"/>
    </w:pPr>
    <w:r>
      <w:fldChar w:fldCharType="begin"/>
    </w:r>
    <w:r w:rsidR="009E7722">
      <w:instrText xml:space="preserve"> PAGE   \* MERGEFORMAT </w:instrText>
    </w:r>
    <w:r>
      <w:fldChar w:fldCharType="separate"/>
    </w:r>
    <w:r w:rsidR="002506E1">
      <w:rPr>
        <w:noProof/>
      </w:rPr>
      <w:t>94</w:t>
    </w:r>
    <w:r>
      <w:rPr>
        <w:noProof/>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E7722" w:rsidRPr="00861518" w:rsidRDefault="009E7722" w:rsidP="00861518">
    <w:pPr>
      <w:jc w:val="center"/>
    </w:pPr>
    <w:r>
      <w:rPr>
        <w:noProof/>
      </w:rPr>
      <w:drawing>
        <wp:inline distT="0" distB="0" distL="0" distR="0">
          <wp:extent cx="4114800" cy="3056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63_CadmusRepCoverFooter.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14800" cy="305671"/>
                  </a:xfrm>
                  <a:prstGeom prst="rect">
                    <a:avLst/>
                  </a:prstGeom>
                </pic:spPr>
              </pic:pic>
            </a:graphicData>
          </a:graphic>
        </wp:inline>
      </w:drawing>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E7722" w:rsidRDefault="005C2163" w:rsidP="00D42382">
    <w:pPr>
      <w:pStyle w:val="Footer"/>
    </w:pPr>
    <w:r>
      <w:fldChar w:fldCharType="begin"/>
    </w:r>
    <w:r w:rsidR="009E7722">
      <w:instrText xml:space="preserve"> PAGE   \* MERGEFORMAT </w:instrText>
    </w:r>
    <w:r>
      <w:fldChar w:fldCharType="separate"/>
    </w:r>
    <w:r w:rsidR="002506E1">
      <w:rPr>
        <w:noProof/>
      </w:rPr>
      <w:t>95</w:t>
    </w:r>
    <w:r>
      <w:rPr>
        <w:noProof/>
      </w:rPr>
      <w:fldChar w:fldCharType="end"/>
    </w: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E7722" w:rsidRPr="0073395A" w:rsidRDefault="005C2163" w:rsidP="00D42382">
    <w:pPr>
      <w:pStyle w:val="Footer"/>
    </w:pPr>
    <w:r>
      <w:fldChar w:fldCharType="begin"/>
    </w:r>
    <w:r w:rsidR="009E7722">
      <w:instrText xml:space="preserve"> PAGE   \* MERGEFORMAT </w:instrText>
    </w:r>
    <w:r>
      <w:fldChar w:fldCharType="separate"/>
    </w:r>
    <w:r w:rsidR="002506E1">
      <w:rPr>
        <w:noProof/>
      </w:rPr>
      <w:t>98</w:t>
    </w:r>
    <w:r>
      <w:rPr>
        <w:noProof/>
      </w:rPr>
      <w:fldChar w:fldCharType="end"/>
    </w: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E7722" w:rsidRDefault="005C2163" w:rsidP="00D42382">
    <w:pPr>
      <w:pStyle w:val="Footer"/>
    </w:pPr>
    <w:r>
      <w:fldChar w:fldCharType="begin"/>
    </w:r>
    <w:r w:rsidR="009E7722">
      <w:instrText xml:space="preserve"> PAGE   \* MERGEFORMAT </w:instrText>
    </w:r>
    <w:r>
      <w:fldChar w:fldCharType="separate"/>
    </w:r>
    <w:r w:rsidR="002506E1">
      <w:rPr>
        <w:noProof/>
      </w:rPr>
      <w:t>97</w:t>
    </w:r>
    <w:r>
      <w:rPr>
        <w:noProof/>
      </w:rPr>
      <w:fldChar w:fldCharType="end"/>
    </w: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E7722" w:rsidRDefault="005C2163" w:rsidP="00E41C3A">
    <w:pPr>
      <w:pStyle w:val="Footer"/>
    </w:pPr>
    <w:r>
      <w:fldChar w:fldCharType="begin"/>
    </w:r>
    <w:r w:rsidR="009E7722">
      <w:instrText xml:space="preserve"> PAGE   \* MERGEFORMAT </w:instrText>
    </w:r>
    <w:r>
      <w:fldChar w:fldCharType="separate"/>
    </w:r>
    <w:r w:rsidR="002506E1">
      <w:rPr>
        <w:noProof/>
      </w:rPr>
      <w:t>100</w:t>
    </w:r>
    <w:r>
      <w:rPr>
        <w:noProof/>
      </w:rPr>
      <w:fldChar w:fldCharType="end"/>
    </w:r>
  </w:p>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E7722" w:rsidRDefault="005C2163" w:rsidP="006879C9">
    <w:pPr>
      <w:pStyle w:val="Footer"/>
    </w:pPr>
    <w:r>
      <w:fldChar w:fldCharType="begin"/>
    </w:r>
    <w:r w:rsidR="009E7722">
      <w:instrText xml:space="preserve"> PAGE   \* MERGEFORMAT </w:instrText>
    </w:r>
    <w:r>
      <w:fldChar w:fldCharType="separate"/>
    </w:r>
    <w:r w:rsidR="002506E1">
      <w:rPr>
        <w:noProof/>
      </w:rPr>
      <w:t>99</w:t>
    </w:r>
    <w:r>
      <w:rPr>
        <w:noProof/>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E7722" w:rsidRPr="007A7914" w:rsidRDefault="009E7722" w:rsidP="00961251">
    <w:pPr>
      <w:pStyle w:val="Footer"/>
      <w:pBdr>
        <w:top w:val="none" w:sz="0" w:space="0" w:color="auto"/>
      </w:pBd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E7722" w:rsidRPr="0073395A" w:rsidRDefault="009E7722" w:rsidP="00961251">
    <w:pPr>
      <w:pStyle w:val="Footer"/>
      <w:pBdr>
        <w:top w:val="none" w:sz="0" w:space="0" w:color="auto"/>
      </w:pBd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E7722" w:rsidRPr="0073395A" w:rsidRDefault="009E7722" w:rsidP="0019400B">
    <w:pPr>
      <w:pStyle w:val="Footer"/>
      <w:jc w:val="left"/>
    </w:pPr>
    <w:r>
      <w:tab/>
    </w:r>
    <w:r w:rsidR="005C2163">
      <w:fldChar w:fldCharType="begin"/>
    </w:r>
    <w:r>
      <w:instrText xml:space="preserve"> PAGE   \* MERGEFORMAT </w:instrText>
    </w:r>
    <w:r w:rsidR="005C2163">
      <w:fldChar w:fldCharType="separate"/>
    </w:r>
    <w:r w:rsidR="002506E1">
      <w:rPr>
        <w:noProof/>
      </w:rPr>
      <w:t>ii</w:t>
    </w:r>
    <w:r w:rsidR="005C2163">
      <w:rPr>
        <w:noProof/>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E7722" w:rsidRDefault="009E7722" w:rsidP="0019400B">
    <w:pPr>
      <w:pStyle w:val="Footer"/>
      <w:jc w:val="left"/>
    </w:pPr>
    <w:r>
      <w:tab/>
    </w:r>
    <w:r w:rsidR="005C2163">
      <w:fldChar w:fldCharType="begin"/>
    </w:r>
    <w:r>
      <w:instrText xml:space="preserve"> PAGE   \* MERGEFORMAT </w:instrText>
    </w:r>
    <w:r w:rsidR="005C2163">
      <w:fldChar w:fldCharType="separate"/>
    </w:r>
    <w:r w:rsidR="002506E1">
      <w:rPr>
        <w:noProof/>
      </w:rPr>
      <w:t>i</w:t>
    </w:r>
    <w:r w:rsidR="005C2163">
      <w:rPr>
        <w:noProof/>
      </w:rP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E7722" w:rsidRPr="0073395A" w:rsidRDefault="009E7722" w:rsidP="0019400B">
    <w:pPr>
      <w:pStyle w:val="Footer"/>
      <w:jc w:val="left"/>
    </w:pPr>
    <w:r>
      <w:tab/>
    </w:r>
    <w:r w:rsidR="005C2163">
      <w:fldChar w:fldCharType="begin"/>
    </w:r>
    <w:r>
      <w:instrText xml:space="preserve"> PAGE   \* MERGEFORMAT </w:instrText>
    </w:r>
    <w:r w:rsidR="005C2163">
      <w:fldChar w:fldCharType="separate"/>
    </w:r>
    <w:r w:rsidR="002506E1">
      <w:rPr>
        <w:noProof/>
      </w:rPr>
      <w:t>2</w:t>
    </w:r>
    <w:r w:rsidR="005C2163">
      <w:rPr>
        <w:noProof/>
      </w:rPr>
      <w:fldChar w:fldCharType="end"/>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E7722" w:rsidRDefault="005C2163" w:rsidP="00E41C3A">
    <w:pPr>
      <w:pStyle w:val="Footer"/>
    </w:pPr>
    <w:r>
      <w:fldChar w:fldCharType="begin"/>
    </w:r>
    <w:r w:rsidR="009E7722">
      <w:instrText xml:space="preserve"> PAGE   \* MERGEFORMAT </w:instrText>
    </w:r>
    <w:r>
      <w:fldChar w:fldCharType="separate"/>
    </w:r>
    <w:r w:rsidR="002506E1">
      <w:rPr>
        <w:noProof/>
      </w:rPr>
      <w:t>1</w:t>
    </w:r>
    <w:r>
      <w:rPr>
        <w:noProof/>
      </w:rPr>
      <w:fldChar w:fldCharType="end"/>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E7722" w:rsidRPr="0073395A" w:rsidRDefault="005C2163" w:rsidP="00D42382">
    <w:pPr>
      <w:pStyle w:val="Footer"/>
    </w:pPr>
    <w:r>
      <w:fldChar w:fldCharType="begin"/>
    </w:r>
    <w:r w:rsidR="009E7722">
      <w:instrText xml:space="preserve"> PAGE   \* MERGEFORMAT </w:instrText>
    </w:r>
    <w:r>
      <w:fldChar w:fldCharType="separate"/>
    </w:r>
    <w:r w:rsidR="002506E1">
      <w:rPr>
        <w:noProof/>
      </w:rPr>
      <w:t>24</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21C" w:rsidRDefault="003C321C" w:rsidP="002A1A4B">
      <w:pPr>
        <w:spacing w:after="0" w:line="240" w:lineRule="auto"/>
      </w:pPr>
      <w:r>
        <w:separator/>
      </w:r>
    </w:p>
  </w:footnote>
  <w:footnote w:type="continuationSeparator" w:id="0">
    <w:p w:rsidR="003C321C" w:rsidRDefault="003C321C" w:rsidP="002A1A4B">
      <w:pPr>
        <w:spacing w:after="0" w:line="240" w:lineRule="auto"/>
      </w:pPr>
      <w:r>
        <w:continuationSeparator/>
      </w:r>
    </w:p>
  </w:footnote>
  <w:footnote w:id="1">
    <w:p w:rsidR="009E7722" w:rsidRDefault="009E7722" w:rsidP="006F75FA">
      <w:pPr>
        <w:pStyle w:val="FootnoteText"/>
        <w:ind w:left="360" w:hanging="360"/>
      </w:pPr>
      <w:r>
        <w:rPr>
          <w:rStyle w:val="FootnoteReference"/>
        </w:rPr>
        <w:footnoteRef/>
      </w:r>
      <w:r>
        <w:t xml:space="preserve">      Whole-house billing analysis results for HES-IE subprograms 1 and 4 will ultimately be moved to the section of the final report presenting other whole-house results. </w:t>
      </w:r>
    </w:p>
  </w:footnote>
  <w:footnote w:id="2">
    <w:p w:rsidR="009E7722" w:rsidRPr="005B26C9" w:rsidRDefault="009E7722" w:rsidP="006F75FA">
      <w:pPr>
        <w:pStyle w:val="NormalWeb"/>
        <w:spacing w:before="0" w:beforeAutospacing="0" w:after="0" w:afterAutospacing="0"/>
        <w:ind w:left="360" w:hanging="360"/>
        <w:rPr>
          <w:rFonts w:ascii="Calibri" w:hAnsi="Calibri"/>
          <w:sz w:val="20"/>
        </w:rPr>
      </w:pPr>
      <w:r w:rsidRPr="006F75FA">
        <w:rPr>
          <w:rStyle w:val="FootnoteReference"/>
          <w:rFonts w:asciiTheme="minorHAnsi" w:hAnsiTheme="minorHAnsi"/>
          <w:sz w:val="20"/>
          <w:szCs w:val="20"/>
        </w:rPr>
        <w:footnoteRef/>
      </w:r>
      <w:r w:rsidRPr="006F75FA">
        <w:rPr>
          <w:rFonts w:asciiTheme="minorHAnsi" w:hAnsiTheme="minorHAnsi"/>
          <w:sz w:val="20"/>
          <w:szCs w:val="20"/>
        </w:rPr>
        <w:t xml:space="preserve">    UMP Whole-Building Retrofit with Consumption Data Analysis Evaluation Protocol</w:t>
      </w:r>
      <w:r w:rsidRPr="005B26C9">
        <w:rPr>
          <w:rFonts w:ascii="Calibri" w:hAnsi="Calibri"/>
          <w:sz w:val="20"/>
        </w:rPr>
        <w:t xml:space="preserve"> (</w:t>
      </w:r>
      <w:hyperlink r:id="rId1" w:history="1">
        <w:r w:rsidRPr="005B26C9">
          <w:rPr>
            <w:rStyle w:val="Hyperlink"/>
            <w:rFonts w:ascii="Calibri" w:hAnsi="Calibri"/>
            <w:sz w:val="20"/>
          </w:rPr>
          <w:t>https://www1.eere.energy.gov/wip/pdfs/53827-8.pdf</w:t>
        </w:r>
      </w:hyperlink>
      <w:r w:rsidRPr="005B26C9">
        <w:rPr>
          <w:rFonts w:ascii="Calibri" w:hAnsi="Calibri"/>
          <w:sz w:val="20"/>
        </w:rPr>
        <w:t>); IPMVP Option C (</w:t>
      </w:r>
      <w:hyperlink r:id="rId2" w:history="1">
        <w:r w:rsidRPr="005B26C9">
          <w:rPr>
            <w:rStyle w:val="Hyperlink"/>
            <w:rFonts w:ascii="Calibri" w:hAnsi="Calibri"/>
            <w:sz w:val="20"/>
          </w:rPr>
          <w:t>http://www.nrel.gov/docs/fy02osti/31505.pdf</w:t>
        </w:r>
      </w:hyperlink>
      <w:r w:rsidRPr="005B26C9">
        <w:rPr>
          <w:rFonts w:ascii="Calibri" w:hAnsi="Calibri"/>
          <w:sz w:val="20"/>
        </w:rPr>
        <w:t>); California Energy Efficiency Evaluation Protocols (</w:t>
      </w:r>
      <w:hyperlink r:id="rId3" w:history="1">
        <w:r w:rsidRPr="005B26C9">
          <w:rPr>
            <w:rStyle w:val="Hyperlink"/>
            <w:rFonts w:ascii="Calibri" w:hAnsi="Calibri"/>
            <w:sz w:val="20"/>
          </w:rPr>
          <w:t>http://www.calmac.org/events/EvaluatorsProtocols_Final_AdoptedviaRuling_06-19-2006.pdf</w:t>
        </w:r>
      </w:hyperlink>
      <w:r w:rsidRPr="005B26C9">
        <w:rPr>
          <w:rFonts w:ascii="Calibri" w:hAnsi="Calibri"/>
          <w:sz w:val="20"/>
        </w:rPr>
        <w:t>)</w:t>
      </w:r>
      <w:r>
        <w:rPr>
          <w:rFonts w:ascii="Calibri" w:hAnsi="Calibri"/>
          <w:sz w:val="20"/>
        </w:rPr>
        <w:t xml:space="preserve">  </w:t>
      </w:r>
    </w:p>
    <w:p w:rsidR="009E7722" w:rsidRDefault="009E7722" w:rsidP="003A2BC0">
      <w:pPr>
        <w:pStyle w:val="NormalWeb"/>
      </w:pPr>
    </w:p>
  </w:footnote>
  <w:footnote w:id="3">
    <w:p w:rsidR="009E7722" w:rsidRDefault="009E7722" w:rsidP="00056305">
      <w:pPr>
        <w:pStyle w:val="FootnoteText1"/>
      </w:pPr>
      <w:r>
        <w:rPr>
          <w:rStyle w:val="FootnoteReference"/>
        </w:rPr>
        <w:footnoteRef/>
      </w:r>
      <w:r>
        <w:t xml:space="preserve"> </w:t>
      </w:r>
      <w:r>
        <w:tab/>
        <w:t>For HES-IE, measure-level models only focused on SP2 and SP3, as the structures of SP1 and SP4 made it difficult to isolate measures and savings installed by the program for the reasons Volume 1 discusses in greater detail. This report volume presents separate whole-house models for SP1 and SP4.</w:t>
      </w:r>
    </w:p>
  </w:footnote>
  <w:footnote w:id="4">
    <w:p w:rsidR="009E7722" w:rsidRDefault="009E7722" w:rsidP="00056305">
      <w:pPr>
        <w:pStyle w:val="FootnoteText1"/>
        <w:keepLines/>
      </w:pPr>
      <w:r>
        <w:rPr>
          <w:rStyle w:val="FootnoteReference"/>
        </w:rPr>
        <w:footnoteRef/>
      </w:r>
      <w:r>
        <w:t xml:space="preserve"> </w:t>
      </w:r>
      <w:r>
        <w:tab/>
        <w:t xml:space="preserve">Though acceptable, these levels fall short of 90/10 confidence and precision for most specific measures, reflecting the relatively low incidence of these measures in the participant population. The Evaluation Team, however, sought to achieve 90/10 for specific measures whenever possible (and at the program levels). The report shows results with up to a 35% sampling error to provide the most information possible for assessing program impacts and for future program planning. The reader, however, should recognize results with a sampling error greater </w:t>
      </w:r>
      <w:r w:rsidRPr="008C7C6F">
        <w:t>than 10%–20%</w:t>
      </w:r>
      <w:r>
        <w:t xml:space="preserve"> do not adhere to standard statistical conventions for acceptable levels of precision. In short, it is very possible that another study with similarly small sample sizes or, preferably, larger ones would produce different conclusions about savings from measures with high sampling errors.</w:t>
      </w:r>
    </w:p>
  </w:footnote>
  <w:footnote w:id="5">
    <w:p w:rsidR="009E7722" w:rsidRDefault="009E7722" w:rsidP="00056305">
      <w:pPr>
        <w:pStyle w:val="FootnoteText1"/>
      </w:pPr>
      <w:r>
        <w:rPr>
          <w:rStyle w:val="FootnoteReference"/>
        </w:rPr>
        <w:footnoteRef/>
      </w:r>
      <w:r>
        <w:t xml:space="preserve"> </w:t>
      </w:r>
      <w:r>
        <w:tab/>
        <w:t xml:space="preserve">In several instances, where tracking data did not provide sufficient measure details, the Evaluation Team accepted reported </w:t>
      </w:r>
      <w:r w:rsidRPr="00A22A1F">
        <w:rPr>
          <w:i/>
        </w:rPr>
        <w:t>ex ante</w:t>
      </w:r>
      <w:r>
        <w:t xml:space="preserve"> savings estimates without further evaluation adjustments.</w:t>
      </w:r>
    </w:p>
  </w:footnote>
  <w:footnote w:id="6">
    <w:p w:rsidR="009E7722" w:rsidRDefault="009E7722" w:rsidP="004A7E9B">
      <w:pPr>
        <w:pStyle w:val="FootnoteText1"/>
      </w:pPr>
      <w:r>
        <w:rPr>
          <w:rStyle w:val="FootnoteReference"/>
        </w:rPr>
        <w:footnoteRef/>
      </w:r>
      <w:r>
        <w:t xml:space="preserve"> </w:t>
      </w:r>
      <w:r>
        <w:tab/>
        <w:t>Included with Volume 2 as a supplemental analysis, contracted subsequently to development of Volume 1.</w:t>
      </w:r>
    </w:p>
  </w:footnote>
  <w:footnote w:id="7">
    <w:p w:rsidR="009E7722" w:rsidRDefault="009E7722" w:rsidP="00A55F33">
      <w:pPr>
        <w:pStyle w:val="FootnoteText1"/>
      </w:pPr>
      <w:r>
        <w:rPr>
          <w:rStyle w:val="FootnoteReference"/>
        </w:rPr>
        <w:footnoteRef/>
      </w:r>
      <w:r>
        <w:t xml:space="preserve"> </w:t>
      </w:r>
      <w:r>
        <w:tab/>
        <w:t>For HES-IE, measure-level models only focused on SP2 and SP3 as the structures of SP1 and SP4 make it difficult to isolate measures and savings installed by the program for reasons discussed in more detail in Volume 1. This report volume presents separate whole-house models for SP1 and SP4.</w:t>
      </w:r>
    </w:p>
  </w:footnote>
  <w:footnote w:id="8">
    <w:p w:rsidR="009E7722" w:rsidRDefault="009E7722" w:rsidP="00A55F33">
      <w:pPr>
        <w:pStyle w:val="FootnoteText1"/>
        <w:keepLines/>
      </w:pPr>
      <w:r>
        <w:rPr>
          <w:rStyle w:val="FootnoteReference"/>
        </w:rPr>
        <w:footnoteRef/>
      </w:r>
      <w:r>
        <w:t xml:space="preserve"> </w:t>
      </w:r>
      <w:r>
        <w:tab/>
        <w:t xml:space="preserve">These acceptable levels fall short of 90/10 confidence and precision for most specific measures, reflecting the relatively low incidence of these measures in the participant population. The Evaluation Team, however, sought to achieve 90/10 for specific measures whenever possible (and at the program levels). The report shows results with up to a 35% sampling error to provide the most information possible for assessing program impacts and for future program planning. However, the reader should recognize that the results with a sampling error greater </w:t>
      </w:r>
      <w:r w:rsidRPr="007C1419">
        <w:t>than 10%–20% do</w:t>
      </w:r>
      <w:r>
        <w:t xml:space="preserve"> not adhere to standard statistical conventions for acceptable levels of precision. In short, it is very possible that another study with similarly small sample sizes or, preferably, larger ones would draw different conclusions about the savings from measures with high sampling errors.</w:t>
      </w:r>
    </w:p>
  </w:footnote>
  <w:footnote w:id="9">
    <w:p w:rsidR="009E7722" w:rsidRDefault="009E7722" w:rsidP="004A7E9B">
      <w:pPr>
        <w:pStyle w:val="FootnoteText1"/>
      </w:pPr>
      <w:r>
        <w:rPr>
          <w:rStyle w:val="FootnoteReference"/>
        </w:rPr>
        <w:footnoteRef/>
      </w:r>
      <w:r>
        <w:t xml:space="preserve"> </w:t>
      </w:r>
      <w:r>
        <w:tab/>
        <w:t xml:space="preserve">In several instances, where tracking data did not provide sufficient measure details, the Evaluation Team accepted reported </w:t>
      </w:r>
      <w:r w:rsidRPr="00A22A1F">
        <w:rPr>
          <w:i/>
        </w:rPr>
        <w:t>ex ante</w:t>
      </w:r>
      <w:r>
        <w:t xml:space="preserve"> savings estimates without further evaluation adjustments.</w:t>
      </w:r>
    </w:p>
  </w:footnote>
  <w:footnote w:id="10">
    <w:p w:rsidR="009E7722" w:rsidRDefault="009E7722" w:rsidP="004A7E9B">
      <w:pPr>
        <w:pStyle w:val="FootnoteText1"/>
      </w:pPr>
      <w:r>
        <w:rPr>
          <w:rStyle w:val="FootnoteReference"/>
        </w:rPr>
        <w:footnoteRef/>
      </w:r>
      <w:r>
        <w:t xml:space="preserve"> </w:t>
      </w:r>
      <w:r>
        <w:tab/>
        <w:t>The Volume 1 report provides detailed discussions of data challenges encountered.</w:t>
      </w:r>
    </w:p>
  </w:footnote>
  <w:footnote w:id="11">
    <w:p w:rsidR="009E7722" w:rsidRDefault="009E7722" w:rsidP="004A7E9B">
      <w:pPr>
        <w:pStyle w:val="FootnoteText1"/>
      </w:pPr>
      <w:r>
        <w:rPr>
          <w:rStyle w:val="FootnoteReference"/>
        </w:rPr>
        <w:footnoteRef/>
      </w:r>
      <w:r>
        <w:t xml:space="preserve"> </w:t>
      </w:r>
      <w:r>
        <w:tab/>
        <w:t>The current HER program only targets electric customers and measures, but the behavioral changes adopted by HERs households could generate gas savings or lead them to adopt gas-saving measures.</w:t>
      </w:r>
    </w:p>
  </w:footnote>
  <w:footnote w:id="12">
    <w:p w:rsidR="009E7722" w:rsidRPr="004A7E9B" w:rsidRDefault="009E7722" w:rsidP="004A7E9B">
      <w:pPr>
        <w:pStyle w:val="FootnoteText1"/>
      </w:pPr>
      <w:r>
        <w:rPr>
          <w:rStyle w:val="FootnoteReference"/>
        </w:rPr>
        <w:footnoteRef/>
      </w:r>
      <w:r>
        <w:t xml:space="preserve"> </w:t>
      </w:r>
      <w:r>
        <w:tab/>
      </w:r>
      <w:hyperlink r:id="rId4" w:history="1">
        <w:r w:rsidRPr="00B45C84">
          <w:rPr>
            <w:rStyle w:val="Hyperlink"/>
          </w:rPr>
          <w:t>http://www.ctenergyinfo.com/sites/default/files/2012%20CT%20Program%20Savings%20Documentation%</w:t>
        </w:r>
        <w:r w:rsidRPr="00B45C84">
          <w:rPr>
            <w:rStyle w:val="Hyperlink"/>
          </w:rPr>
          <w:br/>
          <w:t>20FINAL.pdf</w:t>
        </w:r>
      </w:hyperlink>
    </w:p>
  </w:footnote>
  <w:footnote w:id="13">
    <w:p w:rsidR="009E7722" w:rsidRPr="007A1CBE" w:rsidRDefault="009E7722" w:rsidP="007A1CBE">
      <w:pPr>
        <w:pStyle w:val="FootnoteText1"/>
      </w:pPr>
      <w:r>
        <w:rPr>
          <w:rStyle w:val="FootnoteReference"/>
        </w:rPr>
        <w:footnoteRef/>
      </w:r>
      <w:r>
        <w:t xml:space="preserve"> </w:t>
      </w:r>
      <w:r>
        <w:tab/>
        <w:t xml:space="preserve">UMP Whole-Building Retrofit with Consumption Data Analysis Evaluation Protocol. Available online at: </w:t>
      </w:r>
      <w:hyperlink r:id="rId5" w:history="1">
        <w:r w:rsidRPr="00C61BE6">
          <w:rPr>
            <w:rStyle w:val="Hyperlink"/>
          </w:rPr>
          <w:t>https://www1.eere.energy.gov/wip/pdfs/53827-8.pdf</w:t>
        </w:r>
      </w:hyperlink>
    </w:p>
  </w:footnote>
  <w:footnote w:id="14">
    <w:p w:rsidR="009E7722" w:rsidRDefault="009E7722" w:rsidP="00BD4406">
      <w:pPr>
        <w:pStyle w:val="FootnoteText1"/>
      </w:pPr>
      <w:r w:rsidRPr="00740525">
        <w:rPr>
          <w:rStyle w:val="FootnoteReference"/>
        </w:rPr>
        <w:footnoteRef/>
      </w:r>
      <w:r w:rsidRPr="00740525">
        <w:t xml:space="preserve"> </w:t>
      </w:r>
      <w:r w:rsidRPr="00740525">
        <w:tab/>
        <w:t>As a supplemental analysis, the Evaluation Team has proposed performing a more detailed demand-impact modeling approach for evaluating demand savings. This approach would use end-use load shapes and several peak period definitions (</w:t>
      </w:r>
      <w:r>
        <w:t xml:space="preserve">e.g., </w:t>
      </w:r>
      <w:r w:rsidRPr="00740525">
        <w:t>seasonal versus on peak) to estimate demand associated with program measure activit</w:t>
      </w:r>
      <w:r>
        <w:t>ies</w:t>
      </w:r>
      <w:r w:rsidRPr="00740525">
        <w:t xml:space="preserve"> for a specific program period.</w:t>
      </w:r>
      <w:r w:rsidRPr="0028501C">
        <w:t xml:space="preserve"> </w:t>
      </w:r>
    </w:p>
  </w:footnote>
  <w:footnote w:id="15">
    <w:p w:rsidR="009E7722" w:rsidRDefault="009E7722" w:rsidP="007A1CBE">
      <w:pPr>
        <w:pStyle w:val="FootnoteText1"/>
      </w:pPr>
      <w:r>
        <w:rPr>
          <w:rStyle w:val="FootnoteReference"/>
        </w:rPr>
        <w:footnoteRef/>
      </w:r>
      <w:r>
        <w:t xml:space="preserve"> </w:t>
      </w:r>
      <w:r>
        <w:tab/>
        <w:t xml:space="preserve">The savings reported in the Plan for the 2011 program year have been adjusted by net realization rates, outlined in the 2011 PSD (Chapter 7, Table 1.3C, p.232) for both HES and HES-IE programs. For this study, these net realization rates have been backed out of the Plan-reported savings to ensure adjusted gross realization rates from this study have been applied to “unadjusted,” gross </w:t>
      </w:r>
      <w:r w:rsidRPr="00537B85">
        <w:rPr>
          <w:i/>
        </w:rPr>
        <w:t>ex ante</w:t>
      </w:r>
      <w:r>
        <w:t xml:space="preserve"> results.</w:t>
      </w:r>
    </w:p>
  </w:footnote>
  <w:footnote w:id="16">
    <w:p w:rsidR="009E7722" w:rsidRDefault="009E7722" w:rsidP="00B920E7">
      <w:pPr>
        <w:pStyle w:val="FootnoteText1"/>
      </w:pPr>
      <w:r>
        <w:rPr>
          <w:rStyle w:val="FootnoteReference"/>
        </w:rPr>
        <w:footnoteRef/>
      </w:r>
      <w:r>
        <w:t xml:space="preserve"> </w:t>
      </w:r>
      <w:r>
        <w:tab/>
        <w:t xml:space="preserve">As CFLs represent approximately 99.9% of total </w:t>
      </w:r>
      <w:r w:rsidRPr="00511C08">
        <w:rPr>
          <w:i/>
        </w:rPr>
        <w:t>ex ante</w:t>
      </w:r>
      <w:r>
        <w:t xml:space="preserve"> reported savings for the lighting category, analysis findings can be considered largely in the context of CFL bulb installation. </w:t>
      </w:r>
    </w:p>
  </w:footnote>
  <w:footnote w:id="17">
    <w:p w:rsidR="009E7722" w:rsidRDefault="009E7722" w:rsidP="00FF26F8">
      <w:pPr>
        <w:pStyle w:val="FootnoteText1"/>
      </w:pPr>
      <w:r>
        <w:rPr>
          <w:rStyle w:val="FootnoteReference"/>
        </w:rPr>
        <w:footnoteRef/>
      </w:r>
      <w:r>
        <w:t xml:space="preserve"> </w:t>
      </w:r>
      <w:r>
        <w:tab/>
      </w:r>
      <w:r w:rsidRPr="00CD4CCB">
        <w:rPr>
          <w:i/>
        </w:rPr>
        <w:t>2012 Home Energy Solutions: Field Implementation Manual</w:t>
      </w:r>
      <w:r>
        <w:t>. p. 48.</w:t>
      </w:r>
    </w:p>
  </w:footnote>
  <w:footnote w:id="18">
    <w:p w:rsidR="009E7722" w:rsidRPr="003A2BC0" w:rsidRDefault="009E7722" w:rsidP="003A2BC0">
      <w:pPr>
        <w:ind w:left="360" w:hanging="360"/>
        <w:rPr>
          <w:sz w:val="20"/>
          <w:szCs w:val="20"/>
        </w:rPr>
      </w:pPr>
      <w:r>
        <w:rPr>
          <w:rStyle w:val="FootnoteReference"/>
        </w:rPr>
        <w:footnoteRef/>
      </w:r>
      <w:r>
        <w:t xml:space="preserve">    </w:t>
      </w:r>
      <w:r>
        <w:rPr>
          <w:sz w:val="20"/>
          <w:szCs w:val="20"/>
        </w:rPr>
        <w:t xml:space="preserve">Upon first appearances, the trend showing HOU decreasing with installations of more energy-efficient bulbs may seem to contradict the </w:t>
      </w:r>
      <w:r>
        <w:rPr>
          <w:i/>
          <w:sz w:val="20"/>
          <w:szCs w:val="20"/>
        </w:rPr>
        <w:t>Northeast Regional Hours of Use Study</w:t>
      </w:r>
      <w:r>
        <w:rPr>
          <w:sz w:val="20"/>
          <w:szCs w:val="20"/>
        </w:rPr>
        <w:t>. That study found: 1) HOU was higher for energy-efficient vs. inefficient bulbs; and 2) this relationship did not change with socket saturations (i.e., the percentage of sockets filled with energy-efficient bulbs). The two studies, however, really could not be directly compared. The current study focuses on bulbs an auditor directly installed in every socket in a home, up to the program limit (i.e., 25). In contrast, the regional HOU study primarily focused on bulbs obtained from retail stores, with the home occupants deciding where to install bulbs, and even homes with the highest energy-efficient socket saturations having  many (sometimes 50% or more) of their sockets filled with inefficient bulbs. Thus, though the studies do not contradict one another, they simply cannot be directly compared.</w:t>
      </w:r>
    </w:p>
  </w:footnote>
  <w:footnote w:id="19">
    <w:p w:rsidR="009E7722" w:rsidRDefault="009E7722" w:rsidP="00B920E7">
      <w:pPr>
        <w:pStyle w:val="FootnoteText1"/>
      </w:pPr>
      <w:r>
        <w:rPr>
          <w:rStyle w:val="FootnoteReference"/>
        </w:rPr>
        <w:footnoteRef/>
      </w:r>
      <w:r>
        <w:t xml:space="preserve"> </w:t>
      </w:r>
      <w:r>
        <w:tab/>
        <w:t xml:space="preserve">NMR Group, Inc. and DNV GL. 2014. </w:t>
      </w:r>
      <w:r>
        <w:rPr>
          <w:i/>
        </w:rPr>
        <w:t>Northeast Regional Hours of Use Study.</w:t>
      </w:r>
      <w:r>
        <w:t xml:space="preserve"> Final delivered on May 5, 2014.</w:t>
      </w:r>
      <w:r>
        <w:rPr>
          <w:i/>
        </w:rPr>
        <w:t xml:space="preserve"> </w:t>
      </w:r>
      <w:r w:rsidRPr="006B0E31">
        <w:t>https://app.box.com/s/o1f3bhbunib2av2wiblu</w:t>
      </w:r>
    </w:p>
  </w:footnote>
  <w:footnote w:id="20">
    <w:p w:rsidR="009E7722" w:rsidRPr="00C408F7" w:rsidRDefault="009E7722" w:rsidP="00C408F7">
      <w:pPr>
        <w:pStyle w:val="FootnoteText"/>
        <w:ind w:left="360" w:hanging="360"/>
      </w:pPr>
      <w:r>
        <w:rPr>
          <w:rStyle w:val="FootnoteReference"/>
        </w:rPr>
        <w:footnoteRef/>
      </w:r>
      <w:r>
        <w:t xml:space="preserve"> </w:t>
      </w:r>
      <w:r>
        <w:tab/>
        <w:t>Evaluated savings estimates assume installation of ENERGY STAR windows from a single-pane baseline, with typical window size of 3 feet by 4 feet (a 2011 PSD assumption).</w:t>
      </w:r>
    </w:p>
  </w:footnote>
  <w:footnote w:id="21">
    <w:p w:rsidR="009E7722" w:rsidRDefault="009E7722" w:rsidP="00DD424F">
      <w:pPr>
        <w:pStyle w:val="FootnoteText1"/>
      </w:pPr>
      <w:r>
        <w:rPr>
          <w:rStyle w:val="FootnoteReference"/>
        </w:rPr>
        <w:footnoteRef/>
      </w:r>
      <w:r>
        <w:t xml:space="preserve"> </w:t>
      </w:r>
      <w:r>
        <w:tab/>
        <w:t>This value accounts for the fresh volume (refrigerator portion) and frozen volume (freezer portion) of a given unit. The method of calculating adjusted volume is: AV = Fresh Volume + (1.63 * Frozen Volume). ENERGY STAR uses this metric to help calculate savings and account for increased energy consumed by freezers in a given configuration.</w:t>
      </w:r>
    </w:p>
  </w:footnote>
  <w:footnote w:id="22">
    <w:p w:rsidR="009E7722" w:rsidRDefault="009E7722" w:rsidP="00822328">
      <w:pPr>
        <w:pStyle w:val="FootnoteText1"/>
      </w:pPr>
      <w:r>
        <w:rPr>
          <w:rStyle w:val="FootnoteReference"/>
        </w:rPr>
        <w:footnoteRef/>
      </w:r>
      <w:r>
        <w:t xml:space="preserve"> </w:t>
      </w:r>
      <w:r>
        <w:tab/>
        <w:t xml:space="preserve">According to the 2011 PSD, lifetime savings were calculated assuming the typical retired unit should claim: </w:t>
      </w:r>
      <w:r>
        <w:br/>
        <w:t>(1) approximately 72 kWh of savings for the first four years (accounting for replacements of an older unit with a unit meeting the federal standard); and then (2) 40 kWh for 11 years (accounting for a unit meeting the federal standard replaced by an ENERGY STAR unit). This resulted in approximately 728 kWh.</w:t>
      </w:r>
    </w:p>
  </w:footnote>
  <w:footnote w:id="23">
    <w:p w:rsidR="009E7722" w:rsidRPr="00C408F7" w:rsidRDefault="009E7722" w:rsidP="003009EA">
      <w:pPr>
        <w:pStyle w:val="FootnoteText"/>
        <w:ind w:left="360" w:hanging="360"/>
      </w:pPr>
      <w:r>
        <w:rPr>
          <w:rStyle w:val="FootnoteReference"/>
        </w:rPr>
        <w:footnoteRef/>
      </w:r>
      <w:r>
        <w:t xml:space="preserve"> </w:t>
      </w:r>
      <w:r>
        <w:tab/>
        <w:t>Evaluated savings estimates assume installation of ENERGY STAR windows from a single pane baseline, with typical window size of 3 feet by 4 feet (2011 PSD assumption).</w:t>
      </w:r>
    </w:p>
  </w:footnote>
  <w:footnote w:id="24">
    <w:p w:rsidR="009E7722" w:rsidRDefault="009E7722" w:rsidP="00432FF0">
      <w:pPr>
        <w:pStyle w:val="FootnoteText1"/>
      </w:pPr>
      <w:r>
        <w:rPr>
          <w:rStyle w:val="FootnoteReference"/>
        </w:rPr>
        <w:footnoteRef/>
      </w:r>
      <w:r>
        <w:t xml:space="preserve"> </w:t>
      </w:r>
      <w:r>
        <w:tab/>
        <w:t>This factor is included in TRMs for the following states: Illinois, Indiana, Massachusetts, Pennsylvania, and the Mid-Atlantic region.</w:t>
      </w:r>
    </w:p>
  </w:footnote>
  <w:footnote w:id="25">
    <w:p w:rsidR="009E7722" w:rsidRDefault="009E7722" w:rsidP="00325C41">
      <w:pPr>
        <w:pStyle w:val="FootnoteText1"/>
      </w:pPr>
      <w:r>
        <w:rPr>
          <w:rStyle w:val="FootnoteReference"/>
        </w:rPr>
        <w:footnoteRef/>
      </w:r>
      <w:r>
        <w:t xml:space="preserve"> </w:t>
      </w:r>
      <w:r>
        <w:tab/>
        <w:t xml:space="preserve">As CFLs represent approximately 95% of total </w:t>
      </w:r>
      <w:r w:rsidRPr="00511C08">
        <w:rPr>
          <w:i/>
        </w:rPr>
        <w:t>ex ante</w:t>
      </w:r>
      <w:r>
        <w:t xml:space="preserve"> reported savings for the lighting category, analysis findings can be considered largely in the context of CFL bulb installations.</w:t>
      </w:r>
    </w:p>
  </w:footnote>
  <w:footnote w:id="26">
    <w:p w:rsidR="009E7722" w:rsidRDefault="009E7722" w:rsidP="00A16FEF">
      <w:pPr>
        <w:pStyle w:val="FootnoteText1"/>
      </w:pPr>
      <w:r>
        <w:rPr>
          <w:rStyle w:val="FootnoteReference"/>
        </w:rPr>
        <w:footnoteRef/>
      </w:r>
      <w:r>
        <w:t xml:space="preserve"> </w:t>
      </w:r>
      <w:r>
        <w:tab/>
      </w:r>
      <w:r w:rsidRPr="00B9308B">
        <w:rPr>
          <w:i/>
        </w:rPr>
        <w:t>201</w:t>
      </w:r>
      <w:r>
        <w:rPr>
          <w:i/>
        </w:rPr>
        <w:t>3</w:t>
      </w:r>
      <w:r w:rsidRPr="00B9308B">
        <w:rPr>
          <w:i/>
        </w:rPr>
        <w:t xml:space="preserve"> Home Energy Solutions</w:t>
      </w:r>
      <w:r>
        <w:rPr>
          <w:i/>
        </w:rPr>
        <w:t xml:space="preserve"> –Income Eligible</w:t>
      </w:r>
      <w:r w:rsidRPr="00B9308B">
        <w:rPr>
          <w:i/>
        </w:rPr>
        <w:t xml:space="preserve">: Field </w:t>
      </w:r>
      <w:r>
        <w:rPr>
          <w:i/>
        </w:rPr>
        <w:t xml:space="preserve">Training </w:t>
      </w:r>
      <w:r w:rsidRPr="00B9308B">
        <w:rPr>
          <w:i/>
        </w:rPr>
        <w:t>Manual</w:t>
      </w:r>
      <w:r>
        <w:t>. p. 8 and p. 40.</w:t>
      </w:r>
    </w:p>
  </w:footnote>
  <w:footnote w:id="27">
    <w:p w:rsidR="009E7722" w:rsidRPr="003A2BC0" w:rsidRDefault="009E7722" w:rsidP="003A2BC0">
      <w:pPr>
        <w:ind w:left="360" w:hanging="360"/>
        <w:rPr>
          <w:sz w:val="20"/>
          <w:szCs w:val="20"/>
        </w:rPr>
      </w:pPr>
      <w:r>
        <w:rPr>
          <w:rStyle w:val="FootnoteReference"/>
        </w:rPr>
        <w:footnoteRef/>
      </w:r>
      <w:r>
        <w:t xml:space="preserve">    </w:t>
      </w:r>
      <w:r>
        <w:rPr>
          <w:sz w:val="20"/>
          <w:szCs w:val="20"/>
        </w:rPr>
        <w:t xml:space="preserve">Upon first appearances, the trend showing HOU decreasing with installations of more energy-efficient bulbs may seem to contradict the </w:t>
      </w:r>
      <w:r>
        <w:rPr>
          <w:i/>
          <w:sz w:val="20"/>
          <w:szCs w:val="20"/>
        </w:rPr>
        <w:t>Northeast Regional Hours of Use Study</w:t>
      </w:r>
      <w:r>
        <w:rPr>
          <w:sz w:val="20"/>
          <w:szCs w:val="20"/>
        </w:rPr>
        <w:t>. That study found: 1) HOU was higher for energy-efficient vs. inefficient bulbs; and 2) this relationship did not change with socket saturations (i.e., the percentage of sockets filled with energy-efficient bulbs). The two studies, however, really could not be directly compared. The current study focuses on bulbs an auditor directly installed in every socket in a home, up to the program limit (i.e., 25). In contrast, the regional HOU study primarily focused on bulbs obtained from retail stores, with the home occupants deciding where to install bulbs, and even homes with the highest energy-efficient socket saturations having  many (sometimes 50% or more) of their sockets filled with inefficient bulbs. Thus, though the studies do not contradict one another, they simply cannot be directly compared.</w:t>
      </w:r>
    </w:p>
  </w:footnote>
  <w:footnote w:id="28">
    <w:p w:rsidR="009E7722" w:rsidRPr="00C408F7" w:rsidRDefault="009E7722" w:rsidP="003009EA">
      <w:pPr>
        <w:pStyle w:val="FootnoteText"/>
        <w:ind w:left="360" w:hanging="360"/>
      </w:pPr>
      <w:r>
        <w:rPr>
          <w:rStyle w:val="FootnoteReference"/>
        </w:rPr>
        <w:footnoteRef/>
      </w:r>
      <w:r>
        <w:t xml:space="preserve"> </w:t>
      </w:r>
      <w:r>
        <w:tab/>
        <w:t>Evaluated savings estimates assume installation of ENERGY STAR windows from a single-pane baseline, with typical window size of 3 feet by 4 feet (2011 PSD assumption).</w:t>
      </w:r>
    </w:p>
  </w:footnote>
  <w:footnote w:id="29">
    <w:p w:rsidR="009E7722" w:rsidRDefault="009E7722" w:rsidP="007462DA">
      <w:pPr>
        <w:pStyle w:val="FootnoteText1"/>
        <w:keepLines/>
      </w:pPr>
      <w:r>
        <w:rPr>
          <w:rStyle w:val="FootnoteReference"/>
        </w:rPr>
        <w:footnoteRef/>
      </w:r>
      <w:r>
        <w:t xml:space="preserve"> </w:t>
      </w:r>
      <w:r>
        <w:tab/>
        <w:t xml:space="preserve">In the 2011 PSD, it was assumed average annual water savings were 6,160 gallons per showerhead and </w:t>
      </w:r>
      <w:r>
        <w:br/>
        <w:t>332 per aerator. In the 2013 PSD, average annual water savings were assumed to be 1,212 gallons per showerhead and 1,238 gallons per aerator. On their own, these changes could affect realization rate adjustments of 20% for showerheads and 372% for aerators. However, other changes from 2011 to 2013—such as algorithm refinement and changes in input values (e.g., the number of showerheads or faucets per home)— had more minor impacts, particularly for showerheads, leading to evaluated gross realization rates of 20% for showerheads and 243% for aerators.</w:t>
      </w:r>
    </w:p>
  </w:footnote>
  <w:footnote w:id="30">
    <w:p w:rsidR="009E7722" w:rsidRDefault="009E7722" w:rsidP="007462DA">
      <w:pPr>
        <w:pStyle w:val="FootnoteText1"/>
      </w:pPr>
      <w:r>
        <w:rPr>
          <w:rStyle w:val="FootnoteReference"/>
        </w:rPr>
        <w:footnoteRef/>
      </w:r>
      <w:r>
        <w:t xml:space="preserve"> </w:t>
      </w:r>
      <w:r>
        <w:tab/>
      </w:r>
      <w:r w:rsidRPr="005A6579">
        <w:t>Bonneville Power Administration</w:t>
      </w:r>
      <w:r>
        <w:t xml:space="preserve">. </w:t>
      </w:r>
      <w:r w:rsidRPr="00825111">
        <w:rPr>
          <w:i/>
        </w:rPr>
        <w:t>Ductless Heat Pump Retrofits in Multifamily and Small Commercial Buildings</w:t>
      </w:r>
      <w:r w:rsidRPr="005A6579">
        <w:t>. Prepared by Ecotope, Inc. December 2012.</w:t>
      </w:r>
    </w:p>
  </w:footnote>
  <w:footnote w:id="31">
    <w:p w:rsidR="009E7722" w:rsidRPr="00C408F7" w:rsidRDefault="009E7722" w:rsidP="00A07EDD">
      <w:pPr>
        <w:pStyle w:val="FootnoteText"/>
        <w:ind w:left="360" w:hanging="360"/>
      </w:pPr>
      <w:r>
        <w:rPr>
          <w:rStyle w:val="FootnoteReference"/>
        </w:rPr>
        <w:footnoteRef/>
      </w:r>
      <w:r>
        <w:t xml:space="preserve"> </w:t>
      </w:r>
      <w:r>
        <w:tab/>
        <w:t>Evaluated savings estimates assume installation of ENERGY STAR windows from a single pane baseline, with typical window size of 3 feet by 4 feet (2011 PSD assumption).</w:t>
      </w:r>
    </w:p>
  </w:footnote>
  <w:footnote w:id="32">
    <w:p w:rsidR="009E7722" w:rsidRDefault="009E7722" w:rsidP="002068C8">
      <w:pPr>
        <w:pStyle w:val="FootnoteText1"/>
      </w:pPr>
      <w:r>
        <w:rPr>
          <w:rStyle w:val="FootnoteReference"/>
        </w:rPr>
        <w:footnoteRef/>
      </w:r>
      <w:r>
        <w:t xml:space="preserve"> </w:t>
      </w:r>
      <w:r>
        <w:tab/>
        <w:t xml:space="preserve">Gas savings were only specifically reported for CNG and YGS participants through the billing analysis of </w:t>
      </w:r>
      <w:r>
        <w:br/>
        <w:t>HES-IE SP1 and SP4. Billing analysis samples only included one SCG participant for SP1 and no SCG participants for SP4.</w:t>
      </w:r>
    </w:p>
  </w:footnote>
  <w:footnote w:id="33">
    <w:p w:rsidR="009E7722" w:rsidRDefault="009E7722" w:rsidP="005A748F">
      <w:pPr>
        <w:pStyle w:val="FootnoteText1"/>
      </w:pPr>
      <w:r>
        <w:rPr>
          <w:rStyle w:val="FootnoteReference"/>
        </w:rPr>
        <w:footnoteRef/>
      </w:r>
      <w:r>
        <w:t xml:space="preserve"> </w:t>
      </w:r>
      <w:r>
        <w:tab/>
      </w:r>
      <w:r w:rsidRPr="005A748F">
        <w:rPr>
          <w:i/>
        </w:rPr>
        <w:t>EmPOWER Maryland: 2011 Engineering Review:</w:t>
      </w:r>
      <w:r>
        <w:rPr>
          <w:i/>
        </w:rPr>
        <w:t xml:space="preserve"> </w:t>
      </w:r>
      <w:r w:rsidRPr="005A748F">
        <w:rPr>
          <w:i/>
        </w:rPr>
        <w:t>Residential Retrofits</w:t>
      </w:r>
      <w:r>
        <w:t>. P 75–88.</w:t>
      </w:r>
    </w:p>
  </w:footnote>
  <w:footnote w:id="34">
    <w:p w:rsidR="009E7722" w:rsidRDefault="009E7722" w:rsidP="00C83A8A">
      <w:pPr>
        <w:pStyle w:val="FootnoteText1"/>
      </w:pPr>
      <w:r>
        <w:rPr>
          <w:rStyle w:val="FootnoteReference"/>
        </w:rPr>
        <w:footnoteRef/>
      </w:r>
      <w:r>
        <w:t xml:space="preserve"> </w:t>
      </w:r>
      <w:r>
        <w:tab/>
        <w:t xml:space="preserve">Averaged </w:t>
      </w:r>
      <w:r w:rsidRPr="003F24CB">
        <w:rPr>
          <w:i/>
        </w:rPr>
        <w:t>ex ante</w:t>
      </w:r>
      <w:r>
        <w:t xml:space="preserve"> savings for ductless heat pumps also represent a high percentage of savings for HES savings of 25% of PRENAC for single-family participants; none were installed for multifamily participants).</w:t>
      </w:r>
    </w:p>
  </w:footnote>
  <w:footnote w:id="35">
    <w:p w:rsidR="009E7722" w:rsidRDefault="009E7722" w:rsidP="00B0523C">
      <w:pPr>
        <w:pStyle w:val="FootnoteText1"/>
      </w:pPr>
      <w:r>
        <w:rPr>
          <w:rStyle w:val="FootnoteReference"/>
        </w:rPr>
        <w:footnoteRef/>
      </w:r>
      <w:r>
        <w:t xml:space="preserve"> </w:t>
      </w:r>
      <w:r>
        <w:tab/>
        <w:t xml:space="preserve">Agnew, Ken and M. Goldberg. </w:t>
      </w:r>
      <w:r w:rsidRPr="00B0523C">
        <w:rPr>
          <w:i/>
        </w:rPr>
        <w:t>Uniform Methods Project: Methods for Determining Energy Efficiency Savings for Specific Measures</w:t>
      </w:r>
      <w:r>
        <w:t xml:space="preserve">, Chapter 8: Whole-Building Retrofit with Consumption Data Analysis Evaluation Protocol. U.S. Department of Energy, National Renewable Energy Laboratory. April 2013. (NREL/SR-7A30-53827) Available online: </w:t>
      </w:r>
      <w:hyperlink r:id="rId6" w:history="1">
        <w:r>
          <w:rPr>
            <w:rStyle w:val="Hyperlink"/>
          </w:rPr>
          <w:t>http://www1.eere.energy.gov/office_eere/de_ump_protocols.html</w:t>
        </w:r>
      </w:hyperlink>
      <w:r>
        <w:t xml:space="preserve">. </w:t>
      </w:r>
    </w:p>
  </w:footnote>
  <w:footnote w:id="36">
    <w:p w:rsidR="009E7722" w:rsidRDefault="009E7722" w:rsidP="00824333">
      <w:pPr>
        <w:pStyle w:val="FootnoteText1"/>
        <w:keepLines/>
      </w:pPr>
      <w:r>
        <w:rPr>
          <w:rStyle w:val="FootnoteReference"/>
        </w:rPr>
        <w:footnoteRef/>
      </w:r>
      <w:r>
        <w:t xml:space="preserve"> </w:t>
      </w:r>
      <w:r>
        <w:tab/>
        <w:t xml:space="preserve">Due to the complexity of obtaining the TMY3 normal HDDs and CDDs for each of the bases from 45 °F to 85 °F, monthly usages were only estimated using the heating and cooling model parameters from the fixed base </w:t>
      </w:r>
      <w:r>
        <w:br/>
        <w:t>65 PRISM models. The variable base models, however, were used to more accurately disaggregate total, weather-normalized annual consumption into three components: base load, heating load, and cooling load.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E7722" w:rsidRPr="00C72B01" w:rsidRDefault="009E7722" w:rsidP="00C72B01"/>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E7722" w:rsidRPr="00C72B01" w:rsidRDefault="002506E1" w:rsidP="00C72B01">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39.8pt;margin-top:221pt;width:412.4pt;height:247.45pt;rotation:315;z-index:-251657728;mso-position-horizontal-relative:margin;mso-position-vertical-relative:margin" o:allowincell="f" fillcolor="silver" stroked="f">
          <v:fill opacity=".5"/>
          <v:textpath style="font-family:&quot;Calibri&quot;;font-size:1pt" string="DRAFT"/>
          <w10:wrap anchorx="margin" anchory="margin"/>
        </v:shape>
      </w:pict>
    </w:r>
    <w:r w:rsidR="009E7722">
      <w:rPr>
        <w:noProof/>
      </w:rPr>
      <w:drawing>
        <wp:inline distT="0" distB="0" distL="0" distR="0">
          <wp:extent cx="5943600" cy="5613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63_RepCov_LeftEvenPage.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561340"/>
                  </a:xfrm>
                  <a:prstGeom prst="rect">
                    <a:avLst/>
                  </a:prstGeom>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E7722" w:rsidRPr="00C72B01" w:rsidRDefault="002506E1" w:rsidP="00C72B01">
    <w:sdt>
      <w:sdtPr>
        <w:id w:val="952601895"/>
        <w:docPartObj>
          <w:docPartGallery w:val="Watermarks"/>
          <w:docPartUnique/>
        </w:docPartObj>
      </w:sdtPr>
      <w:sdtEndPr/>
      <w:sdtContent>
        <w:r>
          <w:rPr>
            <w:noProof/>
            <w:lang w:eastAsia="zh-TW"/>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E7722">
      <w:rPr>
        <w:noProof/>
      </w:rPr>
      <w:drawing>
        <wp:inline distT="0" distB="0" distL="0" distR="0">
          <wp:extent cx="5943600" cy="55435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863_RepCov_RightOddPage.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554355"/>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161D0"/>
    <w:multiLevelType w:val="hybridMultilevel"/>
    <w:tmpl w:val="429E1A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6210C9"/>
    <w:multiLevelType w:val="hybridMultilevel"/>
    <w:tmpl w:val="54E8C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F40496"/>
    <w:multiLevelType w:val="hybridMultilevel"/>
    <w:tmpl w:val="16540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632685"/>
    <w:multiLevelType w:val="hybridMultilevel"/>
    <w:tmpl w:val="E5F0D1A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50800F8"/>
    <w:multiLevelType w:val="hybridMultilevel"/>
    <w:tmpl w:val="495E09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2F4D6F"/>
    <w:multiLevelType w:val="hybridMultilevel"/>
    <w:tmpl w:val="770C8A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FB605E"/>
    <w:multiLevelType w:val="hybridMultilevel"/>
    <w:tmpl w:val="E88A86D6"/>
    <w:lvl w:ilvl="0" w:tplc="45DC9492">
      <w:start w:val="1"/>
      <w:numFmt w:val="bullet"/>
      <w:pStyle w:val="Bullet-Last"/>
      <w:lvlText w:val=""/>
      <w:lvlJc w:val="left"/>
      <w:pPr>
        <w:ind w:left="1080" w:hanging="360"/>
      </w:pPr>
      <w:rPr>
        <w:rFonts w:ascii="Symbol" w:hAnsi="Symbol" w:hint="default"/>
        <w:sz w:val="24"/>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8">
    <w:nsid w:val="34991B5F"/>
    <w:multiLevelType w:val="hybridMultilevel"/>
    <w:tmpl w:val="EE1EBE80"/>
    <w:lvl w:ilvl="0" w:tplc="EC48318E">
      <w:start w:val="1"/>
      <w:numFmt w:val="decimal"/>
      <w:pStyle w:val="Numberedlevel1"/>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D8689F"/>
    <w:multiLevelType w:val="hybridMultilevel"/>
    <w:tmpl w:val="6CF68846"/>
    <w:lvl w:ilvl="0" w:tplc="7F2E7062">
      <w:start w:val="1"/>
      <w:numFmt w:val="lowerRoman"/>
      <w:pStyle w:val="Numberedlevel3"/>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796E53"/>
    <w:multiLevelType w:val="hybridMultilevel"/>
    <w:tmpl w:val="B376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C62F4A"/>
    <w:multiLevelType w:val="hybridMultilevel"/>
    <w:tmpl w:val="B09AB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470C2B"/>
    <w:multiLevelType w:val="hybridMultilevel"/>
    <w:tmpl w:val="07BC145E"/>
    <w:lvl w:ilvl="0" w:tplc="C77C9152">
      <w:start w:val="1"/>
      <w:numFmt w:val="bullet"/>
      <w:pStyle w:val="Bulletlevel2"/>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1E7B5A"/>
    <w:multiLevelType w:val="hybridMultilevel"/>
    <w:tmpl w:val="71FEAD3C"/>
    <w:lvl w:ilvl="0" w:tplc="7986A14A">
      <w:start w:val="1"/>
      <w:numFmt w:val="bullet"/>
      <w:pStyle w:val="bullets2"/>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14">
    <w:nsid w:val="60850816"/>
    <w:multiLevelType w:val="hybridMultilevel"/>
    <w:tmpl w:val="DA848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1F3A1D"/>
    <w:multiLevelType w:val="hybridMultilevel"/>
    <w:tmpl w:val="5D585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8E4FCB"/>
    <w:multiLevelType w:val="hybridMultilevel"/>
    <w:tmpl w:val="8CCCEE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3D03E1"/>
    <w:multiLevelType w:val="hybridMultilevel"/>
    <w:tmpl w:val="02642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7666F2"/>
    <w:multiLevelType w:val="multilevel"/>
    <w:tmpl w:val="8EE2F81C"/>
    <w:lvl w:ilvl="0">
      <w:start w:val="1"/>
      <w:numFmt w:val="decimal"/>
      <w:lvlText w:val="Section %1."/>
      <w:lvlJc w:val="left"/>
      <w:pPr>
        <w:ind w:left="432" w:hanging="432"/>
      </w:pPr>
      <w:rPr>
        <w:rFonts w:cs="Times New Roman"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69801645"/>
    <w:multiLevelType w:val="hybridMultilevel"/>
    <w:tmpl w:val="7F2AFFD0"/>
    <w:lvl w:ilvl="0" w:tplc="9342D002">
      <w:start w:val="1"/>
      <w:numFmt w:val="bullet"/>
      <w:pStyle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0">
    <w:nsid w:val="76D47015"/>
    <w:multiLevelType w:val="hybridMultilevel"/>
    <w:tmpl w:val="BE9631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CAD526C"/>
    <w:multiLevelType w:val="hybridMultilevel"/>
    <w:tmpl w:val="AE045784"/>
    <w:lvl w:ilvl="0" w:tplc="C5F84C26">
      <w:start w:val="1"/>
      <w:numFmt w:val="lowerLetter"/>
      <w:pStyle w:val="Numberedlevel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4E19A3"/>
    <w:multiLevelType w:val="hybridMultilevel"/>
    <w:tmpl w:val="72F0C9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8"/>
  </w:num>
  <w:num w:numId="4">
    <w:abstractNumId w:val="21"/>
  </w:num>
  <w:num w:numId="5">
    <w:abstractNumId w:val="9"/>
  </w:num>
  <w:num w:numId="6">
    <w:abstractNumId w:val="7"/>
  </w:num>
  <w:num w:numId="7">
    <w:abstractNumId w:val="13"/>
  </w:num>
  <w:num w:numId="8">
    <w:abstractNumId w:val="19"/>
  </w:num>
  <w:num w:numId="9">
    <w:abstractNumId w:val="10"/>
  </w:num>
  <w:num w:numId="10">
    <w:abstractNumId w:val="20"/>
  </w:num>
  <w:num w:numId="11">
    <w:abstractNumId w:val="16"/>
  </w:num>
  <w:num w:numId="12">
    <w:abstractNumId w:val="1"/>
  </w:num>
  <w:num w:numId="13">
    <w:abstractNumId w:val="1"/>
  </w:num>
  <w:num w:numId="14">
    <w:abstractNumId w:val="1"/>
  </w:num>
  <w:num w:numId="15">
    <w:abstractNumId w:val="15"/>
  </w:num>
  <w:num w:numId="16">
    <w:abstractNumId w:val="17"/>
  </w:num>
  <w:num w:numId="17">
    <w:abstractNumId w:val="18"/>
  </w:num>
  <w:num w:numId="18">
    <w:abstractNumId w:val="0"/>
  </w:num>
  <w:num w:numId="19">
    <w:abstractNumId w:val="6"/>
  </w:num>
  <w:num w:numId="20">
    <w:abstractNumId w:val="8"/>
    <w:lvlOverride w:ilvl="0">
      <w:startOverride w:val="1"/>
    </w:lvlOverride>
  </w:num>
  <w:num w:numId="21">
    <w:abstractNumId w:val="4"/>
  </w:num>
  <w:num w:numId="22">
    <w:abstractNumId w:val="11"/>
  </w:num>
  <w:num w:numId="23">
    <w:abstractNumId w:val="22"/>
  </w:num>
  <w:num w:numId="24">
    <w:abstractNumId w:val="5"/>
  </w:num>
  <w:num w:numId="25">
    <w:abstractNumId w:val="14"/>
  </w:num>
  <w:num w:numId="26">
    <w:abstractNumId w:val="3"/>
  </w:num>
  <w:num w:numId="27">
    <w:abstractNumId w:val="2"/>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yan Ward">
    <w15:presenceInfo w15:providerId="AD" w15:userId="S-1-5-21-1244020187-519449412-911163043-85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ctiveWritingStyle w:appName="MSWord" w:lang="en-US" w:vendorID="64" w:dllVersion="131078" w:nlCheck="1" w:checkStyle="0"/>
  <w:stylePaneSortMethod w:val="0000"/>
  <w:doNotTrackFormatting/>
  <w:defaultTabStop w:val="720"/>
  <w:evenAndOddHeaders/>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251"/>
    <w:rsid w:val="0000002B"/>
    <w:rsid w:val="000002F9"/>
    <w:rsid w:val="0000058E"/>
    <w:rsid w:val="000012B1"/>
    <w:rsid w:val="00001B3D"/>
    <w:rsid w:val="0000273D"/>
    <w:rsid w:val="0000663B"/>
    <w:rsid w:val="00006A42"/>
    <w:rsid w:val="00010477"/>
    <w:rsid w:val="00011CCB"/>
    <w:rsid w:val="000146A5"/>
    <w:rsid w:val="00015031"/>
    <w:rsid w:val="00020EDD"/>
    <w:rsid w:val="00022506"/>
    <w:rsid w:val="00022852"/>
    <w:rsid w:val="00022B6B"/>
    <w:rsid w:val="000242B2"/>
    <w:rsid w:val="00026789"/>
    <w:rsid w:val="0002685F"/>
    <w:rsid w:val="00027139"/>
    <w:rsid w:val="00027A6F"/>
    <w:rsid w:val="00027CED"/>
    <w:rsid w:val="000300DF"/>
    <w:rsid w:val="00032C95"/>
    <w:rsid w:val="00033AD2"/>
    <w:rsid w:val="000351E9"/>
    <w:rsid w:val="000374C9"/>
    <w:rsid w:val="00037C44"/>
    <w:rsid w:val="00041FEC"/>
    <w:rsid w:val="00042275"/>
    <w:rsid w:val="00044602"/>
    <w:rsid w:val="00044A06"/>
    <w:rsid w:val="00045350"/>
    <w:rsid w:val="0004578C"/>
    <w:rsid w:val="00045D22"/>
    <w:rsid w:val="0004791D"/>
    <w:rsid w:val="0005020C"/>
    <w:rsid w:val="00051408"/>
    <w:rsid w:val="000519FA"/>
    <w:rsid w:val="0005204D"/>
    <w:rsid w:val="0005214D"/>
    <w:rsid w:val="000531B2"/>
    <w:rsid w:val="00053218"/>
    <w:rsid w:val="00054071"/>
    <w:rsid w:val="00056305"/>
    <w:rsid w:val="00057483"/>
    <w:rsid w:val="00061DC9"/>
    <w:rsid w:val="000630F5"/>
    <w:rsid w:val="0006524F"/>
    <w:rsid w:val="00065E10"/>
    <w:rsid w:val="0006661C"/>
    <w:rsid w:val="00071AE2"/>
    <w:rsid w:val="00071E3D"/>
    <w:rsid w:val="00072E59"/>
    <w:rsid w:val="000747E2"/>
    <w:rsid w:val="0007571F"/>
    <w:rsid w:val="0007600C"/>
    <w:rsid w:val="00076E07"/>
    <w:rsid w:val="00077905"/>
    <w:rsid w:val="00081644"/>
    <w:rsid w:val="00082BA1"/>
    <w:rsid w:val="00087DD0"/>
    <w:rsid w:val="00091627"/>
    <w:rsid w:val="00091C58"/>
    <w:rsid w:val="00097B08"/>
    <w:rsid w:val="000A32EB"/>
    <w:rsid w:val="000A3F21"/>
    <w:rsid w:val="000B0827"/>
    <w:rsid w:val="000B1333"/>
    <w:rsid w:val="000B322C"/>
    <w:rsid w:val="000B4F4D"/>
    <w:rsid w:val="000B7AC0"/>
    <w:rsid w:val="000C0807"/>
    <w:rsid w:val="000C12E7"/>
    <w:rsid w:val="000C16FF"/>
    <w:rsid w:val="000C2F86"/>
    <w:rsid w:val="000C4E59"/>
    <w:rsid w:val="000C5B30"/>
    <w:rsid w:val="000C7A22"/>
    <w:rsid w:val="000C7E7A"/>
    <w:rsid w:val="000D1B93"/>
    <w:rsid w:val="000D1D86"/>
    <w:rsid w:val="000D2A6A"/>
    <w:rsid w:val="000D3EE9"/>
    <w:rsid w:val="000D4565"/>
    <w:rsid w:val="000D4CD6"/>
    <w:rsid w:val="000D7AE0"/>
    <w:rsid w:val="000E0741"/>
    <w:rsid w:val="000E2125"/>
    <w:rsid w:val="000E3C32"/>
    <w:rsid w:val="000E3D85"/>
    <w:rsid w:val="000E5BD6"/>
    <w:rsid w:val="000E6110"/>
    <w:rsid w:val="000E6167"/>
    <w:rsid w:val="000E6B50"/>
    <w:rsid w:val="000E6E3C"/>
    <w:rsid w:val="000E7B70"/>
    <w:rsid w:val="000F228E"/>
    <w:rsid w:val="000F2715"/>
    <w:rsid w:val="000F372F"/>
    <w:rsid w:val="000F3751"/>
    <w:rsid w:val="000F761E"/>
    <w:rsid w:val="00103E0E"/>
    <w:rsid w:val="001051A1"/>
    <w:rsid w:val="0010571A"/>
    <w:rsid w:val="00106486"/>
    <w:rsid w:val="00106996"/>
    <w:rsid w:val="0011024F"/>
    <w:rsid w:val="00110A97"/>
    <w:rsid w:val="00110D97"/>
    <w:rsid w:val="00111702"/>
    <w:rsid w:val="00111812"/>
    <w:rsid w:val="0011227A"/>
    <w:rsid w:val="0011323A"/>
    <w:rsid w:val="001139AF"/>
    <w:rsid w:val="00115728"/>
    <w:rsid w:val="001157A7"/>
    <w:rsid w:val="001167B1"/>
    <w:rsid w:val="00116F79"/>
    <w:rsid w:val="0012068D"/>
    <w:rsid w:val="00121705"/>
    <w:rsid w:val="00121826"/>
    <w:rsid w:val="001226F8"/>
    <w:rsid w:val="00123517"/>
    <w:rsid w:val="001274F4"/>
    <w:rsid w:val="0013091A"/>
    <w:rsid w:val="00130B9B"/>
    <w:rsid w:val="00130EBA"/>
    <w:rsid w:val="00130EC8"/>
    <w:rsid w:val="0013195D"/>
    <w:rsid w:val="00135F68"/>
    <w:rsid w:val="00140FD2"/>
    <w:rsid w:val="00141712"/>
    <w:rsid w:val="001433DF"/>
    <w:rsid w:val="00143CFF"/>
    <w:rsid w:val="00146795"/>
    <w:rsid w:val="00146811"/>
    <w:rsid w:val="001471B8"/>
    <w:rsid w:val="001478F7"/>
    <w:rsid w:val="00147F97"/>
    <w:rsid w:val="001503A9"/>
    <w:rsid w:val="00150AD4"/>
    <w:rsid w:val="00153083"/>
    <w:rsid w:val="0015332E"/>
    <w:rsid w:val="00155440"/>
    <w:rsid w:val="001564D5"/>
    <w:rsid w:val="001567EE"/>
    <w:rsid w:val="00156F5A"/>
    <w:rsid w:val="001571BF"/>
    <w:rsid w:val="00160A6B"/>
    <w:rsid w:val="00160AAB"/>
    <w:rsid w:val="00164B2C"/>
    <w:rsid w:val="00165661"/>
    <w:rsid w:val="00166227"/>
    <w:rsid w:val="00167B87"/>
    <w:rsid w:val="0017110B"/>
    <w:rsid w:val="00171D7C"/>
    <w:rsid w:val="00174C19"/>
    <w:rsid w:val="00174C33"/>
    <w:rsid w:val="001753FD"/>
    <w:rsid w:val="001769E8"/>
    <w:rsid w:val="00180749"/>
    <w:rsid w:val="0018119A"/>
    <w:rsid w:val="001813BA"/>
    <w:rsid w:val="00185227"/>
    <w:rsid w:val="00185F9C"/>
    <w:rsid w:val="00190CB1"/>
    <w:rsid w:val="00193300"/>
    <w:rsid w:val="001933C0"/>
    <w:rsid w:val="00193D87"/>
    <w:rsid w:val="0019400B"/>
    <w:rsid w:val="00195020"/>
    <w:rsid w:val="001954B2"/>
    <w:rsid w:val="001962AA"/>
    <w:rsid w:val="00196313"/>
    <w:rsid w:val="00196802"/>
    <w:rsid w:val="0019788F"/>
    <w:rsid w:val="001A114B"/>
    <w:rsid w:val="001A26E7"/>
    <w:rsid w:val="001A37FE"/>
    <w:rsid w:val="001A4237"/>
    <w:rsid w:val="001A49FC"/>
    <w:rsid w:val="001B0534"/>
    <w:rsid w:val="001B346E"/>
    <w:rsid w:val="001B41D2"/>
    <w:rsid w:val="001B48EB"/>
    <w:rsid w:val="001B507D"/>
    <w:rsid w:val="001B7ED6"/>
    <w:rsid w:val="001B7FB7"/>
    <w:rsid w:val="001C114A"/>
    <w:rsid w:val="001C14F9"/>
    <w:rsid w:val="001C1838"/>
    <w:rsid w:val="001C22E8"/>
    <w:rsid w:val="001C38A5"/>
    <w:rsid w:val="001C3F4D"/>
    <w:rsid w:val="001C421C"/>
    <w:rsid w:val="001C4983"/>
    <w:rsid w:val="001C6B05"/>
    <w:rsid w:val="001C6D4C"/>
    <w:rsid w:val="001D020E"/>
    <w:rsid w:val="001D09B6"/>
    <w:rsid w:val="001D12FF"/>
    <w:rsid w:val="001D311B"/>
    <w:rsid w:val="001D3332"/>
    <w:rsid w:val="001D4739"/>
    <w:rsid w:val="001D5114"/>
    <w:rsid w:val="001D5EAA"/>
    <w:rsid w:val="001D7647"/>
    <w:rsid w:val="001D7858"/>
    <w:rsid w:val="001D7FFD"/>
    <w:rsid w:val="001E01D0"/>
    <w:rsid w:val="001E13F6"/>
    <w:rsid w:val="001E2617"/>
    <w:rsid w:val="001E2E29"/>
    <w:rsid w:val="001E3CDE"/>
    <w:rsid w:val="001E54DC"/>
    <w:rsid w:val="001E74D7"/>
    <w:rsid w:val="001E7E83"/>
    <w:rsid w:val="001F0EBA"/>
    <w:rsid w:val="001F239B"/>
    <w:rsid w:val="001F2A23"/>
    <w:rsid w:val="001F30C0"/>
    <w:rsid w:val="001F3AED"/>
    <w:rsid w:val="001F7BC4"/>
    <w:rsid w:val="001F7DED"/>
    <w:rsid w:val="002000C3"/>
    <w:rsid w:val="00201CFA"/>
    <w:rsid w:val="0020250D"/>
    <w:rsid w:val="00202C91"/>
    <w:rsid w:val="00203D4F"/>
    <w:rsid w:val="00204873"/>
    <w:rsid w:val="00204DBD"/>
    <w:rsid w:val="002068C8"/>
    <w:rsid w:val="002070C7"/>
    <w:rsid w:val="00211E27"/>
    <w:rsid w:val="0021453A"/>
    <w:rsid w:val="00214994"/>
    <w:rsid w:val="00215046"/>
    <w:rsid w:val="0021565B"/>
    <w:rsid w:val="0021570F"/>
    <w:rsid w:val="00216CA2"/>
    <w:rsid w:val="0021734E"/>
    <w:rsid w:val="0021740C"/>
    <w:rsid w:val="0021795C"/>
    <w:rsid w:val="00220CD9"/>
    <w:rsid w:val="002222C0"/>
    <w:rsid w:val="002229C2"/>
    <w:rsid w:val="0022457B"/>
    <w:rsid w:val="00225302"/>
    <w:rsid w:val="00227470"/>
    <w:rsid w:val="0022782E"/>
    <w:rsid w:val="00231244"/>
    <w:rsid w:val="0023217E"/>
    <w:rsid w:val="0023220F"/>
    <w:rsid w:val="00234372"/>
    <w:rsid w:val="002361B1"/>
    <w:rsid w:val="002375CC"/>
    <w:rsid w:val="00237DEE"/>
    <w:rsid w:val="00242751"/>
    <w:rsid w:val="0024674C"/>
    <w:rsid w:val="00246B48"/>
    <w:rsid w:val="00247A10"/>
    <w:rsid w:val="0025025A"/>
    <w:rsid w:val="002506E1"/>
    <w:rsid w:val="00250DCD"/>
    <w:rsid w:val="00251C3E"/>
    <w:rsid w:val="0025336A"/>
    <w:rsid w:val="00254024"/>
    <w:rsid w:val="00261DB6"/>
    <w:rsid w:val="00261F0B"/>
    <w:rsid w:val="002629D7"/>
    <w:rsid w:val="002640A5"/>
    <w:rsid w:val="00264BDA"/>
    <w:rsid w:val="0027256F"/>
    <w:rsid w:val="00273C6E"/>
    <w:rsid w:val="00274D93"/>
    <w:rsid w:val="00274E9E"/>
    <w:rsid w:val="00275285"/>
    <w:rsid w:val="00276BC4"/>
    <w:rsid w:val="002809A8"/>
    <w:rsid w:val="0028501C"/>
    <w:rsid w:val="00285298"/>
    <w:rsid w:val="0028603F"/>
    <w:rsid w:val="002906D5"/>
    <w:rsid w:val="00293449"/>
    <w:rsid w:val="0029422F"/>
    <w:rsid w:val="0029474C"/>
    <w:rsid w:val="002953AD"/>
    <w:rsid w:val="0029738D"/>
    <w:rsid w:val="00297A9C"/>
    <w:rsid w:val="00297B12"/>
    <w:rsid w:val="002A0203"/>
    <w:rsid w:val="002A0D20"/>
    <w:rsid w:val="002A1A4B"/>
    <w:rsid w:val="002A4335"/>
    <w:rsid w:val="002A501D"/>
    <w:rsid w:val="002B0990"/>
    <w:rsid w:val="002B3A3C"/>
    <w:rsid w:val="002B3B39"/>
    <w:rsid w:val="002B4AC0"/>
    <w:rsid w:val="002B5A76"/>
    <w:rsid w:val="002B5C07"/>
    <w:rsid w:val="002B7FFA"/>
    <w:rsid w:val="002C0922"/>
    <w:rsid w:val="002C0FEF"/>
    <w:rsid w:val="002C264E"/>
    <w:rsid w:val="002C285E"/>
    <w:rsid w:val="002C62A8"/>
    <w:rsid w:val="002C6F6F"/>
    <w:rsid w:val="002D0B64"/>
    <w:rsid w:val="002D1DD9"/>
    <w:rsid w:val="002D3518"/>
    <w:rsid w:val="002E016E"/>
    <w:rsid w:val="002E0D8A"/>
    <w:rsid w:val="002E1184"/>
    <w:rsid w:val="002E23CB"/>
    <w:rsid w:val="002E24A7"/>
    <w:rsid w:val="002E3FF4"/>
    <w:rsid w:val="002E4BC5"/>
    <w:rsid w:val="002E59C2"/>
    <w:rsid w:val="002E68EE"/>
    <w:rsid w:val="002E6C4C"/>
    <w:rsid w:val="002F05E2"/>
    <w:rsid w:val="002F15A0"/>
    <w:rsid w:val="002F1D9E"/>
    <w:rsid w:val="002F2635"/>
    <w:rsid w:val="002F45ED"/>
    <w:rsid w:val="002F4782"/>
    <w:rsid w:val="0030047B"/>
    <w:rsid w:val="003009EA"/>
    <w:rsid w:val="003016D0"/>
    <w:rsid w:val="003031D7"/>
    <w:rsid w:val="00310693"/>
    <w:rsid w:val="00310E0C"/>
    <w:rsid w:val="00311A6C"/>
    <w:rsid w:val="003159C9"/>
    <w:rsid w:val="00316169"/>
    <w:rsid w:val="003175BE"/>
    <w:rsid w:val="003245D0"/>
    <w:rsid w:val="00324F18"/>
    <w:rsid w:val="00325C41"/>
    <w:rsid w:val="00325C62"/>
    <w:rsid w:val="00331B8E"/>
    <w:rsid w:val="003329CE"/>
    <w:rsid w:val="003338D6"/>
    <w:rsid w:val="00333BD2"/>
    <w:rsid w:val="0033456E"/>
    <w:rsid w:val="003369D1"/>
    <w:rsid w:val="00337129"/>
    <w:rsid w:val="00341002"/>
    <w:rsid w:val="003416CC"/>
    <w:rsid w:val="00341FCD"/>
    <w:rsid w:val="00343D5C"/>
    <w:rsid w:val="003446B5"/>
    <w:rsid w:val="003454A7"/>
    <w:rsid w:val="003456BD"/>
    <w:rsid w:val="00345CCC"/>
    <w:rsid w:val="00346074"/>
    <w:rsid w:val="00346F86"/>
    <w:rsid w:val="003478F5"/>
    <w:rsid w:val="00350CF7"/>
    <w:rsid w:val="00351635"/>
    <w:rsid w:val="003518BC"/>
    <w:rsid w:val="00352BA4"/>
    <w:rsid w:val="0036026E"/>
    <w:rsid w:val="00360981"/>
    <w:rsid w:val="00362D0C"/>
    <w:rsid w:val="00364A8D"/>
    <w:rsid w:val="00365535"/>
    <w:rsid w:val="00365BB5"/>
    <w:rsid w:val="00365D20"/>
    <w:rsid w:val="00366C60"/>
    <w:rsid w:val="00370140"/>
    <w:rsid w:val="0037222C"/>
    <w:rsid w:val="00374A5A"/>
    <w:rsid w:val="00374F8B"/>
    <w:rsid w:val="003751A7"/>
    <w:rsid w:val="00375666"/>
    <w:rsid w:val="00375FAB"/>
    <w:rsid w:val="0037706D"/>
    <w:rsid w:val="00382DBB"/>
    <w:rsid w:val="00385990"/>
    <w:rsid w:val="003865ED"/>
    <w:rsid w:val="0038661F"/>
    <w:rsid w:val="0038684A"/>
    <w:rsid w:val="00391A5F"/>
    <w:rsid w:val="00392A89"/>
    <w:rsid w:val="00392ED3"/>
    <w:rsid w:val="00394762"/>
    <w:rsid w:val="00395237"/>
    <w:rsid w:val="0039536B"/>
    <w:rsid w:val="00397DDD"/>
    <w:rsid w:val="003A092F"/>
    <w:rsid w:val="003A2BC0"/>
    <w:rsid w:val="003A300E"/>
    <w:rsid w:val="003A654A"/>
    <w:rsid w:val="003A68F4"/>
    <w:rsid w:val="003B079D"/>
    <w:rsid w:val="003B0EE5"/>
    <w:rsid w:val="003B1D0B"/>
    <w:rsid w:val="003B238F"/>
    <w:rsid w:val="003B2822"/>
    <w:rsid w:val="003C022D"/>
    <w:rsid w:val="003C0B5E"/>
    <w:rsid w:val="003C0BC5"/>
    <w:rsid w:val="003C11E7"/>
    <w:rsid w:val="003C1539"/>
    <w:rsid w:val="003C321C"/>
    <w:rsid w:val="003C40DF"/>
    <w:rsid w:val="003C4590"/>
    <w:rsid w:val="003D0BE3"/>
    <w:rsid w:val="003D4F09"/>
    <w:rsid w:val="003D6C64"/>
    <w:rsid w:val="003E0229"/>
    <w:rsid w:val="003E2EA6"/>
    <w:rsid w:val="003E3609"/>
    <w:rsid w:val="003E3DA0"/>
    <w:rsid w:val="003E6579"/>
    <w:rsid w:val="003F02FC"/>
    <w:rsid w:val="003F0D49"/>
    <w:rsid w:val="003F0D99"/>
    <w:rsid w:val="003F10CF"/>
    <w:rsid w:val="003F11F6"/>
    <w:rsid w:val="003F24CB"/>
    <w:rsid w:val="003F255A"/>
    <w:rsid w:val="003F29DD"/>
    <w:rsid w:val="003F3EF8"/>
    <w:rsid w:val="00402605"/>
    <w:rsid w:val="00403D44"/>
    <w:rsid w:val="00403E95"/>
    <w:rsid w:val="0040470F"/>
    <w:rsid w:val="004056F9"/>
    <w:rsid w:val="00406B76"/>
    <w:rsid w:val="00407F3B"/>
    <w:rsid w:val="00410B1D"/>
    <w:rsid w:val="00410C58"/>
    <w:rsid w:val="004117D5"/>
    <w:rsid w:val="004151A7"/>
    <w:rsid w:val="00416405"/>
    <w:rsid w:val="00422172"/>
    <w:rsid w:val="00424BAE"/>
    <w:rsid w:val="004260E7"/>
    <w:rsid w:val="0042693C"/>
    <w:rsid w:val="004272E7"/>
    <w:rsid w:val="0042756F"/>
    <w:rsid w:val="00427C71"/>
    <w:rsid w:val="0043082A"/>
    <w:rsid w:val="00432A5C"/>
    <w:rsid w:val="00432E55"/>
    <w:rsid w:val="00432FF0"/>
    <w:rsid w:val="004336CD"/>
    <w:rsid w:val="0043428B"/>
    <w:rsid w:val="004362A1"/>
    <w:rsid w:val="0044114A"/>
    <w:rsid w:val="004432CB"/>
    <w:rsid w:val="004448C8"/>
    <w:rsid w:val="0045006D"/>
    <w:rsid w:val="0045072C"/>
    <w:rsid w:val="0045185F"/>
    <w:rsid w:val="0045194B"/>
    <w:rsid w:val="00451EF6"/>
    <w:rsid w:val="00452EBA"/>
    <w:rsid w:val="00453172"/>
    <w:rsid w:val="0045399A"/>
    <w:rsid w:val="00457D0B"/>
    <w:rsid w:val="0046347F"/>
    <w:rsid w:val="00464949"/>
    <w:rsid w:val="0046511A"/>
    <w:rsid w:val="00467ADA"/>
    <w:rsid w:val="00470654"/>
    <w:rsid w:val="00471AC6"/>
    <w:rsid w:val="00473C02"/>
    <w:rsid w:val="00473D2E"/>
    <w:rsid w:val="00474B27"/>
    <w:rsid w:val="004825F7"/>
    <w:rsid w:val="004835D0"/>
    <w:rsid w:val="004858E9"/>
    <w:rsid w:val="004862E4"/>
    <w:rsid w:val="00487B7A"/>
    <w:rsid w:val="00487D02"/>
    <w:rsid w:val="00490FD7"/>
    <w:rsid w:val="0049243C"/>
    <w:rsid w:val="00493D1A"/>
    <w:rsid w:val="00494294"/>
    <w:rsid w:val="00494C9C"/>
    <w:rsid w:val="00496CB3"/>
    <w:rsid w:val="004970DD"/>
    <w:rsid w:val="004A039C"/>
    <w:rsid w:val="004A0D7F"/>
    <w:rsid w:val="004A433D"/>
    <w:rsid w:val="004A4372"/>
    <w:rsid w:val="004A4FD5"/>
    <w:rsid w:val="004A5D0C"/>
    <w:rsid w:val="004A5D9D"/>
    <w:rsid w:val="004A6E91"/>
    <w:rsid w:val="004A7E9B"/>
    <w:rsid w:val="004B0B78"/>
    <w:rsid w:val="004B7749"/>
    <w:rsid w:val="004C1A16"/>
    <w:rsid w:val="004C22CB"/>
    <w:rsid w:val="004C2CFB"/>
    <w:rsid w:val="004C2D20"/>
    <w:rsid w:val="004C2DFB"/>
    <w:rsid w:val="004C442A"/>
    <w:rsid w:val="004C4750"/>
    <w:rsid w:val="004C77D9"/>
    <w:rsid w:val="004D1F89"/>
    <w:rsid w:val="004D3931"/>
    <w:rsid w:val="004D46E8"/>
    <w:rsid w:val="004D654C"/>
    <w:rsid w:val="004D6698"/>
    <w:rsid w:val="004D675A"/>
    <w:rsid w:val="004D6882"/>
    <w:rsid w:val="004D6A5F"/>
    <w:rsid w:val="004E0D15"/>
    <w:rsid w:val="004E0E16"/>
    <w:rsid w:val="004E21F9"/>
    <w:rsid w:val="004E315A"/>
    <w:rsid w:val="004E4121"/>
    <w:rsid w:val="004E53D5"/>
    <w:rsid w:val="004E5919"/>
    <w:rsid w:val="004E68FD"/>
    <w:rsid w:val="004E7A4E"/>
    <w:rsid w:val="004E7EA6"/>
    <w:rsid w:val="004F193F"/>
    <w:rsid w:val="004F2373"/>
    <w:rsid w:val="004F2B11"/>
    <w:rsid w:val="004F54B9"/>
    <w:rsid w:val="004F5AC4"/>
    <w:rsid w:val="004F6912"/>
    <w:rsid w:val="005004E6"/>
    <w:rsid w:val="00501F38"/>
    <w:rsid w:val="005025C1"/>
    <w:rsid w:val="00505295"/>
    <w:rsid w:val="00507055"/>
    <w:rsid w:val="005101AE"/>
    <w:rsid w:val="00511C08"/>
    <w:rsid w:val="005149F8"/>
    <w:rsid w:val="0051538C"/>
    <w:rsid w:val="00515C5F"/>
    <w:rsid w:val="00515CBE"/>
    <w:rsid w:val="0052245E"/>
    <w:rsid w:val="00523B88"/>
    <w:rsid w:val="005243EF"/>
    <w:rsid w:val="005257DA"/>
    <w:rsid w:val="00525F1F"/>
    <w:rsid w:val="00527450"/>
    <w:rsid w:val="005306AC"/>
    <w:rsid w:val="0053537D"/>
    <w:rsid w:val="00542B64"/>
    <w:rsid w:val="00542EDD"/>
    <w:rsid w:val="0054785A"/>
    <w:rsid w:val="00547FFC"/>
    <w:rsid w:val="005503C0"/>
    <w:rsid w:val="00550EE6"/>
    <w:rsid w:val="00551F72"/>
    <w:rsid w:val="00552A26"/>
    <w:rsid w:val="00552A30"/>
    <w:rsid w:val="00553B29"/>
    <w:rsid w:val="00556F45"/>
    <w:rsid w:val="00562407"/>
    <w:rsid w:val="005624EB"/>
    <w:rsid w:val="005626FB"/>
    <w:rsid w:val="00563A05"/>
    <w:rsid w:val="005648E0"/>
    <w:rsid w:val="005723E9"/>
    <w:rsid w:val="00572434"/>
    <w:rsid w:val="0057266D"/>
    <w:rsid w:val="005732EF"/>
    <w:rsid w:val="00573DAD"/>
    <w:rsid w:val="00574907"/>
    <w:rsid w:val="00575B04"/>
    <w:rsid w:val="005769D3"/>
    <w:rsid w:val="005773EA"/>
    <w:rsid w:val="00577F81"/>
    <w:rsid w:val="0058139F"/>
    <w:rsid w:val="00581F3B"/>
    <w:rsid w:val="00583456"/>
    <w:rsid w:val="005847EF"/>
    <w:rsid w:val="00586D39"/>
    <w:rsid w:val="00591FB9"/>
    <w:rsid w:val="00592ECB"/>
    <w:rsid w:val="00593706"/>
    <w:rsid w:val="005A135D"/>
    <w:rsid w:val="005A2562"/>
    <w:rsid w:val="005A2FB0"/>
    <w:rsid w:val="005A3B14"/>
    <w:rsid w:val="005A42B3"/>
    <w:rsid w:val="005A6579"/>
    <w:rsid w:val="005A748F"/>
    <w:rsid w:val="005A755E"/>
    <w:rsid w:val="005B0AFC"/>
    <w:rsid w:val="005B1628"/>
    <w:rsid w:val="005B2729"/>
    <w:rsid w:val="005B4111"/>
    <w:rsid w:val="005B55D9"/>
    <w:rsid w:val="005B5716"/>
    <w:rsid w:val="005B5AF0"/>
    <w:rsid w:val="005B60F7"/>
    <w:rsid w:val="005C0F16"/>
    <w:rsid w:val="005C10D9"/>
    <w:rsid w:val="005C2163"/>
    <w:rsid w:val="005C2B81"/>
    <w:rsid w:val="005C35D4"/>
    <w:rsid w:val="005C7D61"/>
    <w:rsid w:val="005D1DCB"/>
    <w:rsid w:val="005D2D09"/>
    <w:rsid w:val="005D4E4B"/>
    <w:rsid w:val="005E0893"/>
    <w:rsid w:val="005E0A75"/>
    <w:rsid w:val="005E10FE"/>
    <w:rsid w:val="005E1E58"/>
    <w:rsid w:val="005E29A9"/>
    <w:rsid w:val="005E5865"/>
    <w:rsid w:val="005E6B1F"/>
    <w:rsid w:val="005E7D25"/>
    <w:rsid w:val="005F18D8"/>
    <w:rsid w:val="005F5E47"/>
    <w:rsid w:val="005F7A19"/>
    <w:rsid w:val="005F7B98"/>
    <w:rsid w:val="00600ABD"/>
    <w:rsid w:val="00600B91"/>
    <w:rsid w:val="006024A1"/>
    <w:rsid w:val="00602F2D"/>
    <w:rsid w:val="00604493"/>
    <w:rsid w:val="006054FD"/>
    <w:rsid w:val="00606CE0"/>
    <w:rsid w:val="0061026A"/>
    <w:rsid w:val="00625615"/>
    <w:rsid w:val="00625B91"/>
    <w:rsid w:val="00625DB3"/>
    <w:rsid w:val="0062601B"/>
    <w:rsid w:val="0062649E"/>
    <w:rsid w:val="00627E7A"/>
    <w:rsid w:val="0063234A"/>
    <w:rsid w:val="00632510"/>
    <w:rsid w:val="00632EF5"/>
    <w:rsid w:val="00633E94"/>
    <w:rsid w:val="006340DF"/>
    <w:rsid w:val="00634CC3"/>
    <w:rsid w:val="00635DCD"/>
    <w:rsid w:val="006401CF"/>
    <w:rsid w:val="006404D3"/>
    <w:rsid w:val="00643973"/>
    <w:rsid w:val="006468E1"/>
    <w:rsid w:val="00654B4F"/>
    <w:rsid w:val="00662AC0"/>
    <w:rsid w:val="00663CB1"/>
    <w:rsid w:val="00664CD0"/>
    <w:rsid w:val="00666A9C"/>
    <w:rsid w:val="00666EA8"/>
    <w:rsid w:val="00673556"/>
    <w:rsid w:val="0067483A"/>
    <w:rsid w:val="00674B15"/>
    <w:rsid w:val="00674BB6"/>
    <w:rsid w:val="0067604A"/>
    <w:rsid w:val="0067743A"/>
    <w:rsid w:val="00683157"/>
    <w:rsid w:val="006842E3"/>
    <w:rsid w:val="006879C9"/>
    <w:rsid w:val="00687F05"/>
    <w:rsid w:val="0069135E"/>
    <w:rsid w:val="006915F0"/>
    <w:rsid w:val="00694C90"/>
    <w:rsid w:val="006962E4"/>
    <w:rsid w:val="00696A45"/>
    <w:rsid w:val="00696DD4"/>
    <w:rsid w:val="006A128C"/>
    <w:rsid w:val="006A1E9B"/>
    <w:rsid w:val="006A1FF5"/>
    <w:rsid w:val="006A28C6"/>
    <w:rsid w:val="006A3E31"/>
    <w:rsid w:val="006A4C10"/>
    <w:rsid w:val="006A532C"/>
    <w:rsid w:val="006A54A4"/>
    <w:rsid w:val="006A77D5"/>
    <w:rsid w:val="006B029C"/>
    <w:rsid w:val="006B04B3"/>
    <w:rsid w:val="006B068E"/>
    <w:rsid w:val="006B0EE3"/>
    <w:rsid w:val="006B2485"/>
    <w:rsid w:val="006B4B2E"/>
    <w:rsid w:val="006B5C3C"/>
    <w:rsid w:val="006B5C3E"/>
    <w:rsid w:val="006B633A"/>
    <w:rsid w:val="006C0178"/>
    <w:rsid w:val="006C07F1"/>
    <w:rsid w:val="006C0B1C"/>
    <w:rsid w:val="006C0D84"/>
    <w:rsid w:val="006C26D2"/>
    <w:rsid w:val="006C4441"/>
    <w:rsid w:val="006C4D9B"/>
    <w:rsid w:val="006C6632"/>
    <w:rsid w:val="006C77FE"/>
    <w:rsid w:val="006C7BD5"/>
    <w:rsid w:val="006D0224"/>
    <w:rsid w:val="006D032D"/>
    <w:rsid w:val="006D1551"/>
    <w:rsid w:val="006D4544"/>
    <w:rsid w:val="006D5A4A"/>
    <w:rsid w:val="006E0CD3"/>
    <w:rsid w:val="006E128B"/>
    <w:rsid w:val="006E2DAB"/>
    <w:rsid w:val="006E30B7"/>
    <w:rsid w:val="006E4335"/>
    <w:rsid w:val="006E6279"/>
    <w:rsid w:val="006E6CA2"/>
    <w:rsid w:val="006F217F"/>
    <w:rsid w:val="006F466D"/>
    <w:rsid w:val="006F4734"/>
    <w:rsid w:val="006F4DF8"/>
    <w:rsid w:val="006F5901"/>
    <w:rsid w:val="006F6897"/>
    <w:rsid w:val="006F75FA"/>
    <w:rsid w:val="006F791E"/>
    <w:rsid w:val="0070090B"/>
    <w:rsid w:val="00702299"/>
    <w:rsid w:val="0070230A"/>
    <w:rsid w:val="00703451"/>
    <w:rsid w:val="007056D0"/>
    <w:rsid w:val="00710A32"/>
    <w:rsid w:val="00716D9B"/>
    <w:rsid w:val="00716F01"/>
    <w:rsid w:val="00717AEE"/>
    <w:rsid w:val="0072066C"/>
    <w:rsid w:val="0072106A"/>
    <w:rsid w:val="00721D66"/>
    <w:rsid w:val="00724458"/>
    <w:rsid w:val="007257B4"/>
    <w:rsid w:val="0072796B"/>
    <w:rsid w:val="00732BD6"/>
    <w:rsid w:val="00732C43"/>
    <w:rsid w:val="00732FF9"/>
    <w:rsid w:val="00733001"/>
    <w:rsid w:val="00733150"/>
    <w:rsid w:val="007331E7"/>
    <w:rsid w:val="0073395A"/>
    <w:rsid w:val="00737019"/>
    <w:rsid w:val="00740525"/>
    <w:rsid w:val="007405FC"/>
    <w:rsid w:val="00740A95"/>
    <w:rsid w:val="007433A4"/>
    <w:rsid w:val="007439A4"/>
    <w:rsid w:val="007462DA"/>
    <w:rsid w:val="00746FAA"/>
    <w:rsid w:val="007476F8"/>
    <w:rsid w:val="007478AA"/>
    <w:rsid w:val="00751EA8"/>
    <w:rsid w:val="00752036"/>
    <w:rsid w:val="0075584D"/>
    <w:rsid w:val="00756D9B"/>
    <w:rsid w:val="007608BD"/>
    <w:rsid w:val="00761E1F"/>
    <w:rsid w:val="007624BF"/>
    <w:rsid w:val="007651D1"/>
    <w:rsid w:val="007662AE"/>
    <w:rsid w:val="0076753A"/>
    <w:rsid w:val="0077017F"/>
    <w:rsid w:val="0077052B"/>
    <w:rsid w:val="0077073F"/>
    <w:rsid w:val="00772254"/>
    <w:rsid w:val="00776963"/>
    <w:rsid w:val="007773ED"/>
    <w:rsid w:val="007807AF"/>
    <w:rsid w:val="00780F86"/>
    <w:rsid w:val="00781ED4"/>
    <w:rsid w:val="007826C8"/>
    <w:rsid w:val="007838E2"/>
    <w:rsid w:val="007851DE"/>
    <w:rsid w:val="00786323"/>
    <w:rsid w:val="00786BA7"/>
    <w:rsid w:val="007872D4"/>
    <w:rsid w:val="007923A9"/>
    <w:rsid w:val="00793264"/>
    <w:rsid w:val="00794599"/>
    <w:rsid w:val="00796C72"/>
    <w:rsid w:val="00796E67"/>
    <w:rsid w:val="007A0229"/>
    <w:rsid w:val="007A06A7"/>
    <w:rsid w:val="007A0BC8"/>
    <w:rsid w:val="007A156B"/>
    <w:rsid w:val="007A1CBE"/>
    <w:rsid w:val="007A48E1"/>
    <w:rsid w:val="007A5D3A"/>
    <w:rsid w:val="007A7287"/>
    <w:rsid w:val="007A7914"/>
    <w:rsid w:val="007B0278"/>
    <w:rsid w:val="007B0830"/>
    <w:rsid w:val="007B0A5C"/>
    <w:rsid w:val="007B0D20"/>
    <w:rsid w:val="007C0D9C"/>
    <w:rsid w:val="007C123A"/>
    <w:rsid w:val="007C1419"/>
    <w:rsid w:val="007C20E1"/>
    <w:rsid w:val="007C46AE"/>
    <w:rsid w:val="007C64E6"/>
    <w:rsid w:val="007D012B"/>
    <w:rsid w:val="007D1F2B"/>
    <w:rsid w:val="007D3DE1"/>
    <w:rsid w:val="007D66A3"/>
    <w:rsid w:val="007E0F3D"/>
    <w:rsid w:val="007E13FC"/>
    <w:rsid w:val="007E4CF0"/>
    <w:rsid w:val="007E5741"/>
    <w:rsid w:val="007E5D9D"/>
    <w:rsid w:val="007F01D3"/>
    <w:rsid w:val="007F130B"/>
    <w:rsid w:val="007F2B37"/>
    <w:rsid w:val="007F40B8"/>
    <w:rsid w:val="007F4D3D"/>
    <w:rsid w:val="0080177C"/>
    <w:rsid w:val="008017E5"/>
    <w:rsid w:val="00801B2D"/>
    <w:rsid w:val="00801EA6"/>
    <w:rsid w:val="00804CDA"/>
    <w:rsid w:val="008058A8"/>
    <w:rsid w:val="00806590"/>
    <w:rsid w:val="008106B0"/>
    <w:rsid w:val="008118B7"/>
    <w:rsid w:val="00812399"/>
    <w:rsid w:val="00812B19"/>
    <w:rsid w:val="00812F78"/>
    <w:rsid w:val="008155D1"/>
    <w:rsid w:val="008157BC"/>
    <w:rsid w:val="00816010"/>
    <w:rsid w:val="008179C4"/>
    <w:rsid w:val="00817AA7"/>
    <w:rsid w:val="008219A1"/>
    <w:rsid w:val="00822328"/>
    <w:rsid w:val="0082293F"/>
    <w:rsid w:val="00824333"/>
    <w:rsid w:val="00825111"/>
    <w:rsid w:val="0082790A"/>
    <w:rsid w:val="00830A19"/>
    <w:rsid w:val="008325F2"/>
    <w:rsid w:val="008327CD"/>
    <w:rsid w:val="00834F01"/>
    <w:rsid w:val="00835573"/>
    <w:rsid w:val="00835B64"/>
    <w:rsid w:val="008368E0"/>
    <w:rsid w:val="0083721F"/>
    <w:rsid w:val="008402E4"/>
    <w:rsid w:val="00845C02"/>
    <w:rsid w:val="008463E9"/>
    <w:rsid w:val="00851DF5"/>
    <w:rsid w:val="00852EAD"/>
    <w:rsid w:val="0085314A"/>
    <w:rsid w:val="00854FD2"/>
    <w:rsid w:val="00861518"/>
    <w:rsid w:val="00861939"/>
    <w:rsid w:val="00863355"/>
    <w:rsid w:val="00864973"/>
    <w:rsid w:val="0086631E"/>
    <w:rsid w:val="00866B63"/>
    <w:rsid w:val="00867C7A"/>
    <w:rsid w:val="008708D0"/>
    <w:rsid w:val="00872042"/>
    <w:rsid w:val="00872594"/>
    <w:rsid w:val="00872874"/>
    <w:rsid w:val="00873C54"/>
    <w:rsid w:val="008751A5"/>
    <w:rsid w:val="008755A4"/>
    <w:rsid w:val="008757DD"/>
    <w:rsid w:val="00875C35"/>
    <w:rsid w:val="00876AB8"/>
    <w:rsid w:val="0087735F"/>
    <w:rsid w:val="00877364"/>
    <w:rsid w:val="00877BB4"/>
    <w:rsid w:val="008800CE"/>
    <w:rsid w:val="008807FE"/>
    <w:rsid w:val="008841ED"/>
    <w:rsid w:val="0089033C"/>
    <w:rsid w:val="00890D41"/>
    <w:rsid w:val="008915B6"/>
    <w:rsid w:val="008935F6"/>
    <w:rsid w:val="00893B44"/>
    <w:rsid w:val="00895E96"/>
    <w:rsid w:val="00896031"/>
    <w:rsid w:val="00896A2E"/>
    <w:rsid w:val="00896B11"/>
    <w:rsid w:val="00896FA7"/>
    <w:rsid w:val="008A1332"/>
    <w:rsid w:val="008A19CC"/>
    <w:rsid w:val="008A26FD"/>
    <w:rsid w:val="008A3D2F"/>
    <w:rsid w:val="008A454C"/>
    <w:rsid w:val="008A5BD0"/>
    <w:rsid w:val="008A69AB"/>
    <w:rsid w:val="008B1BB4"/>
    <w:rsid w:val="008B5A59"/>
    <w:rsid w:val="008B5CA6"/>
    <w:rsid w:val="008B69CB"/>
    <w:rsid w:val="008C0A28"/>
    <w:rsid w:val="008C12B8"/>
    <w:rsid w:val="008C163F"/>
    <w:rsid w:val="008C1A8D"/>
    <w:rsid w:val="008C1C91"/>
    <w:rsid w:val="008C2E3C"/>
    <w:rsid w:val="008C5363"/>
    <w:rsid w:val="008C7C6F"/>
    <w:rsid w:val="008D01BA"/>
    <w:rsid w:val="008D1585"/>
    <w:rsid w:val="008D26A9"/>
    <w:rsid w:val="008D38E3"/>
    <w:rsid w:val="008D4CD9"/>
    <w:rsid w:val="008D5365"/>
    <w:rsid w:val="008D7A5C"/>
    <w:rsid w:val="008E0EA8"/>
    <w:rsid w:val="008E20E3"/>
    <w:rsid w:val="008E54A8"/>
    <w:rsid w:val="008E590F"/>
    <w:rsid w:val="008E5D4F"/>
    <w:rsid w:val="008E60B9"/>
    <w:rsid w:val="008E78D9"/>
    <w:rsid w:val="008F01E6"/>
    <w:rsid w:val="008F11DD"/>
    <w:rsid w:val="008F305E"/>
    <w:rsid w:val="008F4B88"/>
    <w:rsid w:val="008F4B99"/>
    <w:rsid w:val="008F4EF8"/>
    <w:rsid w:val="008F602F"/>
    <w:rsid w:val="008F7F41"/>
    <w:rsid w:val="009011B9"/>
    <w:rsid w:val="0090132B"/>
    <w:rsid w:val="009017B4"/>
    <w:rsid w:val="009024EA"/>
    <w:rsid w:val="00904107"/>
    <w:rsid w:val="00905884"/>
    <w:rsid w:val="00906687"/>
    <w:rsid w:val="00910CDC"/>
    <w:rsid w:val="009118E9"/>
    <w:rsid w:val="00913936"/>
    <w:rsid w:val="00914CF3"/>
    <w:rsid w:val="0091575B"/>
    <w:rsid w:val="009158EF"/>
    <w:rsid w:val="00916122"/>
    <w:rsid w:val="009163D6"/>
    <w:rsid w:val="00916A55"/>
    <w:rsid w:val="00917AFC"/>
    <w:rsid w:val="00920BB2"/>
    <w:rsid w:val="00922651"/>
    <w:rsid w:val="00926FDC"/>
    <w:rsid w:val="00930537"/>
    <w:rsid w:val="009307CB"/>
    <w:rsid w:val="00930E0B"/>
    <w:rsid w:val="009313DD"/>
    <w:rsid w:val="00936DA1"/>
    <w:rsid w:val="00937B5E"/>
    <w:rsid w:val="00943827"/>
    <w:rsid w:val="00946D0C"/>
    <w:rsid w:val="009470EE"/>
    <w:rsid w:val="00947149"/>
    <w:rsid w:val="009504BC"/>
    <w:rsid w:val="00950DD4"/>
    <w:rsid w:val="00952BF8"/>
    <w:rsid w:val="00956073"/>
    <w:rsid w:val="00956F63"/>
    <w:rsid w:val="0095703C"/>
    <w:rsid w:val="0096060F"/>
    <w:rsid w:val="00960A68"/>
    <w:rsid w:val="009610DA"/>
    <w:rsid w:val="00961251"/>
    <w:rsid w:val="0096134C"/>
    <w:rsid w:val="00962757"/>
    <w:rsid w:val="00962BD2"/>
    <w:rsid w:val="009706DB"/>
    <w:rsid w:val="009707AD"/>
    <w:rsid w:val="00970B88"/>
    <w:rsid w:val="00971BC8"/>
    <w:rsid w:val="009727C8"/>
    <w:rsid w:val="00972E28"/>
    <w:rsid w:val="009735A6"/>
    <w:rsid w:val="0097393D"/>
    <w:rsid w:val="0097452D"/>
    <w:rsid w:val="00974A6D"/>
    <w:rsid w:val="00975C9B"/>
    <w:rsid w:val="00976172"/>
    <w:rsid w:val="009761BC"/>
    <w:rsid w:val="00977022"/>
    <w:rsid w:val="00980CD4"/>
    <w:rsid w:val="00981C0D"/>
    <w:rsid w:val="00982BEE"/>
    <w:rsid w:val="00985811"/>
    <w:rsid w:val="00985931"/>
    <w:rsid w:val="00985CC7"/>
    <w:rsid w:val="00992CBB"/>
    <w:rsid w:val="009930BF"/>
    <w:rsid w:val="0099392A"/>
    <w:rsid w:val="00994235"/>
    <w:rsid w:val="009952E3"/>
    <w:rsid w:val="00996968"/>
    <w:rsid w:val="00996F3F"/>
    <w:rsid w:val="00997562"/>
    <w:rsid w:val="009A44DF"/>
    <w:rsid w:val="009A6940"/>
    <w:rsid w:val="009A7472"/>
    <w:rsid w:val="009A7A01"/>
    <w:rsid w:val="009B0767"/>
    <w:rsid w:val="009B28C4"/>
    <w:rsid w:val="009B2C42"/>
    <w:rsid w:val="009B5B8D"/>
    <w:rsid w:val="009B6DD3"/>
    <w:rsid w:val="009B74ED"/>
    <w:rsid w:val="009B75F2"/>
    <w:rsid w:val="009B79A5"/>
    <w:rsid w:val="009B7C00"/>
    <w:rsid w:val="009C40E5"/>
    <w:rsid w:val="009C6075"/>
    <w:rsid w:val="009C732C"/>
    <w:rsid w:val="009C77FF"/>
    <w:rsid w:val="009D00ED"/>
    <w:rsid w:val="009D24CE"/>
    <w:rsid w:val="009D464E"/>
    <w:rsid w:val="009D79D2"/>
    <w:rsid w:val="009D7EC9"/>
    <w:rsid w:val="009E00CC"/>
    <w:rsid w:val="009E0405"/>
    <w:rsid w:val="009E27B7"/>
    <w:rsid w:val="009E4EE8"/>
    <w:rsid w:val="009E6920"/>
    <w:rsid w:val="009E6943"/>
    <w:rsid w:val="009E7722"/>
    <w:rsid w:val="009E7896"/>
    <w:rsid w:val="009E7D16"/>
    <w:rsid w:val="009F3C48"/>
    <w:rsid w:val="009F7745"/>
    <w:rsid w:val="00A01111"/>
    <w:rsid w:val="00A039FA"/>
    <w:rsid w:val="00A05648"/>
    <w:rsid w:val="00A05E10"/>
    <w:rsid w:val="00A06349"/>
    <w:rsid w:val="00A076B4"/>
    <w:rsid w:val="00A07D20"/>
    <w:rsid w:val="00A07EDD"/>
    <w:rsid w:val="00A1444B"/>
    <w:rsid w:val="00A16FEF"/>
    <w:rsid w:val="00A17527"/>
    <w:rsid w:val="00A201BC"/>
    <w:rsid w:val="00A207AB"/>
    <w:rsid w:val="00A21563"/>
    <w:rsid w:val="00A228FA"/>
    <w:rsid w:val="00A22A1F"/>
    <w:rsid w:val="00A24FEE"/>
    <w:rsid w:val="00A258CC"/>
    <w:rsid w:val="00A26765"/>
    <w:rsid w:val="00A26DF1"/>
    <w:rsid w:val="00A310D9"/>
    <w:rsid w:val="00A330F6"/>
    <w:rsid w:val="00A3385F"/>
    <w:rsid w:val="00A340A2"/>
    <w:rsid w:val="00A346FC"/>
    <w:rsid w:val="00A35853"/>
    <w:rsid w:val="00A36F9E"/>
    <w:rsid w:val="00A376BC"/>
    <w:rsid w:val="00A37902"/>
    <w:rsid w:val="00A41554"/>
    <w:rsid w:val="00A41FEC"/>
    <w:rsid w:val="00A44417"/>
    <w:rsid w:val="00A44FAC"/>
    <w:rsid w:val="00A46D1C"/>
    <w:rsid w:val="00A50A6E"/>
    <w:rsid w:val="00A51596"/>
    <w:rsid w:val="00A537D0"/>
    <w:rsid w:val="00A53F92"/>
    <w:rsid w:val="00A5497B"/>
    <w:rsid w:val="00A55F33"/>
    <w:rsid w:val="00A566B0"/>
    <w:rsid w:val="00A56ECE"/>
    <w:rsid w:val="00A63C55"/>
    <w:rsid w:val="00A65C4A"/>
    <w:rsid w:val="00A67235"/>
    <w:rsid w:val="00A672E2"/>
    <w:rsid w:val="00A7189C"/>
    <w:rsid w:val="00A7336B"/>
    <w:rsid w:val="00A741B0"/>
    <w:rsid w:val="00A7511B"/>
    <w:rsid w:val="00A80B46"/>
    <w:rsid w:val="00A80B92"/>
    <w:rsid w:val="00A81A36"/>
    <w:rsid w:val="00A83382"/>
    <w:rsid w:val="00A84AFD"/>
    <w:rsid w:val="00A91195"/>
    <w:rsid w:val="00A91908"/>
    <w:rsid w:val="00A91BA6"/>
    <w:rsid w:val="00A921DB"/>
    <w:rsid w:val="00A924BA"/>
    <w:rsid w:val="00A96396"/>
    <w:rsid w:val="00A964D8"/>
    <w:rsid w:val="00AA0D3F"/>
    <w:rsid w:val="00AA153E"/>
    <w:rsid w:val="00AA3848"/>
    <w:rsid w:val="00AA4D53"/>
    <w:rsid w:val="00AA7F02"/>
    <w:rsid w:val="00AB0FAD"/>
    <w:rsid w:val="00AB1268"/>
    <w:rsid w:val="00AB1499"/>
    <w:rsid w:val="00AB1897"/>
    <w:rsid w:val="00AB1C3B"/>
    <w:rsid w:val="00AB27A2"/>
    <w:rsid w:val="00AB489F"/>
    <w:rsid w:val="00AB54E5"/>
    <w:rsid w:val="00AB5643"/>
    <w:rsid w:val="00AB72B3"/>
    <w:rsid w:val="00AB752D"/>
    <w:rsid w:val="00AC083B"/>
    <w:rsid w:val="00AC1115"/>
    <w:rsid w:val="00AC65BC"/>
    <w:rsid w:val="00AC6676"/>
    <w:rsid w:val="00AD203A"/>
    <w:rsid w:val="00AD4F59"/>
    <w:rsid w:val="00AD52D9"/>
    <w:rsid w:val="00AD547B"/>
    <w:rsid w:val="00AD5E2F"/>
    <w:rsid w:val="00AD61B9"/>
    <w:rsid w:val="00AD676A"/>
    <w:rsid w:val="00AD68B8"/>
    <w:rsid w:val="00AE02A8"/>
    <w:rsid w:val="00AE0E68"/>
    <w:rsid w:val="00AE1489"/>
    <w:rsid w:val="00AE2F5F"/>
    <w:rsid w:val="00AE3F1B"/>
    <w:rsid w:val="00AE4306"/>
    <w:rsid w:val="00AE475E"/>
    <w:rsid w:val="00AE53DE"/>
    <w:rsid w:val="00AE646B"/>
    <w:rsid w:val="00AE793E"/>
    <w:rsid w:val="00AE7AC1"/>
    <w:rsid w:val="00AE7B5B"/>
    <w:rsid w:val="00AF07EA"/>
    <w:rsid w:val="00AF2B8F"/>
    <w:rsid w:val="00AF2E88"/>
    <w:rsid w:val="00AF41A6"/>
    <w:rsid w:val="00AF4CBF"/>
    <w:rsid w:val="00AF5315"/>
    <w:rsid w:val="00AF5D55"/>
    <w:rsid w:val="00AF5EFC"/>
    <w:rsid w:val="00AF6EF5"/>
    <w:rsid w:val="00AF712E"/>
    <w:rsid w:val="00AF73B1"/>
    <w:rsid w:val="00AF753F"/>
    <w:rsid w:val="00B0299C"/>
    <w:rsid w:val="00B02D84"/>
    <w:rsid w:val="00B0523C"/>
    <w:rsid w:val="00B06307"/>
    <w:rsid w:val="00B06B52"/>
    <w:rsid w:val="00B07C57"/>
    <w:rsid w:val="00B1062F"/>
    <w:rsid w:val="00B10647"/>
    <w:rsid w:val="00B1075B"/>
    <w:rsid w:val="00B14B80"/>
    <w:rsid w:val="00B154B7"/>
    <w:rsid w:val="00B15D23"/>
    <w:rsid w:val="00B15EA5"/>
    <w:rsid w:val="00B20586"/>
    <w:rsid w:val="00B206C8"/>
    <w:rsid w:val="00B21150"/>
    <w:rsid w:val="00B21759"/>
    <w:rsid w:val="00B24FA6"/>
    <w:rsid w:val="00B265C9"/>
    <w:rsid w:val="00B26EAA"/>
    <w:rsid w:val="00B30112"/>
    <w:rsid w:val="00B30CE9"/>
    <w:rsid w:val="00B31788"/>
    <w:rsid w:val="00B31F27"/>
    <w:rsid w:val="00B34F07"/>
    <w:rsid w:val="00B3542E"/>
    <w:rsid w:val="00B35601"/>
    <w:rsid w:val="00B36DCA"/>
    <w:rsid w:val="00B422E1"/>
    <w:rsid w:val="00B43CDB"/>
    <w:rsid w:val="00B46854"/>
    <w:rsid w:val="00B5149B"/>
    <w:rsid w:val="00B5377D"/>
    <w:rsid w:val="00B55BA4"/>
    <w:rsid w:val="00B613FF"/>
    <w:rsid w:val="00B621AE"/>
    <w:rsid w:val="00B63A6B"/>
    <w:rsid w:val="00B64051"/>
    <w:rsid w:val="00B713C0"/>
    <w:rsid w:val="00B73767"/>
    <w:rsid w:val="00B775FE"/>
    <w:rsid w:val="00B8200C"/>
    <w:rsid w:val="00B844DC"/>
    <w:rsid w:val="00B84693"/>
    <w:rsid w:val="00B848F9"/>
    <w:rsid w:val="00B869FD"/>
    <w:rsid w:val="00B91D89"/>
    <w:rsid w:val="00B920E7"/>
    <w:rsid w:val="00B92B17"/>
    <w:rsid w:val="00B9308B"/>
    <w:rsid w:val="00B93D23"/>
    <w:rsid w:val="00B9502A"/>
    <w:rsid w:val="00B95DCC"/>
    <w:rsid w:val="00BA031B"/>
    <w:rsid w:val="00BA0CA1"/>
    <w:rsid w:val="00BA3A93"/>
    <w:rsid w:val="00BB01F1"/>
    <w:rsid w:val="00BB1268"/>
    <w:rsid w:val="00BB24BD"/>
    <w:rsid w:val="00BB36AF"/>
    <w:rsid w:val="00BB3B36"/>
    <w:rsid w:val="00BB3FB1"/>
    <w:rsid w:val="00BB4987"/>
    <w:rsid w:val="00BB50A5"/>
    <w:rsid w:val="00BC1A23"/>
    <w:rsid w:val="00BC4F10"/>
    <w:rsid w:val="00BC7F26"/>
    <w:rsid w:val="00BD2D08"/>
    <w:rsid w:val="00BD4406"/>
    <w:rsid w:val="00BD4616"/>
    <w:rsid w:val="00BD4926"/>
    <w:rsid w:val="00BD5380"/>
    <w:rsid w:val="00BD5EB8"/>
    <w:rsid w:val="00BD6507"/>
    <w:rsid w:val="00BD65D5"/>
    <w:rsid w:val="00BE04A9"/>
    <w:rsid w:val="00BE4877"/>
    <w:rsid w:val="00BE6BDD"/>
    <w:rsid w:val="00BE7453"/>
    <w:rsid w:val="00BE7D3F"/>
    <w:rsid w:val="00BF3F17"/>
    <w:rsid w:val="00BF5572"/>
    <w:rsid w:val="00BF660E"/>
    <w:rsid w:val="00C023DF"/>
    <w:rsid w:val="00C047EE"/>
    <w:rsid w:val="00C0733E"/>
    <w:rsid w:val="00C11BF9"/>
    <w:rsid w:val="00C12FC1"/>
    <w:rsid w:val="00C13B7F"/>
    <w:rsid w:val="00C1756F"/>
    <w:rsid w:val="00C20399"/>
    <w:rsid w:val="00C2122C"/>
    <w:rsid w:val="00C2196E"/>
    <w:rsid w:val="00C221BA"/>
    <w:rsid w:val="00C251C9"/>
    <w:rsid w:val="00C252A2"/>
    <w:rsid w:val="00C25BAE"/>
    <w:rsid w:val="00C25C4C"/>
    <w:rsid w:val="00C26F8B"/>
    <w:rsid w:val="00C272A5"/>
    <w:rsid w:val="00C300C5"/>
    <w:rsid w:val="00C30595"/>
    <w:rsid w:val="00C32B05"/>
    <w:rsid w:val="00C3524B"/>
    <w:rsid w:val="00C3739D"/>
    <w:rsid w:val="00C37680"/>
    <w:rsid w:val="00C40552"/>
    <w:rsid w:val="00C408F7"/>
    <w:rsid w:val="00C42869"/>
    <w:rsid w:val="00C45103"/>
    <w:rsid w:val="00C46135"/>
    <w:rsid w:val="00C46F61"/>
    <w:rsid w:val="00C46FC3"/>
    <w:rsid w:val="00C47ED1"/>
    <w:rsid w:val="00C5163F"/>
    <w:rsid w:val="00C526E5"/>
    <w:rsid w:val="00C5426B"/>
    <w:rsid w:val="00C54271"/>
    <w:rsid w:val="00C561AD"/>
    <w:rsid w:val="00C56840"/>
    <w:rsid w:val="00C63831"/>
    <w:rsid w:val="00C63F56"/>
    <w:rsid w:val="00C649FE"/>
    <w:rsid w:val="00C6639D"/>
    <w:rsid w:val="00C6679C"/>
    <w:rsid w:val="00C66D6B"/>
    <w:rsid w:val="00C67044"/>
    <w:rsid w:val="00C72B01"/>
    <w:rsid w:val="00C72E78"/>
    <w:rsid w:val="00C73799"/>
    <w:rsid w:val="00C73882"/>
    <w:rsid w:val="00C74318"/>
    <w:rsid w:val="00C75380"/>
    <w:rsid w:val="00C77798"/>
    <w:rsid w:val="00C83057"/>
    <w:rsid w:val="00C83A8A"/>
    <w:rsid w:val="00C8567D"/>
    <w:rsid w:val="00C8728A"/>
    <w:rsid w:val="00C87FC8"/>
    <w:rsid w:val="00C939C2"/>
    <w:rsid w:val="00C963F1"/>
    <w:rsid w:val="00C9790D"/>
    <w:rsid w:val="00C97A73"/>
    <w:rsid w:val="00CA10A6"/>
    <w:rsid w:val="00CA1D55"/>
    <w:rsid w:val="00CA2081"/>
    <w:rsid w:val="00CA21C5"/>
    <w:rsid w:val="00CA28F5"/>
    <w:rsid w:val="00CA32D6"/>
    <w:rsid w:val="00CA3766"/>
    <w:rsid w:val="00CA3B70"/>
    <w:rsid w:val="00CA3EB6"/>
    <w:rsid w:val="00CA53AA"/>
    <w:rsid w:val="00CA5C6F"/>
    <w:rsid w:val="00CA62FF"/>
    <w:rsid w:val="00CB2162"/>
    <w:rsid w:val="00CB415B"/>
    <w:rsid w:val="00CB5D2C"/>
    <w:rsid w:val="00CC0DCD"/>
    <w:rsid w:val="00CC1941"/>
    <w:rsid w:val="00CC2F38"/>
    <w:rsid w:val="00CC3945"/>
    <w:rsid w:val="00CC3E89"/>
    <w:rsid w:val="00CC57D8"/>
    <w:rsid w:val="00CC6625"/>
    <w:rsid w:val="00CC7549"/>
    <w:rsid w:val="00CD12A2"/>
    <w:rsid w:val="00CD1E96"/>
    <w:rsid w:val="00CD20CF"/>
    <w:rsid w:val="00CD23B0"/>
    <w:rsid w:val="00CD2466"/>
    <w:rsid w:val="00CD2F98"/>
    <w:rsid w:val="00CD3C95"/>
    <w:rsid w:val="00CD40E8"/>
    <w:rsid w:val="00CD4CCB"/>
    <w:rsid w:val="00CE126B"/>
    <w:rsid w:val="00CE3ADE"/>
    <w:rsid w:val="00CE4577"/>
    <w:rsid w:val="00CE5407"/>
    <w:rsid w:val="00CE5CF0"/>
    <w:rsid w:val="00CE63B6"/>
    <w:rsid w:val="00CE7255"/>
    <w:rsid w:val="00CF09AD"/>
    <w:rsid w:val="00CF0F35"/>
    <w:rsid w:val="00CF1790"/>
    <w:rsid w:val="00CF2A0F"/>
    <w:rsid w:val="00CF3193"/>
    <w:rsid w:val="00CF3547"/>
    <w:rsid w:val="00CF4F75"/>
    <w:rsid w:val="00CF5867"/>
    <w:rsid w:val="00CF5893"/>
    <w:rsid w:val="00CF59B6"/>
    <w:rsid w:val="00CF6FE5"/>
    <w:rsid w:val="00D00443"/>
    <w:rsid w:val="00D01E5C"/>
    <w:rsid w:val="00D02389"/>
    <w:rsid w:val="00D05D8F"/>
    <w:rsid w:val="00D1609B"/>
    <w:rsid w:val="00D17794"/>
    <w:rsid w:val="00D2168D"/>
    <w:rsid w:val="00D22B6D"/>
    <w:rsid w:val="00D22D9A"/>
    <w:rsid w:val="00D24713"/>
    <w:rsid w:val="00D2508F"/>
    <w:rsid w:val="00D252C6"/>
    <w:rsid w:val="00D26056"/>
    <w:rsid w:val="00D27990"/>
    <w:rsid w:val="00D3098E"/>
    <w:rsid w:val="00D30FE8"/>
    <w:rsid w:val="00D3146F"/>
    <w:rsid w:val="00D3164D"/>
    <w:rsid w:val="00D31B95"/>
    <w:rsid w:val="00D34FFF"/>
    <w:rsid w:val="00D35611"/>
    <w:rsid w:val="00D365E1"/>
    <w:rsid w:val="00D42382"/>
    <w:rsid w:val="00D42D4C"/>
    <w:rsid w:val="00D433D8"/>
    <w:rsid w:val="00D434EB"/>
    <w:rsid w:val="00D46158"/>
    <w:rsid w:val="00D46BB8"/>
    <w:rsid w:val="00D547FD"/>
    <w:rsid w:val="00D54CE4"/>
    <w:rsid w:val="00D55B2A"/>
    <w:rsid w:val="00D55D05"/>
    <w:rsid w:val="00D57610"/>
    <w:rsid w:val="00D61689"/>
    <w:rsid w:val="00D63A56"/>
    <w:rsid w:val="00D66C19"/>
    <w:rsid w:val="00D67473"/>
    <w:rsid w:val="00D67CFB"/>
    <w:rsid w:val="00D67F1F"/>
    <w:rsid w:val="00D704EF"/>
    <w:rsid w:val="00D71E37"/>
    <w:rsid w:val="00D727BB"/>
    <w:rsid w:val="00D73048"/>
    <w:rsid w:val="00D73BF4"/>
    <w:rsid w:val="00D7418A"/>
    <w:rsid w:val="00D80A1B"/>
    <w:rsid w:val="00D81623"/>
    <w:rsid w:val="00D83FE8"/>
    <w:rsid w:val="00D86620"/>
    <w:rsid w:val="00D87E01"/>
    <w:rsid w:val="00D95A7F"/>
    <w:rsid w:val="00D95CDF"/>
    <w:rsid w:val="00D96172"/>
    <w:rsid w:val="00D96623"/>
    <w:rsid w:val="00D96B52"/>
    <w:rsid w:val="00DA28A8"/>
    <w:rsid w:val="00DA2D4B"/>
    <w:rsid w:val="00DA2ED6"/>
    <w:rsid w:val="00DA3410"/>
    <w:rsid w:val="00DA3EB4"/>
    <w:rsid w:val="00DA4484"/>
    <w:rsid w:val="00DA4D5C"/>
    <w:rsid w:val="00DB1048"/>
    <w:rsid w:val="00DB26A6"/>
    <w:rsid w:val="00DB2890"/>
    <w:rsid w:val="00DB40FB"/>
    <w:rsid w:val="00DB4145"/>
    <w:rsid w:val="00DB4E64"/>
    <w:rsid w:val="00DC5906"/>
    <w:rsid w:val="00DC6DEF"/>
    <w:rsid w:val="00DC70BB"/>
    <w:rsid w:val="00DC7647"/>
    <w:rsid w:val="00DD03E3"/>
    <w:rsid w:val="00DD081D"/>
    <w:rsid w:val="00DD172C"/>
    <w:rsid w:val="00DD23B7"/>
    <w:rsid w:val="00DD2C97"/>
    <w:rsid w:val="00DD306F"/>
    <w:rsid w:val="00DD424F"/>
    <w:rsid w:val="00DD4CA8"/>
    <w:rsid w:val="00DD62D1"/>
    <w:rsid w:val="00DE1457"/>
    <w:rsid w:val="00DE1495"/>
    <w:rsid w:val="00DE3AF5"/>
    <w:rsid w:val="00DE4EE9"/>
    <w:rsid w:val="00DE4F5C"/>
    <w:rsid w:val="00DE6059"/>
    <w:rsid w:val="00DE67A2"/>
    <w:rsid w:val="00DE7BCC"/>
    <w:rsid w:val="00DF148B"/>
    <w:rsid w:val="00DF2E79"/>
    <w:rsid w:val="00DF4517"/>
    <w:rsid w:val="00DF6BE4"/>
    <w:rsid w:val="00DF730D"/>
    <w:rsid w:val="00E0049E"/>
    <w:rsid w:val="00E00C84"/>
    <w:rsid w:val="00E04376"/>
    <w:rsid w:val="00E047E8"/>
    <w:rsid w:val="00E069EA"/>
    <w:rsid w:val="00E120E2"/>
    <w:rsid w:val="00E13D0D"/>
    <w:rsid w:val="00E153A1"/>
    <w:rsid w:val="00E1667F"/>
    <w:rsid w:val="00E170CF"/>
    <w:rsid w:val="00E20EDE"/>
    <w:rsid w:val="00E233C2"/>
    <w:rsid w:val="00E24A13"/>
    <w:rsid w:val="00E24E45"/>
    <w:rsid w:val="00E25347"/>
    <w:rsid w:val="00E2781B"/>
    <w:rsid w:val="00E32AB1"/>
    <w:rsid w:val="00E350B3"/>
    <w:rsid w:val="00E378CC"/>
    <w:rsid w:val="00E37923"/>
    <w:rsid w:val="00E40B41"/>
    <w:rsid w:val="00E41152"/>
    <w:rsid w:val="00E41800"/>
    <w:rsid w:val="00E41C3A"/>
    <w:rsid w:val="00E42BA5"/>
    <w:rsid w:val="00E42F44"/>
    <w:rsid w:val="00E45741"/>
    <w:rsid w:val="00E45837"/>
    <w:rsid w:val="00E4596B"/>
    <w:rsid w:val="00E46FC7"/>
    <w:rsid w:val="00E476A6"/>
    <w:rsid w:val="00E47A24"/>
    <w:rsid w:val="00E55B72"/>
    <w:rsid w:val="00E56C8E"/>
    <w:rsid w:val="00E602B9"/>
    <w:rsid w:val="00E60350"/>
    <w:rsid w:val="00E60688"/>
    <w:rsid w:val="00E61DB5"/>
    <w:rsid w:val="00E629B8"/>
    <w:rsid w:val="00E6363A"/>
    <w:rsid w:val="00E64475"/>
    <w:rsid w:val="00E64792"/>
    <w:rsid w:val="00E64C73"/>
    <w:rsid w:val="00E7041D"/>
    <w:rsid w:val="00E716B9"/>
    <w:rsid w:val="00E749EA"/>
    <w:rsid w:val="00E75FF6"/>
    <w:rsid w:val="00E760E4"/>
    <w:rsid w:val="00E76F95"/>
    <w:rsid w:val="00E77459"/>
    <w:rsid w:val="00E8100A"/>
    <w:rsid w:val="00E8142B"/>
    <w:rsid w:val="00E82AF2"/>
    <w:rsid w:val="00E8499C"/>
    <w:rsid w:val="00E85683"/>
    <w:rsid w:val="00E859DB"/>
    <w:rsid w:val="00E87223"/>
    <w:rsid w:val="00E918E4"/>
    <w:rsid w:val="00E91A26"/>
    <w:rsid w:val="00E948AE"/>
    <w:rsid w:val="00E96B30"/>
    <w:rsid w:val="00EA13EF"/>
    <w:rsid w:val="00EA1D99"/>
    <w:rsid w:val="00EA2211"/>
    <w:rsid w:val="00EA7E11"/>
    <w:rsid w:val="00EB476A"/>
    <w:rsid w:val="00EB4ED1"/>
    <w:rsid w:val="00EB5550"/>
    <w:rsid w:val="00EB58BF"/>
    <w:rsid w:val="00EC015C"/>
    <w:rsid w:val="00EC036F"/>
    <w:rsid w:val="00EC0409"/>
    <w:rsid w:val="00EC0C00"/>
    <w:rsid w:val="00EC16EC"/>
    <w:rsid w:val="00EC27F5"/>
    <w:rsid w:val="00EC3275"/>
    <w:rsid w:val="00EC370A"/>
    <w:rsid w:val="00EC3794"/>
    <w:rsid w:val="00EC4163"/>
    <w:rsid w:val="00ED08B1"/>
    <w:rsid w:val="00ED38B6"/>
    <w:rsid w:val="00ED3F7C"/>
    <w:rsid w:val="00ED5498"/>
    <w:rsid w:val="00ED5851"/>
    <w:rsid w:val="00ED649F"/>
    <w:rsid w:val="00ED6A42"/>
    <w:rsid w:val="00ED6E2B"/>
    <w:rsid w:val="00ED6E3B"/>
    <w:rsid w:val="00EE28D8"/>
    <w:rsid w:val="00EE63C0"/>
    <w:rsid w:val="00EE6A05"/>
    <w:rsid w:val="00EE71F5"/>
    <w:rsid w:val="00EE763D"/>
    <w:rsid w:val="00EE77BA"/>
    <w:rsid w:val="00EE7D04"/>
    <w:rsid w:val="00EF09E9"/>
    <w:rsid w:val="00EF1B1A"/>
    <w:rsid w:val="00EF2F58"/>
    <w:rsid w:val="00EF32EE"/>
    <w:rsid w:val="00EF573C"/>
    <w:rsid w:val="00EF5845"/>
    <w:rsid w:val="00EF70A5"/>
    <w:rsid w:val="00EF7FCE"/>
    <w:rsid w:val="00F01734"/>
    <w:rsid w:val="00F04460"/>
    <w:rsid w:val="00F05DA0"/>
    <w:rsid w:val="00F062D0"/>
    <w:rsid w:val="00F10C31"/>
    <w:rsid w:val="00F10CE7"/>
    <w:rsid w:val="00F12186"/>
    <w:rsid w:val="00F128A3"/>
    <w:rsid w:val="00F12967"/>
    <w:rsid w:val="00F14267"/>
    <w:rsid w:val="00F14702"/>
    <w:rsid w:val="00F15E15"/>
    <w:rsid w:val="00F17E5A"/>
    <w:rsid w:val="00F20499"/>
    <w:rsid w:val="00F21864"/>
    <w:rsid w:val="00F230B4"/>
    <w:rsid w:val="00F24022"/>
    <w:rsid w:val="00F25438"/>
    <w:rsid w:val="00F26A80"/>
    <w:rsid w:val="00F3026B"/>
    <w:rsid w:val="00F33007"/>
    <w:rsid w:val="00F33DC9"/>
    <w:rsid w:val="00F35541"/>
    <w:rsid w:val="00F35C37"/>
    <w:rsid w:val="00F41138"/>
    <w:rsid w:val="00F416B6"/>
    <w:rsid w:val="00F424CD"/>
    <w:rsid w:val="00F42BD6"/>
    <w:rsid w:val="00F43888"/>
    <w:rsid w:val="00F43B1F"/>
    <w:rsid w:val="00F46CDD"/>
    <w:rsid w:val="00F4710F"/>
    <w:rsid w:val="00F47B91"/>
    <w:rsid w:val="00F50771"/>
    <w:rsid w:val="00F53E57"/>
    <w:rsid w:val="00F53FB9"/>
    <w:rsid w:val="00F542E8"/>
    <w:rsid w:val="00F56B66"/>
    <w:rsid w:val="00F60646"/>
    <w:rsid w:val="00F6139F"/>
    <w:rsid w:val="00F62382"/>
    <w:rsid w:val="00F63F5D"/>
    <w:rsid w:val="00F65360"/>
    <w:rsid w:val="00F65DAE"/>
    <w:rsid w:val="00F6764F"/>
    <w:rsid w:val="00F6795F"/>
    <w:rsid w:val="00F67BDA"/>
    <w:rsid w:val="00F70DAB"/>
    <w:rsid w:val="00F712BC"/>
    <w:rsid w:val="00F717C3"/>
    <w:rsid w:val="00F71B38"/>
    <w:rsid w:val="00F766E4"/>
    <w:rsid w:val="00F77623"/>
    <w:rsid w:val="00F806DB"/>
    <w:rsid w:val="00F80F58"/>
    <w:rsid w:val="00F82384"/>
    <w:rsid w:val="00F830AE"/>
    <w:rsid w:val="00F86462"/>
    <w:rsid w:val="00F86C47"/>
    <w:rsid w:val="00F86ECD"/>
    <w:rsid w:val="00F879E9"/>
    <w:rsid w:val="00F90EF8"/>
    <w:rsid w:val="00F92062"/>
    <w:rsid w:val="00F933C9"/>
    <w:rsid w:val="00F94E4C"/>
    <w:rsid w:val="00F95CC7"/>
    <w:rsid w:val="00F97771"/>
    <w:rsid w:val="00FA2370"/>
    <w:rsid w:val="00FB0614"/>
    <w:rsid w:val="00FB1D2C"/>
    <w:rsid w:val="00FB1EF5"/>
    <w:rsid w:val="00FB22CE"/>
    <w:rsid w:val="00FB2664"/>
    <w:rsid w:val="00FB288B"/>
    <w:rsid w:val="00FB5D53"/>
    <w:rsid w:val="00FB67F4"/>
    <w:rsid w:val="00FB7B95"/>
    <w:rsid w:val="00FC00A0"/>
    <w:rsid w:val="00FC25A1"/>
    <w:rsid w:val="00FC291D"/>
    <w:rsid w:val="00FC2BA1"/>
    <w:rsid w:val="00FC2C99"/>
    <w:rsid w:val="00FC3D5A"/>
    <w:rsid w:val="00FC4855"/>
    <w:rsid w:val="00FC6A7C"/>
    <w:rsid w:val="00FC6C87"/>
    <w:rsid w:val="00FC72A1"/>
    <w:rsid w:val="00FD2FE4"/>
    <w:rsid w:val="00FD340E"/>
    <w:rsid w:val="00FD3713"/>
    <w:rsid w:val="00FD4908"/>
    <w:rsid w:val="00FD4FE8"/>
    <w:rsid w:val="00FD5709"/>
    <w:rsid w:val="00FD67E9"/>
    <w:rsid w:val="00FE4369"/>
    <w:rsid w:val="00FE5E29"/>
    <w:rsid w:val="00FE75B4"/>
    <w:rsid w:val="00FE76C7"/>
    <w:rsid w:val="00FE7AF3"/>
    <w:rsid w:val="00FF26F8"/>
    <w:rsid w:val="00FF2C8F"/>
    <w:rsid w:val="00FF2F2C"/>
    <w:rsid w:val="00FF35FD"/>
    <w:rsid w:val="00FF4412"/>
    <w:rsid w:val="00FF77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38F"/>
  </w:style>
  <w:style w:type="paragraph" w:styleId="Heading1">
    <w:name w:val="heading 1"/>
    <w:basedOn w:val="Normal"/>
    <w:next w:val="Normal"/>
    <w:link w:val="Heading1Char"/>
    <w:uiPriority w:val="9"/>
    <w:qFormat/>
    <w:rsid w:val="0004578C"/>
    <w:pPr>
      <w:keepNext/>
      <w:keepLines/>
      <w:pageBreakBefore/>
      <w:jc w:val="center"/>
      <w:outlineLvl w:val="0"/>
    </w:pPr>
    <w:rPr>
      <w:rFonts w:eastAsiaTheme="majorEastAsia" w:cstheme="minorHAnsi"/>
      <w:b/>
      <w:bCs/>
      <w:color w:val="898A17"/>
      <w:sz w:val="29"/>
      <w:szCs w:val="29"/>
    </w:rPr>
  </w:style>
  <w:style w:type="paragraph" w:styleId="Heading2">
    <w:name w:val="heading 2"/>
    <w:basedOn w:val="Normal"/>
    <w:next w:val="Normal"/>
    <w:link w:val="Heading2Char"/>
    <w:uiPriority w:val="9"/>
    <w:unhideWhenUsed/>
    <w:qFormat/>
    <w:rsid w:val="007773ED"/>
    <w:pPr>
      <w:keepNext/>
      <w:keepLines/>
      <w:spacing w:before="200" w:after="0"/>
      <w:outlineLvl w:val="1"/>
    </w:pPr>
    <w:rPr>
      <w:b/>
      <w:i/>
      <w:color w:val="898A17"/>
      <w:sz w:val="29"/>
    </w:rPr>
  </w:style>
  <w:style w:type="paragraph" w:styleId="Heading3">
    <w:name w:val="heading 3"/>
    <w:basedOn w:val="Normal"/>
    <w:next w:val="Normal"/>
    <w:link w:val="Heading3Char"/>
    <w:uiPriority w:val="9"/>
    <w:unhideWhenUsed/>
    <w:qFormat/>
    <w:rsid w:val="00EB58BF"/>
    <w:pPr>
      <w:keepNext/>
      <w:keepLines/>
      <w:spacing w:before="200" w:after="0"/>
      <w:outlineLvl w:val="2"/>
    </w:pPr>
    <w:rPr>
      <w:b/>
      <w:color w:val="4F81BD"/>
      <w:sz w:val="24"/>
    </w:rPr>
  </w:style>
  <w:style w:type="paragraph" w:styleId="Heading4">
    <w:name w:val="heading 4"/>
    <w:basedOn w:val="Normal"/>
    <w:next w:val="Normal"/>
    <w:link w:val="Heading4Char"/>
    <w:uiPriority w:val="9"/>
    <w:unhideWhenUsed/>
    <w:qFormat/>
    <w:rsid w:val="00EB58BF"/>
    <w:pPr>
      <w:keepNext/>
      <w:keepLines/>
      <w:spacing w:before="200" w:after="0"/>
      <w:outlineLvl w:val="3"/>
    </w:pPr>
    <w:rPr>
      <w:b/>
      <w:i/>
      <w:color w:val="4F81BD"/>
      <w:sz w:val="24"/>
    </w:rPr>
  </w:style>
  <w:style w:type="paragraph" w:styleId="Heading5">
    <w:name w:val="heading 5"/>
    <w:basedOn w:val="Normal"/>
    <w:next w:val="Normal"/>
    <w:link w:val="Heading5Char"/>
    <w:uiPriority w:val="9"/>
    <w:unhideWhenUsed/>
    <w:qFormat/>
    <w:rsid w:val="00EB58BF"/>
    <w:pPr>
      <w:keepNext/>
      <w:keepLines/>
      <w:spacing w:before="200" w:after="0"/>
      <w:outlineLvl w:val="4"/>
    </w:pPr>
    <w:rPr>
      <w:rFonts w:eastAsiaTheme="majorEastAsia" w:cstheme="majorBidi"/>
      <w:b/>
      <w:color w:val="243F60" w:themeColor="accent1" w:themeShade="7F"/>
    </w:rPr>
  </w:style>
  <w:style w:type="paragraph" w:styleId="Heading6">
    <w:name w:val="heading 6"/>
    <w:basedOn w:val="Normal"/>
    <w:next w:val="Normal"/>
    <w:link w:val="Heading6Char"/>
    <w:uiPriority w:val="9"/>
    <w:unhideWhenUsed/>
    <w:qFormat/>
    <w:rsid w:val="002A501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ablesandFigures">
    <w:name w:val="Normal After Tables and Figures"/>
    <w:basedOn w:val="Normal"/>
    <w:qFormat/>
    <w:rsid w:val="004336CD"/>
    <w:pPr>
      <w:spacing w:after="0" w:line="240" w:lineRule="auto"/>
    </w:pPr>
    <w:rPr>
      <w:rFonts w:ascii="Times New Roman" w:hAnsi="Times New Roman"/>
      <w:sz w:val="24"/>
    </w:rPr>
  </w:style>
  <w:style w:type="paragraph" w:customStyle="1" w:styleId="NormalBeforeList">
    <w:name w:val="Normal Before List"/>
    <w:basedOn w:val="Normal"/>
    <w:qFormat/>
    <w:rsid w:val="003C1539"/>
    <w:pPr>
      <w:keepNext/>
      <w:spacing w:after="120"/>
    </w:pPr>
  </w:style>
  <w:style w:type="paragraph" w:styleId="ListParagraph">
    <w:name w:val="List Paragraph"/>
    <w:basedOn w:val="Normal"/>
    <w:link w:val="ListParagraphChar"/>
    <w:uiPriority w:val="34"/>
    <w:qFormat/>
    <w:rsid w:val="003C1539"/>
    <w:pPr>
      <w:ind w:left="720"/>
      <w:contextualSpacing/>
    </w:pPr>
  </w:style>
  <w:style w:type="paragraph" w:customStyle="1" w:styleId="Bulletlevel1">
    <w:name w:val="Bullet level 1"/>
    <w:basedOn w:val="ListParagraph"/>
    <w:qFormat/>
    <w:rsid w:val="00E55B72"/>
    <w:pPr>
      <w:numPr>
        <w:numId w:val="1"/>
      </w:numPr>
      <w:spacing w:after="60"/>
      <w:contextualSpacing w:val="0"/>
    </w:pPr>
  </w:style>
  <w:style w:type="paragraph" w:customStyle="1" w:styleId="Bulletlevel1-last">
    <w:name w:val="Bullet level 1-last"/>
    <w:basedOn w:val="Bulletlevel1"/>
    <w:qFormat/>
    <w:rsid w:val="003C1539"/>
    <w:pPr>
      <w:spacing w:after="200"/>
    </w:pPr>
  </w:style>
  <w:style w:type="paragraph" w:customStyle="1" w:styleId="Bulletlevel2">
    <w:name w:val="Bullet level 2"/>
    <w:basedOn w:val="ListParagraph"/>
    <w:qFormat/>
    <w:rsid w:val="00E55B72"/>
    <w:pPr>
      <w:numPr>
        <w:numId w:val="2"/>
      </w:numPr>
      <w:spacing w:after="60"/>
      <w:ind w:left="1080"/>
      <w:contextualSpacing w:val="0"/>
    </w:pPr>
  </w:style>
  <w:style w:type="paragraph" w:customStyle="1" w:styleId="Bulletlevel2-last">
    <w:name w:val="Bullet level 2-last"/>
    <w:basedOn w:val="Bulletlevel2"/>
    <w:qFormat/>
    <w:rsid w:val="003C1539"/>
    <w:pPr>
      <w:spacing w:after="200"/>
    </w:pPr>
  </w:style>
  <w:style w:type="character" w:customStyle="1" w:styleId="Heading6Char">
    <w:name w:val="Heading 6 Char"/>
    <w:basedOn w:val="DefaultParagraphFont"/>
    <w:link w:val="Heading6"/>
    <w:uiPriority w:val="9"/>
    <w:rsid w:val="002A501D"/>
    <w:rPr>
      <w:rFonts w:asciiTheme="majorHAnsi" w:eastAsiaTheme="majorEastAsia" w:hAnsiTheme="majorHAnsi" w:cstheme="majorBidi"/>
      <w:i/>
      <w:iCs/>
      <w:color w:val="243F60" w:themeColor="accent1" w:themeShade="7F"/>
    </w:rPr>
  </w:style>
  <w:style w:type="paragraph" w:customStyle="1" w:styleId="Numberedlevel1">
    <w:name w:val="Numbered level 1"/>
    <w:basedOn w:val="ListParagraph"/>
    <w:qFormat/>
    <w:rsid w:val="003C1539"/>
    <w:pPr>
      <w:numPr>
        <w:numId w:val="3"/>
      </w:numPr>
      <w:spacing w:after="60"/>
      <w:contextualSpacing w:val="0"/>
    </w:pPr>
  </w:style>
  <w:style w:type="paragraph" w:customStyle="1" w:styleId="Numberedlevel1-last">
    <w:name w:val="Numbered level 1-last"/>
    <w:basedOn w:val="Numberedlevel1"/>
    <w:qFormat/>
    <w:rsid w:val="003C1539"/>
    <w:pPr>
      <w:spacing w:after="200"/>
    </w:pPr>
  </w:style>
  <w:style w:type="paragraph" w:customStyle="1" w:styleId="Numberedlevel2">
    <w:name w:val="Numbered level 2"/>
    <w:basedOn w:val="ListParagraph"/>
    <w:qFormat/>
    <w:rsid w:val="003C1539"/>
    <w:pPr>
      <w:numPr>
        <w:numId w:val="4"/>
      </w:numPr>
      <w:spacing w:after="60"/>
      <w:ind w:left="1080"/>
      <w:contextualSpacing w:val="0"/>
    </w:pPr>
  </w:style>
  <w:style w:type="paragraph" w:customStyle="1" w:styleId="Numberedlevel2-last">
    <w:name w:val="Numbered level 2-last"/>
    <w:basedOn w:val="Numberedlevel2"/>
    <w:qFormat/>
    <w:rsid w:val="003C1539"/>
    <w:pPr>
      <w:spacing w:after="200"/>
    </w:pPr>
  </w:style>
  <w:style w:type="paragraph" w:customStyle="1" w:styleId="Numberedlevel3">
    <w:name w:val="Numbered level 3"/>
    <w:basedOn w:val="ListParagraph"/>
    <w:qFormat/>
    <w:rsid w:val="00061DC9"/>
    <w:pPr>
      <w:numPr>
        <w:numId w:val="5"/>
      </w:numPr>
      <w:spacing w:after="60"/>
      <w:ind w:left="1440"/>
      <w:contextualSpacing w:val="0"/>
    </w:pPr>
  </w:style>
  <w:style w:type="paragraph" w:customStyle="1" w:styleId="Numberedlevel3-last">
    <w:name w:val="Numbered level 3-last"/>
    <w:basedOn w:val="Numberedlevel3"/>
    <w:qFormat/>
    <w:rsid w:val="00061DC9"/>
    <w:pPr>
      <w:spacing w:after="200"/>
    </w:pPr>
  </w:style>
  <w:style w:type="character" w:customStyle="1" w:styleId="Heading1Char">
    <w:name w:val="Heading 1 Char"/>
    <w:basedOn w:val="DefaultParagraphFont"/>
    <w:link w:val="Heading1"/>
    <w:uiPriority w:val="9"/>
    <w:rsid w:val="0004578C"/>
    <w:rPr>
      <w:rFonts w:eastAsiaTheme="majorEastAsia" w:cstheme="minorHAnsi"/>
      <w:b/>
      <w:bCs/>
      <w:color w:val="898A17"/>
      <w:sz w:val="29"/>
      <w:szCs w:val="29"/>
    </w:rPr>
  </w:style>
  <w:style w:type="character" w:customStyle="1" w:styleId="Heading2Char">
    <w:name w:val="Heading 2 Char"/>
    <w:basedOn w:val="DefaultParagraphFont"/>
    <w:link w:val="Heading2"/>
    <w:uiPriority w:val="9"/>
    <w:rsid w:val="007773ED"/>
    <w:rPr>
      <w:b/>
      <w:i/>
      <w:color w:val="898A17"/>
      <w:sz w:val="29"/>
    </w:rPr>
  </w:style>
  <w:style w:type="character" w:customStyle="1" w:styleId="Heading3Char">
    <w:name w:val="Heading 3 Char"/>
    <w:basedOn w:val="DefaultParagraphFont"/>
    <w:link w:val="Heading3"/>
    <w:uiPriority w:val="9"/>
    <w:rsid w:val="00EB58BF"/>
    <w:rPr>
      <w:b/>
      <w:color w:val="4F81BD"/>
      <w:sz w:val="24"/>
    </w:rPr>
  </w:style>
  <w:style w:type="character" w:customStyle="1" w:styleId="Heading4Char">
    <w:name w:val="Heading 4 Char"/>
    <w:basedOn w:val="DefaultParagraphFont"/>
    <w:link w:val="Heading4"/>
    <w:uiPriority w:val="9"/>
    <w:rsid w:val="00EB58BF"/>
    <w:rPr>
      <w:b/>
      <w:i/>
      <w:color w:val="4F81BD"/>
      <w:sz w:val="24"/>
    </w:rPr>
  </w:style>
  <w:style w:type="character" w:customStyle="1" w:styleId="Heading5Char">
    <w:name w:val="Heading 5 Char"/>
    <w:basedOn w:val="DefaultParagraphFont"/>
    <w:link w:val="Heading5"/>
    <w:uiPriority w:val="9"/>
    <w:rsid w:val="00EB58BF"/>
    <w:rPr>
      <w:rFonts w:eastAsiaTheme="majorEastAsia" w:cstheme="majorBidi"/>
      <w:b/>
      <w:color w:val="243F60" w:themeColor="accent1" w:themeShade="7F"/>
    </w:rPr>
  </w:style>
  <w:style w:type="paragraph" w:styleId="FootnoteText">
    <w:name w:val="footnote text"/>
    <w:aliases w:val="Char2 Char,Footnote Text1 Char,Footnote Text Char Ch,Footnote Text Char Ch Char Char Char,Footnote Text Char Ch Char Char,Footnote Text1 Char Char Char,Footnote Text Char Ch Char,EMI Footnote Text,TBG Style,ALTS FOOTNOTE,Footnote Text 2,f"/>
    <w:basedOn w:val="Normal"/>
    <w:link w:val="FootnoteTextChar"/>
    <w:unhideWhenUsed/>
    <w:rsid w:val="002A1A4B"/>
    <w:pPr>
      <w:spacing w:after="0" w:line="240" w:lineRule="auto"/>
    </w:pPr>
    <w:rPr>
      <w:sz w:val="20"/>
      <w:szCs w:val="20"/>
    </w:rPr>
  </w:style>
  <w:style w:type="character" w:customStyle="1" w:styleId="FootnoteTextChar">
    <w:name w:val="Footnote Text Char"/>
    <w:aliases w:val="Char2 Char Char,Footnote Text1 Char Char,Footnote Text Char Ch Char1,Footnote Text Char Ch Char Char Char Char,Footnote Text Char Ch Char Char Char1,Footnote Text1 Char Char Char Char,Footnote Text Char Ch Char Char1,TBG Style Char"/>
    <w:basedOn w:val="DefaultParagraphFont"/>
    <w:link w:val="FootnoteText"/>
    <w:rsid w:val="002A1A4B"/>
    <w:rPr>
      <w:sz w:val="20"/>
      <w:szCs w:val="20"/>
    </w:rPr>
  </w:style>
  <w:style w:type="character" w:styleId="FootnoteReference">
    <w:name w:val="footnote reference"/>
    <w:aliases w:val="Footnote_Reference"/>
    <w:basedOn w:val="DefaultParagraphFont"/>
    <w:uiPriority w:val="99"/>
    <w:unhideWhenUsed/>
    <w:qFormat/>
    <w:rsid w:val="002A1A4B"/>
    <w:rPr>
      <w:vertAlign w:val="superscript"/>
    </w:rPr>
  </w:style>
  <w:style w:type="paragraph" w:customStyle="1" w:styleId="FootnoteText1">
    <w:name w:val="Footnote Text1"/>
    <w:basedOn w:val="FootnoteText"/>
    <w:qFormat/>
    <w:rsid w:val="002A1A4B"/>
    <w:pPr>
      <w:spacing w:before="120"/>
      <w:ind w:left="360" w:hanging="360"/>
    </w:pPr>
  </w:style>
  <w:style w:type="table" w:styleId="TableGrid">
    <w:name w:val="Table Grid"/>
    <w:basedOn w:val="TableNormal"/>
    <w:uiPriority w:val="59"/>
    <w:rsid w:val="004970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left">
    <w:name w:val="Table Heading-left"/>
    <w:basedOn w:val="Normal"/>
    <w:qFormat/>
    <w:rsid w:val="00202C91"/>
    <w:pPr>
      <w:spacing w:after="0"/>
    </w:pPr>
    <w:rPr>
      <w:b/>
      <w:color w:val="FFFFFF" w:themeColor="background1"/>
    </w:rPr>
  </w:style>
  <w:style w:type="paragraph" w:customStyle="1" w:styleId="TableHeading-centered">
    <w:name w:val="Table Heading-centered"/>
    <w:basedOn w:val="TableHeading-left"/>
    <w:qFormat/>
    <w:rsid w:val="00202C91"/>
    <w:pPr>
      <w:jc w:val="center"/>
    </w:pPr>
  </w:style>
  <w:style w:type="paragraph" w:customStyle="1" w:styleId="TableHeading-right">
    <w:name w:val="Table Heading-right"/>
    <w:basedOn w:val="TableHeading-centered"/>
    <w:qFormat/>
    <w:rsid w:val="00202C91"/>
    <w:pPr>
      <w:jc w:val="right"/>
    </w:pPr>
  </w:style>
  <w:style w:type="paragraph" w:customStyle="1" w:styleId="TableRow-left">
    <w:name w:val="Table Row-left"/>
    <w:basedOn w:val="Normal"/>
    <w:qFormat/>
    <w:rsid w:val="005E1E58"/>
    <w:pPr>
      <w:spacing w:after="0"/>
    </w:pPr>
    <w:rPr>
      <w:sz w:val="20"/>
    </w:rPr>
  </w:style>
  <w:style w:type="paragraph" w:customStyle="1" w:styleId="TableRow-center">
    <w:name w:val="Table Row-center"/>
    <w:basedOn w:val="Normal"/>
    <w:qFormat/>
    <w:rsid w:val="00202C91"/>
    <w:pPr>
      <w:spacing w:after="0"/>
      <w:jc w:val="center"/>
    </w:pPr>
    <w:rPr>
      <w:sz w:val="20"/>
    </w:rPr>
  </w:style>
  <w:style w:type="paragraph" w:customStyle="1" w:styleId="TableRow-right">
    <w:name w:val="Table Row-right"/>
    <w:basedOn w:val="Normal"/>
    <w:qFormat/>
    <w:rsid w:val="00202C91"/>
    <w:pPr>
      <w:spacing w:after="0"/>
      <w:jc w:val="right"/>
    </w:pPr>
    <w:rPr>
      <w:sz w:val="20"/>
    </w:rPr>
  </w:style>
  <w:style w:type="paragraph" w:customStyle="1" w:styleId="TableSubheading">
    <w:name w:val="Table Subheading"/>
    <w:basedOn w:val="TableRow-left"/>
    <w:qFormat/>
    <w:rsid w:val="00202C91"/>
    <w:rPr>
      <w:b/>
      <w:color w:val="005DAA"/>
    </w:rPr>
  </w:style>
  <w:style w:type="paragraph" w:styleId="Footer">
    <w:name w:val="footer"/>
    <w:basedOn w:val="Normal"/>
    <w:link w:val="FooterChar"/>
    <w:uiPriority w:val="99"/>
    <w:unhideWhenUsed/>
    <w:rsid w:val="00D42382"/>
    <w:pPr>
      <w:pBdr>
        <w:top w:val="single" w:sz="4" w:space="1" w:color="auto"/>
      </w:pBdr>
      <w:tabs>
        <w:tab w:val="center" w:pos="4680"/>
        <w:tab w:val="right" w:pos="9360"/>
      </w:tabs>
      <w:spacing w:after="0" w:line="240" w:lineRule="auto"/>
      <w:jc w:val="center"/>
    </w:pPr>
    <w:rPr>
      <w:i/>
    </w:rPr>
  </w:style>
  <w:style w:type="character" w:customStyle="1" w:styleId="FooterChar">
    <w:name w:val="Footer Char"/>
    <w:basedOn w:val="DefaultParagraphFont"/>
    <w:link w:val="Footer"/>
    <w:uiPriority w:val="99"/>
    <w:rsid w:val="00D42382"/>
    <w:rPr>
      <w:i/>
    </w:rPr>
  </w:style>
  <w:style w:type="paragraph" w:styleId="Caption">
    <w:name w:val="caption"/>
    <w:aliases w:val="Table Caption,Char"/>
    <w:basedOn w:val="Normal"/>
    <w:next w:val="Normal"/>
    <w:link w:val="CaptionChar"/>
    <w:uiPriority w:val="35"/>
    <w:unhideWhenUsed/>
    <w:qFormat/>
    <w:rsid w:val="006B5C3C"/>
    <w:pPr>
      <w:keepNext/>
      <w:keepLines/>
      <w:spacing w:before="120" w:after="40" w:line="240" w:lineRule="auto"/>
      <w:jc w:val="center"/>
    </w:pPr>
    <w:rPr>
      <w:b/>
      <w:bCs/>
      <w:color w:val="4F81BD" w:themeColor="accent1"/>
      <w:szCs w:val="18"/>
    </w:rPr>
  </w:style>
  <w:style w:type="paragraph" w:customStyle="1" w:styleId="CoverPage-title">
    <w:name w:val="Cover Page-title"/>
    <w:basedOn w:val="Normal"/>
    <w:qFormat/>
    <w:rsid w:val="00861518"/>
    <w:pPr>
      <w:spacing w:after="0"/>
      <w:ind w:left="1440" w:right="1440"/>
      <w:jc w:val="center"/>
    </w:pPr>
    <w:rPr>
      <w:b/>
      <w:caps/>
      <w:color w:val="4891CE"/>
      <w:sz w:val="56"/>
      <w:szCs w:val="56"/>
    </w:rPr>
  </w:style>
  <w:style w:type="paragraph" w:customStyle="1" w:styleId="CoverPage-date">
    <w:name w:val="Cover Page-date"/>
    <w:basedOn w:val="Normal"/>
    <w:qFormat/>
    <w:rsid w:val="00861518"/>
    <w:pPr>
      <w:spacing w:after="0"/>
      <w:jc w:val="center"/>
    </w:pPr>
    <w:rPr>
      <w:color w:val="4891CE"/>
    </w:rPr>
  </w:style>
  <w:style w:type="paragraph" w:customStyle="1" w:styleId="CoverPage-clientinfo">
    <w:name w:val="Cover Page-client info"/>
    <w:basedOn w:val="CoverPage-date"/>
    <w:qFormat/>
    <w:rsid w:val="00861518"/>
    <w:rPr>
      <w:b/>
      <w:sz w:val="24"/>
    </w:rPr>
  </w:style>
  <w:style w:type="paragraph" w:customStyle="1" w:styleId="Signaturepage">
    <w:name w:val="Signature page"/>
    <w:basedOn w:val="CoverPage-clientinfo"/>
    <w:qFormat/>
    <w:rsid w:val="007A7914"/>
    <w:pPr>
      <w:jc w:val="right"/>
    </w:pPr>
  </w:style>
  <w:style w:type="paragraph" w:styleId="TOC1">
    <w:name w:val="toc 1"/>
    <w:basedOn w:val="Normal"/>
    <w:next w:val="Normal"/>
    <w:autoRedefine/>
    <w:uiPriority w:val="39"/>
    <w:unhideWhenUsed/>
    <w:rsid w:val="006B5C3C"/>
    <w:pPr>
      <w:tabs>
        <w:tab w:val="right" w:leader="dot" w:pos="9350"/>
      </w:tabs>
      <w:spacing w:after="100"/>
    </w:pPr>
    <w:rPr>
      <w:noProof/>
    </w:rPr>
  </w:style>
  <w:style w:type="paragraph" w:styleId="TOC2">
    <w:name w:val="toc 2"/>
    <w:basedOn w:val="Normal"/>
    <w:next w:val="Normal"/>
    <w:autoRedefine/>
    <w:uiPriority w:val="39"/>
    <w:unhideWhenUsed/>
    <w:rsid w:val="00625615"/>
    <w:pPr>
      <w:tabs>
        <w:tab w:val="right" w:leader="dot" w:pos="9350"/>
      </w:tabs>
      <w:spacing w:after="100"/>
      <w:ind w:left="360"/>
    </w:pPr>
    <w:rPr>
      <w:noProof/>
    </w:rPr>
  </w:style>
  <w:style w:type="paragraph" w:styleId="TOC3">
    <w:name w:val="toc 3"/>
    <w:basedOn w:val="Normal"/>
    <w:next w:val="Normal"/>
    <w:autoRedefine/>
    <w:uiPriority w:val="39"/>
    <w:unhideWhenUsed/>
    <w:rsid w:val="00625615"/>
    <w:pPr>
      <w:tabs>
        <w:tab w:val="right" w:leader="dot" w:pos="9350"/>
      </w:tabs>
      <w:spacing w:after="100"/>
      <w:ind w:left="720"/>
    </w:pPr>
    <w:rPr>
      <w:noProof/>
    </w:rPr>
  </w:style>
  <w:style w:type="character" w:styleId="Hyperlink">
    <w:name w:val="Hyperlink"/>
    <w:basedOn w:val="DefaultParagraphFont"/>
    <w:uiPriority w:val="99"/>
    <w:unhideWhenUsed/>
    <w:rsid w:val="00F04460"/>
    <w:rPr>
      <w:color w:val="0000FF" w:themeColor="hyperlink"/>
      <w:u w:val="single"/>
    </w:rPr>
  </w:style>
  <w:style w:type="paragraph" w:styleId="BalloonText">
    <w:name w:val="Balloon Text"/>
    <w:basedOn w:val="Normal"/>
    <w:link w:val="BalloonTextChar"/>
    <w:uiPriority w:val="99"/>
    <w:semiHidden/>
    <w:unhideWhenUsed/>
    <w:rsid w:val="00A50A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A6E"/>
    <w:rPr>
      <w:rFonts w:ascii="Tahoma" w:hAnsi="Tahoma" w:cs="Tahoma"/>
      <w:sz w:val="16"/>
      <w:szCs w:val="16"/>
    </w:rPr>
  </w:style>
  <w:style w:type="paragraph" w:customStyle="1" w:styleId="Figure">
    <w:name w:val="Figure"/>
    <w:basedOn w:val="NormalAfterTablesandFigures"/>
    <w:qFormat/>
    <w:rsid w:val="0073395A"/>
    <w:pPr>
      <w:spacing w:before="40" w:after="40"/>
      <w:jc w:val="center"/>
    </w:pPr>
    <w:rPr>
      <w:noProof/>
    </w:rPr>
  </w:style>
  <w:style w:type="paragraph" w:customStyle="1" w:styleId="Figurenotes">
    <w:name w:val="Figure notes"/>
    <w:basedOn w:val="Normal"/>
    <w:qFormat/>
    <w:rsid w:val="0073395A"/>
    <w:pPr>
      <w:spacing w:after="0"/>
      <w:jc w:val="center"/>
    </w:pPr>
  </w:style>
  <w:style w:type="paragraph" w:customStyle="1" w:styleId="NormalIntroSentence">
    <w:name w:val="Normal Intro Sentence"/>
    <w:qFormat/>
    <w:rsid w:val="00876AB8"/>
    <w:pPr>
      <w:keepNext/>
      <w:spacing w:after="100"/>
    </w:pPr>
  </w:style>
  <w:style w:type="character" w:styleId="CommentReference">
    <w:name w:val="annotation reference"/>
    <w:basedOn w:val="DefaultParagraphFont"/>
    <w:uiPriority w:val="99"/>
    <w:unhideWhenUsed/>
    <w:rsid w:val="00985CC7"/>
    <w:rPr>
      <w:sz w:val="16"/>
      <w:szCs w:val="16"/>
    </w:rPr>
  </w:style>
  <w:style w:type="paragraph" w:styleId="CommentText">
    <w:name w:val="annotation text"/>
    <w:basedOn w:val="Normal"/>
    <w:link w:val="CommentTextChar"/>
    <w:uiPriority w:val="99"/>
    <w:unhideWhenUsed/>
    <w:rsid w:val="00985CC7"/>
    <w:pPr>
      <w:spacing w:line="240" w:lineRule="auto"/>
    </w:pPr>
    <w:rPr>
      <w:sz w:val="20"/>
      <w:szCs w:val="20"/>
    </w:rPr>
  </w:style>
  <w:style w:type="character" w:customStyle="1" w:styleId="CommentTextChar">
    <w:name w:val="Comment Text Char"/>
    <w:basedOn w:val="DefaultParagraphFont"/>
    <w:link w:val="CommentText"/>
    <w:uiPriority w:val="99"/>
    <w:rsid w:val="00985CC7"/>
    <w:rPr>
      <w:sz w:val="20"/>
      <w:szCs w:val="20"/>
    </w:rPr>
  </w:style>
  <w:style w:type="paragraph" w:styleId="CommentSubject">
    <w:name w:val="annotation subject"/>
    <w:basedOn w:val="CommentText"/>
    <w:next w:val="CommentText"/>
    <w:link w:val="CommentSubjectChar"/>
    <w:uiPriority w:val="99"/>
    <w:semiHidden/>
    <w:unhideWhenUsed/>
    <w:rsid w:val="00985CC7"/>
    <w:rPr>
      <w:b/>
      <w:bCs/>
    </w:rPr>
  </w:style>
  <w:style w:type="character" w:customStyle="1" w:styleId="CommentSubjectChar">
    <w:name w:val="Comment Subject Char"/>
    <w:basedOn w:val="CommentTextChar"/>
    <w:link w:val="CommentSubject"/>
    <w:uiPriority w:val="99"/>
    <w:semiHidden/>
    <w:rsid w:val="00985CC7"/>
    <w:rPr>
      <w:b/>
      <w:bCs/>
      <w:sz w:val="20"/>
      <w:szCs w:val="20"/>
    </w:rPr>
  </w:style>
  <w:style w:type="paragraph" w:customStyle="1" w:styleId="TOCTitle">
    <w:name w:val="TOC Title"/>
    <w:basedOn w:val="Normal"/>
    <w:qFormat/>
    <w:rsid w:val="002A501D"/>
    <w:pPr>
      <w:spacing w:after="0"/>
    </w:pPr>
    <w:rPr>
      <w:b/>
      <w:color w:val="4891CE"/>
      <w:sz w:val="28"/>
    </w:rPr>
  </w:style>
  <w:style w:type="paragraph" w:customStyle="1" w:styleId="NormalCenter">
    <w:name w:val="Normal Center"/>
    <w:basedOn w:val="Normal"/>
    <w:qFormat/>
    <w:rsid w:val="0004578C"/>
    <w:pPr>
      <w:jc w:val="center"/>
    </w:pPr>
  </w:style>
  <w:style w:type="paragraph" w:customStyle="1" w:styleId="BulletNoSpace">
    <w:name w:val="Bullet No Space"/>
    <w:basedOn w:val="Bulletlevel1"/>
    <w:qFormat/>
    <w:rsid w:val="0004578C"/>
    <w:pPr>
      <w:spacing w:after="0"/>
    </w:pPr>
  </w:style>
  <w:style w:type="paragraph" w:styleId="Header">
    <w:name w:val="header"/>
    <w:basedOn w:val="Normal"/>
    <w:link w:val="HeaderChar"/>
    <w:uiPriority w:val="99"/>
    <w:unhideWhenUsed/>
    <w:rsid w:val="00D42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382"/>
  </w:style>
  <w:style w:type="paragraph" w:customStyle="1" w:styleId="Bullet-Last">
    <w:name w:val="Bullet-Last"/>
    <w:uiPriority w:val="99"/>
    <w:rsid w:val="00B46854"/>
    <w:pPr>
      <w:numPr>
        <w:numId w:val="6"/>
      </w:numPr>
      <w:spacing w:after="240" w:line="240" w:lineRule="auto"/>
      <w:ind w:left="720"/>
    </w:pPr>
    <w:rPr>
      <w:rFonts w:ascii="Times New Roman" w:eastAsia="Calibri" w:hAnsi="Times New Roman" w:cs="Times New Roman"/>
      <w:sz w:val="24"/>
      <w:szCs w:val="24"/>
    </w:rPr>
  </w:style>
  <w:style w:type="paragraph" w:customStyle="1" w:styleId="bullets2">
    <w:name w:val="bullets 2"/>
    <w:uiPriority w:val="99"/>
    <w:rsid w:val="00B46854"/>
    <w:pPr>
      <w:numPr>
        <w:numId w:val="7"/>
      </w:numPr>
      <w:spacing w:after="120" w:line="240" w:lineRule="auto"/>
      <w:ind w:left="1080"/>
    </w:pPr>
    <w:rPr>
      <w:rFonts w:ascii="Times New Roman" w:eastAsia="Times New Roman" w:hAnsi="Times New Roman" w:cs="Times New Roman"/>
      <w:bCs/>
      <w:sz w:val="24"/>
      <w:szCs w:val="20"/>
      <w:lang w:eastAsia="ar-SA"/>
    </w:rPr>
  </w:style>
  <w:style w:type="paragraph" w:customStyle="1" w:styleId="bullet">
    <w:name w:val="bullet"/>
    <w:rsid w:val="00B46854"/>
    <w:pPr>
      <w:numPr>
        <w:numId w:val="8"/>
      </w:numPr>
      <w:spacing w:after="120" w:line="240" w:lineRule="auto"/>
      <w:ind w:left="720"/>
    </w:pPr>
    <w:rPr>
      <w:rFonts w:ascii="Times New Roman" w:eastAsia="Calibri" w:hAnsi="Times New Roman" w:cs="Times New Roman"/>
      <w:sz w:val="24"/>
    </w:rPr>
  </w:style>
  <w:style w:type="character" w:customStyle="1" w:styleId="CaptionChar">
    <w:name w:val="Caption Char"/>
    <w:aliases w:val="Table Caption Char,Char Char"/>
    <w:basedOn w:val="DefaultParagraphFont"/>
    <w:link w:val="Caption"/>
    <w:uiPriority w:val="35"/>
    <w:locked/>
    <w:rsid w:val="00B46854"/>
    <w:rPr>
      <w:b/>
      <w:bCs/>
      <w:color w:val="4F81BD" w:themeColor="accent1"/>
      <w:szCs w:val="18"/>
    </w:rPr>
  </w:style>
  <w:style w:type="paragraph" w:customStyle="1" w:styleId="bullets">
    <w:name w:val="bullets"/>
    <w:basedOn w:val="Normal"/>
    <w:link w:val="bulletsChar"/>
    <w:rsid w:val="00F43888"/>
    <w:pPr>
      <w:tabs>
        <w:tab w:val="num" w:pos="1080"/>
      </w:tabs>
      <w:spacing w:after="160" w:line="240" w:lineRule="auto"/>
      <w:ind w:left="1080" w:hanging="360"/>
    </w:pPr>
    <w:rPr>
      <w:rFonts w:ascii="Times New Roman" w:eastAsia="Times New Roman" w:hAnsi="Times New Roman" w:cs="Times New Roman"/>
      <w:sz w:val="24"/>
      <w:szCs w:val="24"/>
    </w:rPr>
  </w:style>
  <w:style w:type="character" w:customStyle="1" w:styleId="bulletsChar">
    <w:name w:val="bullets Char"/>
    <w:basedOn w:val="DefaultParagraphFont"/>
    <w:link w:val="bullets"/>
    <w:locked/>
    <w:rsid w:val="00F43888"/>
    <w:rPr>
      <w:rFonts w:ascii="Times New Roman" w:eastAsia="Times New Roman" w:hAnsi="Times New Roman" w:cs="Times New Roman"/>
      <w:sz w:val="24"/>
      <w:szCs w:val="24"/>
    </w:rPr>
  </w:style>
  <w:style w:type="paragraph" w:customStyle="1" w:styleId="Prop-bullets">
    <w:name w:val="Prop-bullets"/>
    <w:link w:val="Prop-bulletsChar"/>
    <w:rsid w:val="00F43888"/>
    <w:pPr>
      <w:tabs>
        <w:tab w:val="num" w:pos="1080"/>
      </w:tabs>
      <w:spacing w:before="80" w:after="160" w:line="240" w:lineRule="auto"/>
      <w:ind w:left="1080" w:hanging="360"/>
    </w:pPr>
    <w:rPr>
      <w:rFonts w:ascii="Garamond" w:eastAsia="Times New Roman" w:hAnsi="Garamond" w:cs="Times New Roman"/>
      <w:kern w:val="28"/>
      <w:sz w:val="24"/>
      <w:szCs w:val="24"/>
    </w:rPr>
  </w:style>
  <w:style w:type="character" w:customStyle="1" w:styleId="Prop-bulletsChar">
    <w:name w:val="Prop-bullets Char"/>
    <w:basedOn w:val="DefaultParagraphFont"/>
    <w:link w:val="Prop-bullets"/>
    <w:locked/>
    <w:rsid w:val="00F43888"/>
    <w:rPr>
      <w:rFonts w:ascii="Garamond" w:eastAsia="Times New Roman" w:hAnsi="Garamond" w:cs="Times New Roman"/>
      <w:kern w:val="28"/>
      <w:sz w:val="24"/>
      <w:szCs w:val="24"/>
    </w:rPr>
  </w:style>
  <w:style w:type="paragraph" w:customStyle="1" w:styleId="Prop-NormalChar">
    <w:name w:val="Prop-Normal Char"/>
    <w:link w:val="Prop-NormalCharChar"/>
    <w:rsid w:val="00F43888"/>
    <w:pPr>
      <w:spacing w:before="40" w:after="160" w:line="240" w:lineRule="auto"/>
      <w:ind w:firstLine="360"/>
    </w:pPr>
    <w:rPr>
      <w:rFonts w:ascii="Garamond" w:eastAsia="Times New Roman" w:hAnsi="Garamond" w:cs="Times New Roman"/>
      <w:sz w:val="24"/>
      <w:szCs w:val="20"/>
    </w:rPr>
  </w:style>
  <w:style w:type="character" w:customStyle="1" w:styleId="Prop-NormalCharChar">
    <w:name w:val="Prop-Normal Char Char"/>
    <w:basedOn w:val="DefaultParagraphFont"/>
    <w:link w:val="Prop-NormalChar"/>
    <w:locked/>
    <w:rsid w:val="00F43888"/>
    <w:rPr>
      <w:rFonts w:ascii="Garamond" w:eastAsia="Times New Roman" w:hAnsi="Garamond" w:cs="Times New Roman"/>
      <w:sz w:val="24"/>
      <w:szCs w:val="20"/>
    </w:rPr>
  </w:style>
  <w:style w:type="paragraph" w:styleId="Revision">
    <w:name w:val="Revision"/>
    <w:hidden/>
    <w:uiPriority w:val="99"/>
    <w:semiHidden/>
    <w:rsid w:val="00FE4369"/>
    <w:pPr>
      <w:spacing w:after="0" w:line="240" w:lineRule="auto"/>
    </w:pPr>
  </w:style>
  <w:style w:type="character" w:styleId="FollowedHyperlink">
    <w:name w:val="FollowedHyperlink"/>
    <w:basedOn w:val="DefaultParagraphFont"/>
    <w:uiPriority w:val="99"/>
    <w:semiHidden/>
    <w:unhideWhenUsed/>
    <w:rsid w:val="00B869FD"/>
    <w:rPr>
      <w:color w:val="800080" w:themeColor="followedHyperlink"/>
      <w:u w:val="single"/>
    </w:rPr>
  </w:style>
  <w:style w:type="character" w:customStyle="1" w:styleId="ListParagraphChar">
    <w:name w:val="List Paragraph Char"/>
    <w:basedOn w:val="DefaultParagraphFont"/>
    <w:link w:val="ListParagraph"/>
    <w:uiPriority w:val="34"/>
    <w:locked/>
    <w:rsid w:val="00625DB3"/>
  </w:style>
  <w:style w:type="character" w:styleId="PlaceholderText">
    <w:name w:val="Placeholder Text"/>
    <w:basedOn w:val="DefaultParagraphFont"/>
    <w:uiPriority w:val="99"/>
    <w:semiHidden/>
    <w:rsid w:val="00992CBB"/>
    <w:rPr>
      <w:color w:val="808080"/>
    </w:rPr>
  </w:style>
  <w:style w:type="paragraph" w:styleId="NormalWeb">
    <w:name w:val="Normal (Web)"/>
    <w:basedOn w:val="Normal"/>
    <w:uiPriority w:val="99"/>
    <w:unhideWhenUsed/>
    <w:rsid w:val="00F717C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38F"/>
  </w:style>
  <w:style w:type="paragraph" w:styleId="Heading1">
    <w:name w:val="heading 1"/>
    <w:basedOn w:val="Normal"/>
    <w:next w:val="Normal"/>
    <w:link w:val="Heading1Char"/>
    <w:uiPriority w:val="9"/>
    <w:qFormat/>
    <w:rsid w:val="0004578C"/>
    <w:pPr>
      <w:keepNext/>
      <w:keepLines/>
      <w:pageBreakBefore/>
      <w:jc w:val="center"/>
      <w:outlineLvl w:val="0"/>
    </w:pPr>
    <w:rPr>
      <w:rFonts w:eastAsiaTheme="majorEastAsia" w:cstheme="minorHAnsi"/>
      <w:b/>
      <w:bCs/>
      <w:color w:val="898A17"/>
      <w:sz w:val="29"/>
      <w:szCs w:val="29"/>
    </w:rPr>
  </w:style>
  <w:style w:type="paragraph" w:styleId="Heading2">
    <w:name w:val="heading 2"/>
    <w:basedOn w:val="Normal"/>
    <w:next w:val="Normal"/>
    <w:link w:val="Heading2Char"/>
    <w:uiPriority w:val="9"/>
    <w:unhideWhenUsed/>
    <w:qFormat/>
    <w:rsid w:val="007773ED"/>
    <w:pPr>
      <w:keepNext/>
      <w:keepLines/>
      <w:spacing w:before="200" w:after="0"/>
      <w:outlineLvl w:val="1"/>
    </w:pPr>
    <w:rPr>
      <w:b/>
      <w:i/>
      <w:color w:val="898A17"/>
      <w:sz w:val="29"/>
    </w:rPr>
  </w:style>
  <w:style w:type="paragraph" w:styleId="Heading3">
    <w:name w:val="heading 3"/>
    <w:basedOn w:val="Normal"/>
    <w:next w:val="Normal"/>
    <w:link w:val="Heading3Char"/>
    <w:uiPriority w:val="9"/>
    <w:unhideWhenUsed/>
    <w:qFormat/>
    <w:rsid w:val="00EB58BF"/>
    <w:pPr>
      <w:keepNext/>
      <w:keepLines/>
      <w:spacing w:before="200" w:after="0"/>
      <w:outlineLvl w:val="2"/>
    </w:pPr>
    <w:rPr>
      <w:b/>
      <w:color w:val="4F81BD"/>
      <w:sz w:val="24"/>
    </w:rPr>
  </w:style>
  <w:style w:type="paragraph" w:styleId="Heading4">
    <w:name w:val="heading 4"/>
    <w:basedOn w:val="Normal"/>
    <w:next w:val="Normal"/>
    <w:link w:val="Heading4Char"/>
    <w:uiPriority w:val="9"/>
    <w:unhideWhenUsed/>
    <w:qFormat/>
    <w:rsid w:val="00EB58BF"/>
    <w:pPr>
      <w:keepNext/>
      <w:keepLines/>
      <w:spacing w:before="200" w:after="0"/>
      <w:outlineLvl w:val="3"/>
    </w:pPr>
    <w:rPr>
      <w:b/>
      <w:i/>
      <w:color w:val="4F81BD"/>
      <w:sz w:val="24"/>
    </w:rPr>
  </w:style>
  <w:style w:type="paragraph" w:styleId="Heading5">
    <w:name w:val="heading 5"/>
    <w:basedOn w:val="Normal"/>
    <w:next w:val="Normal"/>
    <w:link w:val="Heading5Char"/>
    <w:uiPriority w:val="9"/>
    <w:unhideWhenUsed/>
    <w:qFormat/>
    <w:rsid w:val="00EB58BF"/>
    <w:pPr>
      <w:keepNext/>
      <w:keepLines/>
      <w:spacing w:before="200" w:after="0"/>
      <w:outlineLvl w:val="4"/>
    </w:pPr>
    <w:rPr>
      <w:rFonts w:eastAsiaTheme="majorEastAsia" w:cstheme="majorBidi"/>
      <w:b/>
      <w:color w:val="243F60" w:themeColor="accent1" w:themeShade="7F"/>
    </w:rPr>
  </w:style>
  <w:style w:type="paragraph" w:styleId="Heading6">
    <w:name w:val="heading 6"/>
    <w:basedOn w:val="Normal"/>
    <w:next w:val="Normal"/>
    <w:link w:val="Heading6Char"/>
    <w:uiPriority w:val="9"/>
    <w:unhideWhenUsed/>
    <w:qFormat/>
    <w:rsid w:val="002A501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ablesandFigures">
    <w:name w:val="Normal After Tables and Figures"/>
    <w:basedOn w:val="Normal"/>
    <w:qFormat/>
    <w:rsid w:val="004336CD"/>
    <w:pPr>
      <w:spacing w:after="0" w:line="240" w:lineRule="auto"/>
    </w:pPr>
    <w:rPr>
      <w:rFonts w:ascii="Times New Roman" w:hAnsi="Times New Roman"/>
      <w:sz w:val="24"/>
    </w:rPr>
  </w:style>
  <w:style w:type="paragraph" w:customStyle="1" w:styleId="NormalBeforeList">
    <w:name w:val="Normal Before List"/>
    <w:basedOn w:val="Normal"/>
    <w:qFormat/>
    <w:rsid w:val="003C1539"/>
    <w:pPr>
      <w:keepNext/>
      <w:spacing w:after="120"/>
    </w:pPr>
  </w:style>
  <w:style w:type="paragraph" w:styleId="ListParagraph">
    <w:name w:val="List Paragraph"/>
    <w:basedOn w:val="Normal"/>
    <w:link w:val="ListParagraphChar"/>
    <w:uiPriority w:val="34"/>
    <w:qFormat/>
    <w:rsid w:val="003C1539"/>
    <w:pPr>
      <w:ind w:left="720"/>
      <w:contextualSpacing/>
    </w:pPr>
  </w:style>
  <w:style w:type="paragraph" w:customStyle="1" w:styleId="Bulletlevel1">
    <w:name w:val="Bullet level 1"/>
    <w:basedOn w:val="ListParagraph"/>
    <w:qFormat/>
    <w:rsid w:val="00E55B72"/>
    <w:pPr>
      <w:numPr>
        <w:numId w:val="1"/>
      </w:numPr>
      <w:spacing w:after="60"/>
      <w:contextualSpacing w:val="0"/>
    </w:pPr>
  </w:style>
  <w:style w:type="paragraph" w:customStyle="1" w:styleId="Bulletlevel1-last">
    <w:name w:val="Bullet level 1-last"/>
    <w:basedOn w:val="Bulletlevel1"/>
    <w:qFormat/>
    <w:rsid w:val="003C1539"/>
    <w:pPr>
      <w:spacing w:after="200"/>
    </w:pPr>
  </w:style>
  <w:style w:type="paragraph" w:customStyle="1" w:styleId="Bulletlevel2">
    <w:name w:val="Bullet level 2"/>
    <w:basedOn w:val="ListParagraph"/>
    <w:qFormat/>
    <w:rsid w:val="00E55B72"/>
    <w:pPr>
      <w:numPr>
        <w:numId w:val="2"/>
      </w:numPr>
      <w:spacing w:after="60"/>
      <w:ind w:left="1080"/>
      <w:contextualSpacing w:val="0"/>
    </w:pPr>
  </w:style>
  <w:style w:type="paragraph" w:customStyle="1" w:styleId="Bulletlevel2-last">
    <w:name w:val="Bullet level 2-last"/>
    <w:basedOn w:val="Bulletlevel2"/>
    <w:qFormat/>
    <w:rsid w:val="003C1539"/>
    <w:pPr>
      <w:spacing w:after="200"/>
    </w:pPr>
  </w:style>
  <w:style w:type="character" w:customStyle="1" w:styleId="Heading6Char">
    <w:name w:val="Heading 6 Char"/>
    <w:basedOn w:val="DefaultParagraphFont"/>
    <w:link w:val="Heading6"/>
    <w:uiPriority w:val="9"/>
    <w:rsid w:val="002A501D"/>
    <w:rPr>
      <w:rFonts w:asciiTheme="majorHAnsi" w:eastAsiaTheme="majorEastAsia" w:hAnsiTheme="majorHAnsi" w:cstheme="majorBidi"/>
      <w:i/>
      <w:iCs/>
      <w:color w:val="243F60" w:themeColor="accent1" w:themeShade="7F"/>
    </w:rPr>
  </w:style>
  <w:style w:type="paragraph" w:customStyle="1" w:styleId="Numberedlevel1">
    <w:name w:val="Numbered level 1"/>
    <w:basedOn w:val="ListParagraph"/>
    <w:qFormat/>
    <w:rsid w:val="003C1539"/>
    <w:pPr>
      <w:numPr>
        <w:numId w:val="3"/>
      </w:numPr>
      <w:spacing w:after="60"/>
      <w:contextualSpacing w:val="0"/>
    </w:pPr>
  </w:style>
  <w:style w:type="paragraph" w:customStyle="1" w:styleId="Numberedlevel1-last">
    <w:name w:val="Numbered level 1-last"/>
    <w:basedOn w:val="Numberedlevel1"/>
    <w:qFormat/>
    <w:rsid w:val="003C1539"/>
    <w:pPr>
      <w:spacing w:after="200"/>
    </w:pPr>
  </w:style>
  <w:style w:type="paragraph" w:customStyle="1" w:styleId="Numberedlevel2">
    <w:name w:val="Numbered level 2"/>
    <w:basedOn w:val="ListParagraph"/>
    <w:qFormat/>
    <w:rsid w:val="003C1539"/>
    <w:pPr>
      <w:numPr>
        <w:numId w:val="4"/>
      </w:numPr>
      <w:spacing w:after="60"/>
      <w:ind w:left="1080"/>
      <w:contextualSpacing w:val="0"/>
    </w:pPr>
  </w:style>
  <w:style w:type="paragraph" w:customStyle="1" w:styleId="Numberedlevel2-last">
    <w:name w:val="Numbered level 2-last"/>
    <w:basedOn w:val="Numberedlevel2"/>
    <w:qFormat/>
    <w:rsid w:val="003C1539"/>
    <w:pPr>
      <w:spacing w:after="200"/>
    </w:pPr>
  </w:style>
  <w:style w:type="paragraph" w:customStyle="1" w:styleId="Numberedlevel3">
    <w:name w:val="Numbered level 3"/>
    <w:basedOn w:val="ListParagraph"/>
    <w:qFormat/>
    <w:rsid w:val="00061DC9"/>
    <w:pPr>
      <w:numPr>
        <w:numId w:val="5"/>
      </w:numPr>
      <w:spacing w:after="60"/>
      <w:ind w:left="1440"/>
      <w:contextualSpacing w:val="0"/>
    </w:pPr>
  </w:style>
  <w:style w:type="paragraph" w:customStyle="1" w:styleId="Numberedlevel3-last">
    <w:name w:val="Numbered level 3-last"/>
    <w:basedOn w:val="Numberedlevel3"/>
    <w:qFormat/>
    <w:rsid w:val="00061DC9"/>
    <w:pPr>
      <w:spacing w:after="200"/>
    </w:pPr>
  </w:style>
  <w:style w:type="character" w:customStyle="1" w:styleId="Heading1Char">
    <w:name w:val="Heading 1 Char"/>
    <w:basedOn w:val="DefaultParagraphFont"/>
    <w:link w:val="Heading1"/>
    <w:uiPriority w:val="9"/>
    <w:rsid w:val="0004578C"/>
    <w:rPr>
      <w:rFonts w:eastAsiaTheme="majorEastAsia" w:cstheme="minorHAnsi"/>
      <w:b/>
      <w:bCs/>
      <w:color w:val="898A17"/>
      <w:sz w:val="29"/>
      <w:szCs w:val="29"/>
    </w:rPr>
  </w:style>
  <w:style w:type="character" w:customStyle="1" w:styleId="Heading2Char">
    <w:name w:val="Heading 2 Char"/>
    <w:basedOn w:val="DefaultParagraphFont"/>
    <w:link w:val="Heading2"/>
    <w:uiPriority w:val="9"/>
    <w:rsid w:val="007773ED"/>
    <w:rPr>
      <w:b/>
      <w:i/>
      <w:color w:val="898A17"/>
      <w:sz w:val="29"/>
    </w:rPr>
  </w:style>
  <w:style w:type="character" w:customStyle="1" w:styleId="Heading3Char">
    <w:name w:val="Heading 3 Char"/>
    <w:basedOn w:val="DefaultParagraphFont"/>
    <w:link w:val="Heading3"/>
    <w:uiPriority w:val="9"/>
    <w:rsid w:val="00EB58BF"/>
    <w:rPr>
      <w:b/>
      <w:color w:val="4F81BD"/>
      <w:sz w:val="24"/>
    </w:rPr>
  </w:style>
  <w:style w:type="character" w:customStyle="1" w:styleId="Heading4Char">
    <w:name w:val="Heading 4 Char"/>
    <w:basedOn w:val="DefaultParagraphFont"/>
    <w:link w:val="Heading4"/>
    <w:uiPriority w:val="9"/>
    <w:rsid w:val="00EB58BF"/>
    <w:rPr>
      <w:b/>
      <w:i/>
      <w:color w:val="4F81BD"/>
      <w:sz w:val="24"/>
    </w:rPr>
  </w:style>
  <w:style w:type="character" w:customStyle="1" w:styleId="Heading5Char">
    <w:name w:val="Heading 5 Char"/>
    <w:basedOn w:val="DefaultParagraphFont"/>
    <w:link w:val="Heading5"/>
    <w:uiPriority w:val="9"/>
    <w:rsid w:val="00EB58BF"/>
    <w:rPr>
      <w:rFonts w:eastAsiaTheme="majorEastAsia" w:cstheme="majorBidi"/>
      <w:b/>
      <w:color w:val="243F60" w:themeColor="accent1" w:themeShade="7F"/>
    </w:rPr>
  </w:style>
  <w:style w:type="paragraph" w:styleId="FootnoteText">
    <w:name w:val="footnote text"/>
    <w:aliases w:val="Char2 Char,Footnote Text1 Char,Footnote Text Char Ch,Footnote Text Char Ch Char Char Char,Footnote Text Char Ch Char Char,Footnote Text1 Char Char Char,Footnote Text Char Ch Char,EMI Footnote Text,TBG Style,ALTS FOOTNOTE,Footnote Text 2,f"/>
    <w:basedOn w:val="Normal"/>
    <w:link w:val="FootnoteTextChar"/>
    <w:unhideWhenUsed/>
    <w:rsid w:val="002A1A4B"/>
    <w:pPr>
      <w:spacing w:after="0" w:line="240" w:lineRule="auto"/>
    </w:pPr>
    <w:rPr>
      <w:sz w:val="20"/>
      <w:szCs w:val="20"/>
    </w:rPr>
  </w:style>
  <w:style w:type="character" w:customStyle="1" w:styleId="FootnoteTextChar">
    <w:name w:val="Footnote Text Char"/>
    <w:aliases w:val="Char2 Char Char,Footnote Text1 Char Char,Footnote Text Char Ch Char1,Footnote Text Char Ch Char Char Char Char,Footnote Text Char Ch Char Char Char1,Footnote Text1 Char Char Char Char,Footnote Text Char Ch Char Char1,TBG Style Char"/>
    <w:basedOn w:val="DefaultParagraphFont"/>
    <w:link w:val="FootnoteText"/>
    <w:rsid w:val="002A1A4B"/>
    <w:rPr>
      <w:sz w:val="20"/>
      <w:szCs w:val="20"/>
    </w:rPr>
  </w:style>
  <w:style w:type="character" w:styleId="FootnoteReference">
    <w:name w:val="footnote reference"/>
    <w:aliases w:val="Footnote_Reference"/>
    <w:basedOn w:val="DefaultParagraphFont"/>
    <w:uiPriority w:val="99"/>
    <w:unhideWhenUsed/>
    <w:qFormat/>
    <w:rsid w:val="002A1A4B"/>
    <w:rPr>
      <w:vertAlign w:val="superscript"/>
    </w:rPr>
  </w:style>
  <w:style w:type="paragraph" w:customStyle="1" w:styleId="FootnoteText1">
    <w:name w:val="Footnote Text1"/>
    <w:basedOn w:val="FootnoteText"/>
    <w:qFormat/>
    <w:rsid w:val="002A1A4B"/>
    <w:pPr>
      <w:spacing w:before="120"/>
      <w:ind w:left="360" w:hanging="360"/>
    </w:pPr>
  </w:style>
  <w:style w:type="table" w:styleId="TableGrid">
    <w:name w:val="Table Grid"/>
    <w:basedOn w:val="TableNormal"/>
    <w:uiPriority w:val="59"/>
    <w:rsid w:val="004970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left">
    <w:name w:val="Table Heading-left"/>
    <w:basedOn w:val="Normal"/>
    <w:qFormat/>
    <w:rsid w:val="00202C91"/>
    <w:pPr>
      <w:spacing w:after="0"/>
    </w:pPr>
    <w:rPr>
      <w:b/>
      <w:color w:val="FFFFFF" w:themeColor="background1"/>
    </w:rPr>
  </w:style>
  <w:style w:type="paragraph" w:customStyle="1" w:styleId="TableHeading-centered">
    <w:name w:val="Table Heading-centered"/>
    <w:basedOn w:val="TableHeading-left"/>
    <w:qFormat/>
    <w:rsid w:val="00202C91"/>
    <w:pPr>
      <w:jc w:val="center"/>
    </w:pPr>
  </w:style>
  <w:style w:type="paragraph" w:customStyle="1" w:styleId="TableHeading-right">
    <w:name w:val="Table Heading-right"/>
    <w:basedOn w:val="TableHeading-centered"/>
    <w:qFormat/>
    <w:rsid w:val="00202C91"/>
    <w:pPr>
      <w:jc w:val="right"/>
    </w:pPr>
  </w:style>
  <w:style w:type="paragraph" w:customStyle="1" w:styleId="TableRow-left">
    <w:name w:val="Table Row-left"/>
    <w:basedOn w:val="Normal"/>
    <w:qFormat/>
    <w:rsid w:val="005E1E58"/>
    <w:pPr>
      <w:spacing w:after="0"/>
    </w:pPr>
    <w:rPr>
      <w:sz w:val="20"/>
    </w:rPr>
  </w:style>
  <w:style w:type="paragraph" w:customStyle="1" w:styleId="TableRow-center">
    <w:name w:val="Table Row-center"/>
    <w:basedOn w:val="Normal"/>
    <w:qFormat/>
    <w:rsid w:val="00202C91"/>
    <w:pPr>
      <w:spacing w:after="0"/>
      <w:jc w:val="center"/>
    </w:pPr>
    <w:rPr>
      <w:sz w:val="20"/>
    </w:rPr>
  </w:style>
  <w:style w:type="paragraph" w:customStyle="1" w:styleId="TableRow-right">
    <w:name w:val="Table Row-right"/>
    <w:basedOn w:val="Normal"/>
    <w:qFormat/>
    <w:rsid w:val="00202C91"/>
    <w:pPr>
      <w:spacing w:after="0"/>
      <w:jc w:val="right"/>
    </w:pPr>
    <w:rPr>
      <w:sz w:val="20"/>
    </w:rPr>
  </w:style>
  <w:style w:type="paragraph" w:customStyle="1" w:styleId="TableSubheading">
    <w:name w:val="Table Subheading"/>
    <w:basedOn w:val="TableRow-left"/>
    <w:qFormat/>
    <w:rsid w:val="00202C91"/>
    <w:rPr>
      <w:b/>
      <w:color w:val="005DAA"/>
    </w:rPr>
  </w:style>
  <w:style w:type="paragraph" w:styleId="Footer">
    <w:name w:val="footer"/>
    <w:basedOn w:val="Normal"/>
    <w:link w:val="FooterChar"/>
    <w:uiPriority w:val="99"/>
    <w:unhideWhenUsed/>
    <w:rsid w:val="00D42382"/>
    <w:pPr>
      <w:pBdr>
        <w:top w:val="single" w:sz="4" w:space="1" w:color="auto"/>
      </w:pBdr>
      <w:tabs>
        <w:tab w:val="center" w:pos="4680"/>
        <w:tab w:val="right" w:pos="9360"/>
      </w:tabs>
      <w:spacing w:after="0" w:line="240" w:lineRule="auto"/>
      <w:jc w:val="center"/>
    </w:pPr>
    <w:rPr>
      <w:i/>
    </w:rPr>
  </w:style>
  <w:style w:type="character" w:customStyle="1" w:styleId="FooterChar">
    <w:name w:val="Footer Char"/>
    <w:basedOn w:val="DefaultParagraphFont"/>
    <w:link w:val="Footer"/>
    <w:uiPriority w:val="99"/>
    <w:rsid w:val="00D42382"/>
    <w:rPr>
      <w:i/>
    </w:rPr>
  </w:style>
  <w:style w:type="paragraph" w:styleId="Caption">
    <w:name w:val="caption"/>
    <w:aliases w:val="Table Caption,Char"/>
    <w:basedOn w:val="Normal"/>
    <w:next w:val="Normal"/>
    <w:link w:val="CaptionChar"/>
    <w:uiPriority w:val="35"/>
    <w:unhideWhenUsed/>
    <w:qFormat/>
    <w:rsid w:val="006B5C3C"/>
    <w:pPr>
      <w:keepNext/>
      <w:keepLines/>
      <w:spacing w:before="120" w:after="40" w:line="240" w:lineRule="auto"/>
      <w:jc w:val="center"/>
    </w:pPr>
    <w:rPr>
      <w:b/>
      <w:bCs/>
      <w:color w:val="4F81BD" w:themeColor="accent1"/>
      <w:szCs w:val="18"/>
    </w:rPr>
  </w:style>
  <w:style w:type="paragraph" w:customStyle="1" w:styleId="CoverPage-title">
    <w:name w:val="Cover Page-title"/>
    <w:basedOn w:val="Normal"/>
    <w:qFormat/>
    <w:rsid w:val="00861518"/>
    <w:pPr>
      <w:spacing w:after="0"/>
      <w:ind w:left="1440" w:right="1440"/>
      <w:jc w:val="center"/>
    </w:pPr>
    <w:rPr>
      <w:b/>
      <w:caps/>
      <w:color w:val="4891CE"/>
      <w:sz w:val="56"/>
      <w:szCs w:val="56"/>
    </w:rPr>
  </w:style>
  <w:style w:type="paragraph" w:customStyle="1" w:styleId="CoverPage-date">
    <w:name w:val="Cover Page-date"/>
    <w:basedOn w:val="Normal"/>
    <w:qFormat/>
    <w:rsid w:val="00861518"/>
    <w:pPr>
      <w:spacing w:after="0"/>
      <w:jc w:val="center"/>
    </w:pPr>
    <w:rPr>
      <w:color w:val="4891CE"/>
    </w:rPr>
  </w:style>
  <w:style w:type="paragraph" w:customStyle="1" w:styleId="CoverPage-clientinfo">
    <w:name w:val="Cover Page-client info"/>
    <w:basedOn w:val="CoverPage-date"/>
    <w:qFormat/>
    <w:rsid w:val="00861518"/>
    <w:rPr>
      <w:b/>
      <w:sz w:val="24"/>
    </w:rPr>
  </w:style>
  <w:style w:type="paragraph" w:customStyle="1" w:styleId="Signaturepage">
    <w:name w:val="Signature page"/>
    <w:basedOn w:val="CoverPage-clientinfo"/>
    <w:qFormat/>
    <w:rsid w:val="007A7914"/>
    <w:pPr>
      <w:jc w:val="right"/>
    </w:pPr>
  </w:style>
  <w:style w:type="paragraph" w:styleId="TOC1">
    <w:name w:val="toc 1"/>
    <w:basedOn w:val="Normal"/>
    <w:next w:val="Normal"/>
    <w:autoRedefine/>
    <w:uiPriority w:val="39"/>
    <w:unhideWhenUsed/>
    <w:rsid w:val="006B5C3C"/>
    <w:pPr>
      <w:tabs>
        <w:tab w:val="right" w:leader="dot" w:pos="9350"/>
      </w:tabs>
      <w:spacing w:after="100"/>
    </w:pPr>
    <w:rPr>
      <w:noProof/>
    </w:rPr>
  </w:style>
  <w:style w:type="paragraph" w:styleId="TOC2">
    <w:name w:val="toc 2"/>
    <w:basedOn w:val="Normal"/>
    <w:next w:val="Normal"/>
    <w:autoRedefine/>
    <w:uiPriority w:val="39"/>
    <w:unhideWhenUsed/>
    <w:rsid w:val="00625615"/>
    <w:pPr>
      <w:tabs>
        <w:tab w:val="right" w:leader="dot" w:pos="9350"/>
      </w:tabs>
      <w:spacing w:after="100"/>
      <w:ind w:left="360"/>
    </w:pPr>
    <w:rPr>
      <w:noProof/>
    </w:rPr>
  </w:style>
  <w:style w:type="paragraph" w:styleId="TOC3">
    <w:name w:val="toc 3"/>
    <w:basedOn w:val="Normal"/>
    <w:next w:val="Normal"/>
    <w:autoRedefine/>
    <w:uiPriority w:val="39"/>
    <w:unhideWhenUsed/>
    <w:rsid w:val="00625615"/>
    <w:pPr>
      <w:tabs>
        <w:tab w:val="right" w:leader="dot" w:pos="9350"/>
      </w:tabs>
      <w:spacing w:after="100"/>
      <w:ind w:left="720"/>
    </w:pPr>
    <w:rPr>
      <w:noProof/>
    </w:rPr>
  </w:style>
  <w:style w:type="character" w:styleId="Hyperlink">
    <w:name w:val="Hyperlink"/>
    <w:basedOn w:val="DefaultParagraphFont"/>
    <w:uiPriority w:val="99"/>
    <w:unhideWhenUsed/>
    <w:rsid w:val="00F04460"/>
    <w:rPr>
      <w:color w:val="0000FF" w:themeColor="hyperlink"/>
      <w:u w:val="single"/>
    </w:rPr>
  </w:style>
  <w:style w:type="paragraph" w:styleId="BalloonText">
    <w:name w:val="Balloon Text"/>
    <w:basedOn w:val="Normal"/>
    <w:link w:val="BalloonTextChar"/>
    <w:uiPriority w:val="99"/>
    <w:semiHidden/>
    <w:unhideWhenUsed/>
    <w:rsid w:val="00A50A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A6E"/>
    <w:rPr>
      <w:rFonts w:ascii="Tahoma" w:hAnsi="Tahoma" w:cs="Tahoma"/>
      <w:sz w:val="16"/>
      <w:szCs w:val="16"/>
    </w:rPr>
  </w:style>
  <w:style w:type="paragraph" w:customStyle="1" w:styleId="Figure">
    <w:name w:val="Figure"/>
    <w:basedOn w:val="NormalAfterTablesandFigures"/>
    <w:qFormat/>
    <w:rsid w:val="0073395A"/>
    <w:pPr>
      <w:spacing w:before="40" w:after="40"/>
      <w:jc w:val="center"/>
    </w:pPr>
    <w:rPr>
      <w:noProof/>
    </w:rPr>
  </w:style>
  <w:style w:type="paragraph" w:customStyle="1" w:styleId="Figurenotes">
    <w:name w:val="Figure notes"/>
    <w:basedOn w:val="Normal"/>
    <w:qFormat/>
    <w:rsid w:val="0073395A"/>
    <w:pPr>
      <w:spacing w:after="0"/>
      <w:jc w:val="center"/>
    </w:pPr>
  </w:style>
  <w:style w:type="paragraph" w:customStyle="1" w:styleId="NormalIntroSentence">
    <w:name w:val="Normal Intro Sentence"/>
    <w:qFormat/>
    <w:rsid w:val="00876AB8"/>
    <w:pPr>
      <w:keepNext/>
      <w:spacing w:after="100"/>
    </w:pPr>
  </w:style>
  <w:style w:type="character" w:styleId="CommentReference">
    <w:name w:val="annotation reference"/>
    <w:basedOn w:val="DefaultParagraphFont"/>
    <w:uiPriority w:val="99"/>
    <w:unhideWhenUsed/>
    <w:rsid w:val="00985CC7"/>
    <w:rPr>
      <w:sz w:val="16"/>
      <w:szCs w:val="16"/>
    </w:rPr>
  </w:style>
  <w:style w:type="paragraph" w:styleId="CommentText">
    <w:name w:val="annotation text"/>
    <w:basedOn w:val="Normal"/>
    <w:link w:val="CommentTextChar"/>
    <w:uiPriority w:val="99"/>
    <w:unhideWhenUsed/>
    <w:rsid w:val="00985CC7"/>
    <w:pPr>
      <w:spacing w:line="240" w:lineRule="auto"/>
    </w:pPr>
    <w:rPr>
      <w:sz w:val="20"/>
      <w:szCs w:val="20"/>
    </w:rPr>
  </w:style>
  <w:style w:type="character" w:customStyle="1" w:styleId="CommentTextChar">
    <w:name w:val="Comment Text Char"/>
    <w:basedOn w:val="DefaultParagraphFont"/>
    <w:link w:val="CommentText"/>
    <w:uiPriority w:val="99"/>
    <w:rsid w:val="00985CC7"/>
    <w:rPr>
      <w:sz w:val="20"/>
      <w:szCs w:val="20"/>
    </w:rPr>
  </w:style>
  <w:style w:type="paragraph" w:styleId="CommentSubject">
    <w:name w:val="annotation subject"/>
    <w:basedOn w:val="CommentText"/>
    <w:next w:val="CommentText"/>
    <w:link w:val="CommentSubjectChar"/>
    <w:uiPriority w:val="99"/>
    <w:semiHidden/>
    <w:unhideWhenUsed/>
    <w:rsid w:val="00985CC7"/>
    <w:rPr>
      <w:b/>
      <w:bCs/>
    </w:rPr>
  </w:style>
  <w:style w:type="character" w:customStyle="1" w:styleId="CommentSubjectChar">
    <w:name w:val="Comment Subject Char"/>
    <w:basedOn w:val="CommentTextChar"/>
    <w:link w:val="CommentSubject"/>
    <w:uiPriority w:val="99"/>
    <w:semiHidden/>
    <w:rsid w:val="00985CC7"/>
    <w:rPr>
      <w:b/>
      <w:bCs/>
      <w:sz w:val="20"/>
      <w:szCs w:val="20"/>
    </w:rPr>
  </w:style>
  <w:style w:type="paragraph" w:customStyle="1" w:styleId="TOCTitle">
    <w:name w:val="TOC Title"/>
    <w:basedOn w:val="Normal"/>
    <w:qFormat/>
    <w:rsid w:val="002A501D"/>
    <w:pPr>
      <w:spacing w:after="0"/>
    </w:pPr>
    <w:rPr>
      <w:b/>
      <w:color w:val="4891CE"/>
      <w:sz w:val="28"/>
    </w:rPr>
  </w:style>
  <w:style w:type="paragraph" w:customStyle="1" w:styleId="NormalCenter">
    <w:name w:val="Normal Center"/>
    <w:basedOn w:val="Normal"/>
    <w:qFormat/>
    <w:rsid w:val="0004578C"/>
    <w:pPr>
      <w:jc w:val="center"/>
    </w:pPr>
  </w:style>
  <w:style w:type="paragraph" w:customStyle="1" w:styleId="BulletNoSpace">
    <w:name w:val="Bullet No Space"/>
    <w:basedOn w:val="Bulletlevel1"/>
    <w:qFormat/>
    <w:rsid w:val="0004578C"/>
    <w:pPr>
      <w:spacing w:after="0"/>
    </w:pPr>
  </w:style>
  <w:style w:type="paragraph" w:styleId="Header">
    <w:name w:val="header"/>
    <w:basedOn w:val="Normal"/>
    <w:link w:val="HeaderChar"/>
    <w:uiPriority w:val="99"/>
    <w:unhideWhenUsed/>
    <w:rsid w:val="00D42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382"/>
  </w:style>
  <w:style w:type="paragraph" w:customStyle="1" w:styleId="Bullet-Last">
    <w:name w:val="Bullet-Last"/>
    <w:uiPriority w:val="99"/>
    <w:rsid w:val="00B46854"/>
    <w:pPr>
      <w:numPr>
        <w:numId w:val="6"/>
      </w:numPr>
      <w:spacing w:after="240" w:line="240" w:lineRule="auto"/>
      <w:ind w:left="720"/>
    </w:pPr>
    <w:rPr>
      <w:rFonts w:ascii="Times New Roman" w:eastAsia="Calibri" w:hAnsi="Times New Roman" w:cs="Times New Roman"/>
      <w:sz w:val="24"/>
      <w:szCs w:val="24"/>
    </w:rPr>
  </w:style>
  <w:style w:type="paragraph" w:customStyle="1" w:styleId="bullets2">
    <w:name w:val="bullets 2"/>
    <w:uiPriority w:val="99"/>
    <w:rsid w:val="00B46854"/>
    <w:pPr>
      <w:numPr>
        <w:numId w:val="7"/>
      </w:numPr>
      <w:spacing w:after="120" w:line="240" w:lineRule="auto"/>
      <w:ind w:left="1080"/>
    </w:pPr>
    <w:rPr>
      <w:rFonts w:ascii="Times New Roman" w:eastAsia="Times New Roman" w:hAnsi="Times New Roman" w:cs="Times New Roman"/>
      <w:bCs/>
      <w:sz w:val="24"/>
      <w:szCs w:val="20"/>
      <w:lang w:eastAsia="ar-SA"/>
    </w:rPr>
  </w:style>
  <w:style w:type="paragraph" w:customStyle="1" w:styleId="bullet">
    <w:name w:val="bullet"/>
    <w:rsid w:val="00B46854"/>
    <w:pPr>
      <w:numPr>
        <w:numId w:val="8"/>
      </w:numPr>
      <w:spacing w:after="120" w:line="240" w:lineRule="auto"/>
      <w:ind w:left="720"/>
    </w:pPr>
    <w:rPr>
      <w:rFonts w:ascii="Times New Roman" w:eastAsia="Calibri" w:hAnsi="Times New Roman" w:cs="Times New Roman"/>
      <w:sz w:val="24"/>
    </w:rPr>
  </w:style>
  <w:style w:type="character" w:customStyle="1" w:styleId="CaptionChar">
    <w:name w:val="Caption Char"/>
    <w:aliases w:val="Table Caption Char,Char Char"/>
    <w:basedOn w:val="DefaultParagraphFont"/>
    <w:link w:val="Caption"/>
    <w:uiPriority w:val="35"/>
    <w:locked/>
    <w:rsid w:val="00B46854"/>
    <w:rPr>
      <w:b/>
      <w:bCs/>
      <w:color w:val="4F81BD" w:themeColor="accent1"/>
      <w:szCs w:val="18"/>
    </w:rPr>
  </w:style>
  <w:style w:type="paragraph" w:customStyle="1" w:styleId="bullets">
    <w:name w:val="bullets"/>
    <w:basedOn w:val="Normal"/>
    <w:link w:val="bulletsChar"/>
    <w:rsid w:val="00F43888"/>
    <w:pPr>
      <w:tabs>
        <w:tab w:val="num" w:pos="1080"/>
      </w:tabs>
      <w:spacing w:after="160" w:line="240" w:lineRule="auto"/>
      <w:ind w:left="1080" w:hanging="360"/>
    </w:pPr>
    <w:rPr>
      <w:rFonts w:ascii="Times New Roman" w:eastAsia="Times New Roman" w:hAnsi="Times New Roman" w:cs="Times New Roman"/>
      <w:sz w:val="24"/>
      <w:szCs w:val="24"/>
    </w:rPr>
  </w:style>
  <w:style w:type="character" w:customStyle="1" w:styleId="bulletsChar">
    <w:name w:val="bullets Char"/>
    <w:basedOn w:val="DefaultParagraphFont"/>
    <w:link w:val="bullets"/>
    <w:locked/>
    <w:rsid w:val="00F43888"/>
    <w:rPr>
      <w:rFonts w:ascii="Times New Roman" w:eastAsia="Times New Roman" w:hAnsi="Times New Roman" w:cs="Times New Roman"/>
      <w:sz w:val="24"/>
      <w:szCs w:val="24"/>
    </w:rPr>
  </w:style>
  <w:style w:type="paragraph" w:customStyle="1" w:styleId="Prop-bullets">
    <w:name w:val="Prop-bullets"/>
    <w:link w:val="Prop-bulletsChar"/>
    <w:rsid w:val="00F43888"/>
    <w:pPr>
      <w:tabs>
        <w:tab w:val="num" w:pos="1080"/>
      </w:tabs>
      <w:spacing w:before="80" w:after="160" w:line="240" w:lineRule="auto"/>
      <w:ind w:left="1080" w:hanging="360"/>
    </w:pPr>
    <w:rPr>
      <w:rFonts w:ascii="Garamond" w:eastAsia="Times New Roman" w:hAnsi="Garamond" w:cs="Times New Roman"/>
      <w:kern w:val="28"/>
      <w:sz w:val="24"/>
      <w:szCs w:val="24"/>
    </w:rPr>
  </w:style>
  <w:style w:type="character" w:customStyle="1" w:styleId="Prop-bulletsChar">
    <w:name w:val="Prop-bullets Char"/>
    <w:basedOn w:val="DefaultParagraphFont"/>
    <w:link w:val="Prop-bullets"/>
    <w:locked/>
    <w:rsid w:val="00F43888"/>
    <w:rPr>
      <w:rFonts w:ascii="Garamond" w:eastAsia="Times New Roman" w:hAnsi="Garamond" w:cs="Times New Roman"/>
      <w:kern w:val="28"/>
      <w:sz w:val="24"/>
      <w:szCs w:val="24"/>
    </w:rPr>
  </w:style>
  <w:style w:type="paragraph" w:customStyle="1" w:styleId="Prop-NormalChar">
    <w:name w:val="Prop-Normal Char"/>
    <w:link w:val="Prop-NormalCharChar"/>
    <w:rsid w:val="00F43888"/>
    <w:pPr>
      <w:spacing w:before="40" w:after="160" w:line="240" w:lineRule="auto"/>
      <w:ind w:firstLine="360"/>
    </w:pPr>
    <w:rPr>
      <w:rFonts w:ascii="Garamond" w:eastAsia="Times New Roman" w:hAnsi="Garamond" w:cs="Times New Roman"/>
      <w:sz w:val="24"/>
      <w:szCs w:val="20"/>
    </w:rPr>
  </w:style>
  <w:style w:type="character" w:customStyle="1" w:styleId="Prop-NormalCharChar">
    <w:name w:val="Prop-Normal Char Char"/>
    <w:basedOn w:val="DefaultParagraphFont"/>
    <w:link w:val="Prop-NormalChar"/>
    <w:locked/>
    <w:rsid w:val="00F43888"/>
    <w:rPr>
      <w:rFonts w:ascii="Garamond" w:eastAsia="Times New Roman" w:hAnsi="Garamond" w:cs="Times New Roman"/>
      <w:sz w:val="24"/>
      <w:szCs w:val="20"/>
    </w:rPr>
  </w:style>
  <w:style w:type="paragraph" w:styleId="Revision">
    <w:name w:val="Revision"/>
    <w:hidden/>
    <w:uiPriority w:val="99"/>
    <w:semiHidden/>
    <w:rsid w:val="00FE4369"/>
    <w:pPr>
      <w:spacing w:after="0" w:line="240" w:lineRule="auto"/>
    </w:pPr>
  </w:style>
  <w:style w:type="character" w:styleId="FollowedHyperlink">
    <w:name w:val="FollowedHyperlink"/>
    <w:basedOn w:val="DefaultParagraphFont"/>
    <w:uiPriority w:val="99"/>
    <w:semiHidden/>
    <w:unhideWhenUsed/>
    <w:rsid w:val="00B869FD"/>
    <w:rPr>
      <w:color w:val="800080" w:themeColor="followedHyperlink"/>
      <w:u w:val="single"/>
    </w:rPr>
  </w:style>
  <w:style w:type="character" w:customStyle="1" w:styleId="ListParagraphChar">
    <w:name w:val="List Paragraph Char"/>
    <w:basedOn w:val="DefaultParagraphFont"/>
    <w:link w:val="ListParagraph"/>
    <w:uiPriority w:val="34"/>
    <w:locked/>
    <w:rsid w:val="00625DB3"/>
  </w:style>
  <w:style w:type="character" w:styleId="PlaceholderText">
    <w:name w:val="Placeholder Text"/>
    <w:basedOn w:val="DefaultParagraphFont"/>
    <w:uiPriority w:val="99"/>
    <w:semiHidden/>
    <w:rsid w:val="00992CBB"/>
    <w:rPr>
      <w:color w:val="808080"/>
    </w:rPr>
  </w:style>
  <w:style w:type="paragraph" w:styleId="NormalWeb">
    <w:name w:val="Normal (Web)"/>
    <w:basedOn w:val="Normal"/>
    <w:uiPriority w:val="99"/>
    <w:unhideWhenUsed/>
    <w:rsid w:val="00F717C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6673">
      <w:bodyDiv w:val="1"/>
      <w:marLeft w:val="0"/>
      <w:marRight w:val="0"/>
      <w:marTop w:val="0"/>
      <w:marBottom w:val="0"/>
      <w:divBdr>
        <w:top w:val="none" w:sz="0" w:space="0" w:color="auto"/>
        <w:left w:val="none" w:sz="0" w:space="0" w:color="auto"/>
        <w:bottom w:val="none" w:sz="0" w:space="0" w:color="auto"/>
        <w:right w:val="none" w:sz="0" w:space="0" w:color="auto"/>
      </w:divBdr>
    </w:div>
    <w:div w:id="14380449">
      <w:bodyDiv w:val="1"/>
      <w:marLeft w:val="0"/>
      <w:marRight w:val="0"/>
      <w:marTop w:val="0"/>
      <w:marBottom w:val="0"/>
      <w:divBdr>
        <w:top w:val="none" w:sz="0" w:space="0" w:color="auto"/>
        <w:left w:val="none" w:sz="0" w:space="0" w:color="auto"/>
        <w:bottom w:val="none" w:sz="0" w:space="0" w:color="auto"/>
        <w:right w:val="none" w:sz="0" w:space="0" w:color="auto"/>
      </w:divBdr>
    </w:div>
    <w:div w:id="20013765">
      <w:bodyDiv w:val="1"/>
      <w:marLeft w:val="0"/>
      <w:marRight w:val="0"/>
      <w:marTop w:val="0"/>
      <w:marBottom w:val="0"/>
      <w:divBdr>
        <w:top w:val="none" w:sz="0" w:space="0" w:color="auto"/>
        <w:left w:val="none" w:sz="0" w:space="0" w:color="auto"/>
        <w:bottom w:val="none" w:sz="0" w:space="0" w:color="auto"/>
        <w:right w:val="none" w:sz="0" w:space="0" w:color="auto"/>
      </w:divBdr>
    </w:div>
    <w:div w:id="38479322">
      <w:bodyDiv w:val="1"/>
      <w:marLeft w:val="0"/>
      <w:marRight w:val="0"/>
      <w:marTop w:val="0"/>
      <w:marBottom w:val="0"/>
      <w:divBdr>
        <w:top w:val="none" w:sz="0" w:space="0" w:color="auto"/>
        <w:left w:val="none" w:sz="0" w:space="0" w:color="auto"/>
        <w:bottom w:val="none" w:sz="0" w:space="0" w:color="auto"/>
        <w:right w:val="none" w:sz="0" w:space="0" w:color="auto"/>
      </w:divBdr>
    </w:div>
    <w:div w:id="39213071">
      <w:bodyDiv w:val="1"/>
      <w:marLeft w:val="0"/>
      <w:marRight w:val="0"/>
      <w:marTop w:val="0"/>
      <w:marBottom w:val="0"/>
      <w:divBdr>
        <w:top w:val="none" w:sz="0" w:space="0" w:color="auto"/>
        <w:left w:val="none" w:sz="0" w:space="0" w:color="auto"/>
        <w:bottom w:val="none" w:sz="0" w:space="0" w:color="auto"/>
        <w:right w:val="none" w:sz="0" w:space="0" w:color="auto"/>
      </w:divBdr>
    </w:div>
    <w:div w:id="66878291">
      <w:bodyDiv w:val="1"/>
      <w:marLeft w:val="0"/>
      <w:marRight w:val="0"/>
      <w:marTop w:val="0"/>
      <w:marBottom w:val="0"/>
      <w:divBdr>
        <w:top w:val="none" w:sz="0" w:space="0" w:color="auto"/>
        <w:left w:val="none" w:sz="0" w:space="0" w:color="auto"/>
        <w:bottom w:val="none" w:sz="0" w:space="0" w:color="auto"/>
        <w:right w:val="none" w:sz="0" w:space="0" w:color="auto"/>
      </w:divBdr>
    </w:div>
    <w:div w:id="69274957">
      <w:bodyDiv w:val="1"/>
      <w:marLeft w:val="0"/>
      <w:marRight w:val="0"/>
      <w:marTop w:val="0"/>
      <w:marBottom w:val="0"/>
      <w:divBdr>
        <w:top w:val="none" w:sz="0" w:space="0" w:color="auto"/>
        <w:left w:val="none" w:sz="0" w:space="0" w:color="auto"/>
        <w:bottom w:val="none" w:sz="0" w:space="0" w:color="auto"/>
        <w:right w:val="none" w:sz="0" w:space="0" w:color="auto"/>
      </w:divBdr>
    </w:div>
    <w:div w:id="72627262">
      <w:bodyDiv w:val="1"/>
      <w:marLeft w:val="0"/>
      <w:marRight w:val="0"/>
      <w:marTop w:val="0"/>
      <w:marBottom w:val="0"/>
      <w:divBdr>
        <w:top w:val="none" w:sz="0" w:space="0" w:color="auto"/>
        <w:left w:val="none" w:sz="0" w:space="0" w:color="auto"/>
        <w:bottom w:val="none" w:sz="0" w:space="0" w:color="auto"/>
        <w:right w:val="none" w:sz="0" w:space="0" w:color="auto"/>
      </w:divBdr>
    </w:div>
    <w:div w:id="77947733">
      <w:bodyDiv w:val="1"/>
      <w:marLeft w:val="0"/>
      <w:marRight w:val="0"/>
      <w:marTop w:val="0"/>
      <w:marBottom w:val="0"/>
      <w:divBdr>
        <w:top w:val="none" w:sz="0" w:space="0" w:color="auto"/>
        <w:left w:val="none" w:sz="0" w:space="0" w:color="auto"/>
        <w:bottom w:val="none" w:sz="0" w:space="0" w:color="auto"/>
        <w:right w:val="none" w:sz="0" w:space="0" w:color="auto"/>
      </w:divBdr>
    </w:div>
    <w:div w:id="78062456">
      <w:bodyDiv w:val="1"/>
      <w:marLeft w:val="0"/>
      <w:marRight w:val="0"/>
      <w:marTop w:val="0"/>
      <w:marBottom w:val="0"/>
      <w:divBdr>
        <w:top w:val="none" w:sz="0" w:space="0" w:color="auto"/>
        <w:left w:val="none" w:sz="0" w:space="0" w:color="auto"/>
        <w:bottom w:val="none" w:sz="0" w:space="0" w:color="auto"/>
        <w:right w:val="none" w:sz="0" w:space="0" w:color="auto"/>
      </w:divBdr>
    </w:div>
    <w:div w:id="88895790">
      <w:bodyDiv w:val="1"/>
      <w:marLeft w:val="0"/>
      <w:marRight w:val="0"/>
      <w:marTop w:val="0"/>
      <w:marBottom w:val="0"/>
      <w:divBdr>
        <w:top w:val="none" w:sz="0" w:space="0" w:color="auto"/>
        <w:left w:val="none" w:sz="0" w:space="0" w:color="auto"/>
        <w:bottom w:val="none" w:sz="0" w:space="0" w:color="auto"/>
        <w:right w:val="none" w:sz="0" w:space="0" w:color="auto"/>
      </w:divBdr>
    </w:div>
    <w:div w:id="95176969">
      <w:bodyDiv w:val="1"/>
      <w:marLeft w:val="0"/>
      <w:marRight w:val="0"/>
      <w:marTop w:val="0"/>
      <w:marBottom w:val="0"/>
      <w:divBdr>
        <w:top w:val="none" w:sz="0" w:space="0" w:color="auto"/>
        <w:left w:val="none" w:sz="0" w:space="0" w:color="auto"/>
        <w:bottom w:val="none" w:sz="0" w:space="0" w:color="auto"/>
        <w:right w:val="none" w:sz="0" w:space="0" w:color="auto"/>
      </w:divBdr>
    </w:div>
    <w:div w:id="95830781">
      <w:bodyDiv w:val="1"/>
      <w:marLeft w:val="0"/>
      <w:marRight w:val="0"/>
      <w:marTop w:val="0"/>
      <w:marBottom w:val="0"/>
      <w:divBdr>
        <w:top w:val="none" w:sz="0" w:space="0" w:color="auto"/>
        <w:left w:val="none" w:sz="0" w:space="0" w:color="auto"/>
        <w:bottom w:val="none" w:sz="0" w:space="0" w:color="auto"/>
        <w:right w:val="none" w:sz="0" w:space="0" w:color="auto"/>
      </w:divBdr>
    </w:div>
    <w:div w:id="96370052">
      <w:bodyDiv w:val="1"/>
      <w:marLeft w:val="0"/>
      <w:marRight w:val="0"/>
      <w:marTop w:val="0"/>
      <w:marBottom w:val="0"/>
      <w:divBdr>
        <w:top w:val="none" w:sz="0" w:space="0" w:color="auto"/>
        <w:left w:val="none" w:sz="0" w:space="0" w:color="auto"/>
        <w:bottom w:val="none" w:sz="0" w:space="0" w:color="auto"/>
        <w:right w:val="none" w:sz="0" w:space="0" w:color="auto"/>
      </w:divBdr>
    </w:div>
    <w:div w:id="112600928">
      <w:bodyDiv w:val="1"/>
      <w:marLeft w:val="0"/>
      <w:marRight w:val="0"/>
      <w:marTop w:val="0"/>
      <w:marBottom w:val="0"/>
      <w:divBdr>
        <w:top w:val="none" w:sz="0" w:space="0" w:color="auto"/>
        <w:left w:val="none" w:sz="0" w:space="0" w:color="auto"/>
        <w:bottom w:val="none" w:sz="0" w:space="0" w:color="auto"/>
        <w:right w:val="none" w:sz="0" w:space="0" w:color="auto"/>
      </w:divBdr>
    </w:div>
    <w:div w:id="129326335">
      <w:bodyDiv w:val="1"/>
      <w:marLeft w:val="0"/>
      <w:marRight w:val="0"/>
      <w:marTop w:val="0"/>
      <w:marBottom w:val="0"/>
      <w:divBdr>
        <w:top w:val="none" w:sz="0" w:space="0" w:color="auto"/>
        <w:left w:val="none" w:sz="0" w:space="0" w:color="auto"/>
        <w:bottom w:val="none" w:sz="0" w:space="0" w:color="auto"/>
        <w:right w:val="none" w:sz="0" w:space="0" w:color="auto"/>
      </w:divBdr>
    </w:div>
    <w:div w:id="133522984">
      <w:bodyDiv w:val="1"/>
      <w:marLeft w:val="0"/>
      <w:marRight w:val="0"/>
      <w:marTop w:val="0"/>
      <w:marBottom w:val="0"/>
      <w:divBdr>
        <w:top w:val="none" w:sz="0" w:space="0" w:color="auto"/>
        <w:left w:val="none" w:sz="0" w:space="0" w:color="auto"/>
        <w:bottom w:val="none" w:sz="0" w:space="0" w:color="auto"/>
        <w:right w:val="none" w:sz="0" w:space="0" w:color="auto"/>
      </w:divBdr>
    </w:div>
    <w:div w:id="148179695">
      <w:bodyDiv w:val="1"/>
      <w:marLeft w:val="0"/>
      <w:marRight w:val="0"/>
      <w:marTop w:val="0"/>
      <w:marBottom w:val="0"/>
      <w:divBdr>
        <w:top w:val="none" w:sz="0" w:space="0" w:color="auto"/>
        <w:left w:val="none" w:sz="0" w:space="0" w:color="auto"/>
        <w:bottom w:val="none" w:sz="0" w:space="0" w:color="auto"/>
        <w:right w:val="none" w:sz="0" w:space="0" w:color="auto"/>
      </w:divBdr>
    </w:div>
    <w:div w:id="153571986">
      <w:bodyDiv w:val="1"/>
      <w:marLeft w:val="0"/>
      <w:marRight w:val="0"/>
      <w:marTop w:val="0"/>
      <w:marBottom w:val="0"/>
      <w:divBdr>
        <w:top w:val="none" w:sz="0" w:space="0" w:color="auto"/>
        <w:left w:val="none" w:sz="0" w:space="0" w:color="auto"/>
        <w:bottom w:val="none" w:sz="0" w:space="0" w:color="auto"/>
        <w:right w:val="none" w:sz="0" w:space="0" w:color="auto"/>
      </w:divBdr>
    </w:div>
    <w:div w:id="159466823">
      <w:bodyDiv w:val="1"/>
      <w:marLeft w:val="0"/>
      <w:marRight w:val="0"/>
      <w:marTop w:val="0"/>
      <w:marBottom w:val="0"/>
      <w:divBdr>
        <w:top w:val="none" w:sz="0" w:space="0" w:color="auto"/>
        <w:left w:val="none" w:sz="0" w:space="0" w:color="auto"/>
        <w:bottom w:val="none" w:sz="0" w:space="0" w:color="auto"/>
        <w:right w:val="none" w:sz="0" w:space="0" w:color="auto"/>
      </w:divBdr>
    </w:div>
    <w:div w:id="175265980">
      <w:bodyDiv w:val="1"/>
      <w:marLeft w:val="0"/>
      <w:marRight w:val="0"/>
      <w:marTop w:val="0"/>
      <w:marBottom w:val="0"/>
      <w:divBdr>
        <w:top w:val="none" w:sz="0" w:space="0" w:color="auto"/>
        <w:left w:val="none" w:sz="0" w:space="0" w:color="auto"/>
        <w:bottom w:val="none" w:sz="0" w:space="0" w:color="auto"/>
        <w:right w:val="none" w:sz="0" w:space="0" w:color="auto"/>
      </w:divBdr>
    </w:div>
    <w:div w:id="179397327">
      <w:bodyDiv w:val="1"/>
      <w:marLeft w:val="0"/>
      <w:marRight w:val="0"/>
      <w:marTop w:val="0"/>
      <w:marBottom w:val="0"/>
      <w:divBdr>
        <w:top w:val="none" w:sz="0" w:space="0" w:color="auto"/>
        <w:left w:val="none" w:sz="0" w:space="0" w:color="auto"/>
        <w:bottom w:val="none" w:sz="0" w:space="0" w:color="auto"/>
        <w:right w:val="none" w:sz="0" w:space="0" w:color="auto"/>
      </w:divBdr>
    </w:div>
    <w:div w:id="188690409">
      <w:bodyDiv w:val="1"/>
      <w:marLeft w:val="0"/>
      <w:marRight w:val="0"/>
      <w:marTop w:val="0"/>
      <w:marBottom w:val="0"/>
      <w:divBdr>
        <w:top w:val="none" w:sz="0" w:space="0" w:color="auto"/>
        <w:left w:val="none" w:sz="0" w:space="0" w:color="auto"/>
        <w:bottom w:val="none" w:sz="0" w:space="0" w:color="auto"/>
        <w:right w:val="none" w:sz="0" w:space="0" w:color="auto"/>
      </w:divBdr>
    </w:div>
    <w:div w:id="194541892">
      <w:bodyDiv w:val="1"/>
      <w:marLeft w:val="0"/>
      <w:marRight w:val="0"/>
      <w:marTop w:val="0"/>
      <w:marBottom w:val="0"/>
      <w:divBdr>
        <w:top w:val="none" w:sz="0" w:space="0" w:color="auto"/>
        <w:left w:val="none" w:sz="0" w:space="0" w:color="auto"/>
        <w:bottom w:val="none" w:sz="0" w:space="0" w:color="auto"/>
        <w:right w:val="none" w:sz="0" w:space="0" w:color="auto"/>
      </w:divBdr>
    </w:div>
    <w:div w:id="216091306">
      <w:bodyDiv w:val="1"/>
      <w:marLeft w:val="0"/>
      <w:marRight w:val="0"/>
      <w:marTop w:val="0"/>
      <w:marBottom w:val="0"/>
      <w:divBdr>
        <w:top w:val="none" w:sz="0" w:space="0" w:color="auto"/>
        <w:left w:val="none" w:sz="0" w:space="0" w:color="auto"/>
        <w:bottom w:val="none" w:sz="0" w:space="0" w:color="auto"/>
        <w:right w:val="none" w:sz="0" w:space="0" w:color="auto"/>
      </w:divBdr>
    </w:div>
    <w:div w:id="225146907">
      <w:bodyDiv w:val="1"/>
      <w:marLeft w:val="0"/>
      <w:marRight w:val="0"/>
      <w:marTop w:val="0"/>
      <w:marBottom w:val="0"/>
      <w:divBdr>
        <w:top w:val="none" w:sz="0" w:space="0" w:color="auto"/>
        <w:left w:val="none" w:sz="0" w:space="0" w:color="auto"/>
        <w:bottom w:val="none" w:sz="0" w:space="0" w:color="auto"/>
        <w:right w:val="none" w:sz="0" w:space="0" w:color="auto"/>
      </w:divBdr>
    </w:div>
    <w:div w:id="225649700">
      <w:bodyDiv w:val="1"/>
      <w:marLeft w:val="0"/>
      <w:marRight w:val="0"/>
      <w:marTop w:val="0"/>
      <w:marBottom w:val="0"/>
      <w:divBdr>
        <w:top w:val="none" w:sz="0" w:space="0" w:color="auto"/>
        <w:left w:val="none" w:sz="0" w:space="0" w:color="auto"/>
        <w:bottom w:val="none" w:sz="0" w:space="0" w:color="auto"/>
        <w:right w:val="none" w:sz="0" w:space="0" w:color="auto"/>
      </w:divBdr>
    </w:div>
    <w:div w:id="228424890">
      <w:bodyDiv w:val="1"/>
      <w:marLeft w:val="0"/>
      <w:marRight w:val="0"/>
      <w:marTop w:val="0"/>
      <w:marBottom w:val="0"/>
      <w:divBdr>
        <w:top w:val="none" w:sz="0" w:space="0" w:color="auto"/>
        <w:left w:val="none" w:sz="0" w:space="0" w:color="auto"/>
        <w:bottom w:val="none" w:sz="0" w:space="0" w:color="auto"/>
        <w:right w:val="none" w:sz="0" w:space="0" w:color="auto"/>
      </w:divBdr>
    </w:div>
    <w:div w:id="254018366">
      <w:bodyDiv w:val="1"/>
      <w:marLeft w:val="0"/>
      <w:marRight w:val="0"/>
      <w:marTop w:val="0"/>
      <w:marBottom w:val="0"/>
      <w:divBdr>
        <w:top w:val="none" w:sz="0" w:space="0" w:color="auto"/>
        <w:left w:val="none" w:sz="0" w:space="0" w:color="auto"/>
        <w:bottom w:val="none" w:sz="0" w:space="0" w:color="auto"/>
        <w:right w:val="none" w:sz="0" w:space="0" w:color="auto"/>
      </w:divBdr>
    </w:div>
    <w:div w:id="256717425">
      <w:bodyDiv w:val="1"/>
      <w:marLeft w:val="0"/>
      <w:marRight w:val="0"/>
      <w:marTop w:val="0"/>
      <w:marBottom w:val="0"/>
      <w:divBdr>
        <w:top w:val="none" w:sz="0" w:space="0" w:color="auto"/>
        <w:left w:val="none" w:sz="0" w:space="0" w:color="auto"/>
        <w:bottom w:val="none" w:sz="0" w:space="0" w:color="auto"/>
        <w:right w:val="none" w:sz="0" w:space="0" w:color="auto"/>
      </w:divBdr>
    </w:div>
    <w:div w:id="270476896">
      <w:bodyDiv w:val="1"/>
      <w:marLeft w:val="0"/>
      <w:marRight w:val="0"/>
      <w:marTop w:val="0"/>
      <w:marBottom w:val="0"/>
      <w:divBdr>
        <w:top w:val="none" w:sz="0" w:space="0" w:color="auto"/>
        <w:left w:val="none" w:sz="0" w:space="0" w:color="auto"/>
        <w:bottom w:val="none" w:sz="0" w:space="0" w:color="auto"/>
        <w:right w:val="none" w:sz="0" w:space="0" w:color="auto"/>
      </w:divBdr>
    </w:div>
    <w:div w:id="272787175">
      <w:bodyDiv w:val="1"/>
      <w:marLeft w:val="0"/>
      <w:marRight w:val="0"/>
      <w:marTop w:val="0"/>
      <w:marBottom w:val="0"/>
      <w:divBdr>
        <w:top w:val="none" w:sz="0" w:space="0" w:color="auto"/>
        <w:left w:val="none" w:sz="0" w:space="0" w:color="auto"/>
        <w:bottom w:val="none" w:sz="0" w:space="0" w:color="auto"/>
        <w:right w:val="none" w:sz="0" w:space="0" w:color="auto"/>
      </w:divBdr>
    </w:div>
    <w:div w:id="273437888">
      <w:bodyDiv w:val="1"/>
      <w:marLeft w:val="0"/>
      <w:marRight w:val="0"/>
      <w:marTop w:val="0"/>
      <w:marBottom w:val="0"/>
      <w:divBdr>
        <w:top w:val="none" w:sz="0" w:space="0" w:color="auto"/>
        <w:left w:val="none" w:sz="0" w:space="0" w:color="auto"/>
        <w:bottom w:val="none" w:sz="0" w:space="0" w:color="auto"/>
        <w:right w:val="none" w:sz="0" w:space="0" w:color="auto"/>
      </w:divBdr>
    </w:div>
    <w:div w:id="288365767">
      <w:bodyDiv w:val="1"/>
      <w:marLeft w:val="0"/>
      <w:marRight w:val="0"/>
      <w:marTop w:val="0"/>
      <w:marBottom w:val="0"/>
      <w:divBdr>
        <w:top w:val="none" w:sz="0" w:space="0" w:color="auto"/>
        <w:left w:val="none" w:sz="0" w:space="0" w:color="auto"/>
        <w:bottom w:val="none" w:sz="0" w:space="0" w:color="auto"/>
        <w:right w:val="none" w:sz="0" w:space="0" w:color="auto"/>
      </w:divBdr>
    </w:div>
    <w:div w:id="288438798">
      <w:bodyDiv w:val="1"/>
      <w:marLeft w:val="0"/>
      <w:marRight w:val="0"/>
      <w:marTop w:val="0"/>
      <w:marBottom w:val="0"/>
      <w:divBdr>
        <w:top w:val="none" w:sz="0" w:space="0" w:color="auto"/>
        <w:left w:val="none" w:sz="0" w:space="0" w:color="auto"/>
        <w:bottom w:val="none" w:sz="0" w:space="0" w:color="auto"/>
        <w:right w:val="none" w:sz="0" w:space="0" w:color="auto"/>
      </w:divBdr>
    </w:div>
    <w:div w:id="302203292">
      <w:bodyDiv w:val="1"/>
      <w:marLeft w:val="0"/>
      <w:marRight w:val="0"/>
      <w:marTop w:val="0"/>
      <w:marBottom w:val="0"/>
      <w:divBdr>
        <w:top w:val="none" w:sz="0" w:space="0" w:color="auto"/>
        <w:left w:val="none" w:sz="0" w:space="0" w:color="auto"/>
        <w:bottom w:val="none" w:sz="0" w:space="0" w:color="auto"/>
        <w:right w:val="none" w:sz="0" w:space="0" w:color="auto"/>
      </w:divBdr>
    </w:div>
    <w:div w:id="306126729">
      <w:bodyDiv w:val="1"/>
      <w:marLeft w:val="0"/>
      <w:marRight w:val="0"/>
      <w:marTop w:val="0"/>
      <w:marBottom w:val="0"/>
      <w:divBdr>
        <w:top w:val="none" w:sz="0" w:space="0" w:color="auto"/>
        <w:left w:val="none" w:sz="0" w:space="0" w:color="auto"/>
        <w:bottom w:val="none" w:sz="0" w:space="0" w:color="auto"/>
        <w:right w:val="none" w:sz="0" w:space="0" w:color="auto"/>
      </w:divBdr>
    </w:div>
    <w:div w:id="334839960">
      <w:bodyDiv w:val="1"/>
      <w:marLeft w:val="0"/>
      <w:marRight w:val="0"/>
      <w:marTop w:val="0"/>
      <w:marBottom w:val="0"/>
      <w:divBdr>
        <w:top w:val="none" w:sz="0" w:space="0" w:color="auto"/>
        <w:left w:val="none" w:sz="0" w:space="0" w:color="auto"/>
        <w:bottom w:val="none" w:sz="0" w:space="0" w:color="auto"/>
        <w:right w:val="none" w:sz="0" w:space="0" w:color="auto"/>
      </w:divBdr>
    </w:div>
    <w:div w:id="340015061">
      <w:bodyDiv w:val="1"/>
      <w:marLeft w:val="0"/>
      <w:marRight w:val="0"/>
      <w:marTop w:val="0"/>
      <w:marBottom w:val="0"/>
      <w:divBdr>
        <w:top w:val="none" w:sz="0" w:space="0" w:color="auto"/>
        <w:left w:val="none" w:sz="0" w:space="0" w:color="auto"/>
        <w:bottom w:val="none" w:sz="0" w:space="0" w:color="auto"/>
        <w:right w:val="none" w:sz="0" w:space="0" w:color="auto"/>
      </w:divBdr>
    </w:div>
    <w:div w:id="340399866">
      <w:bodyDiv w:val="1"/>
      <w:marLeft w:val="0"/>
      <w:marRight w:val="0"/>
      <w:marTop w:val="0"/>
      <w:marBottom w:val="0"/>
      <w:divBdr>
        <w:top w:val="none" w:sz="0" w:space="0" w:color="auto"/>
        <w:left w:val="none" w:sz="0" w:space="0" w:color="auto"/>
        <w:bottom w:val="none" w:sz="0" w:space="0" w:color="auto"/>
        <w:right w:val="none" w:sz="0" w:space="0" w:color="auto"/>
      </w:divBdr>
    </w:div>
    <w:div w:id="341666071">
      <w:bodyDiv w:val="1"/>
      <w:marLeft w:val="0"/>
      <w:marRight w:val="0"/>
      <w:marTop w:val="0"/>
      <w:marBottom w:val="0"/>
      <w:divBdr>
        <w:top w:val="none" w:sz="0" w:space="0" w:color="auto"/>
        <w:left w:val="none" w:sz="0" w:space="0" w:color="auto"/>
        <w:bottom w:val="none" w:sz="0" w:space="0" w:color="auto"/>
        <w:right w:val="none" w:sz="0" w:space="0" w:color="auto"/>
      </w:divBdr>
    </w:div>
    <w:div w:id="344554291">
      <w:bodyDiv w:val="1"/>
      <w:marLeft w:val="0"/>
      <w:marRight w:val="0"/>
      <w:marTop w:val="0"/>
      <w:marBottom w:val="0"/>
      <w:divBdr>
        <w:top w:val="none" w:sz="0" w:space="0" w:color="auto"/>
        <w:left w:val="none" w:sz="0" w:space="0" w:color="auto"/>
        <w:bottom w:val="none" w:sz="0" w:space="0" w:color="auto"/>
        <w:right w:val="none" w:sz="0" w:space="0" w:color="auto"/>
      </w:divBdr>
    </w:div>
    <w:div w:id="352922915">
      <w:bodyDiv w:val="1"/>
      <w:marLeft w:val="0"/>
      <w:marRight w:val="0"/>
      <w:marTop w:val="0"/>
      <w:marBottom w:val="0"/>
      <w:divBdr>
        <w:top w:val="none" w:sz="0" w:space="0" w:color="auto"/>
        <w:left w:val="none" w:sz="0" w:space="0" w:color="auto"/>
        <w:bottom w:val="none" w:sz="0" w:space="0" w:color="auto"/>
        <w:right w:val="none" w:sz="0" w:space="0" w:color="auto"/>
      </w:divBdr>
    </w:div>
    <w:div w:id="353576671">
      <w:bodyDiv w:val="1"/>
      <w:marLeft w:val="0"/>
      <w:marRight w:val="0"/>
      <w:marTop w:val="0"/>
      <w:marBottom w:val="0"/>
      <w:divBdr>
        <w:top w:val="none" w:sz="0" w:space="0" w:color="auto"/>
        <w:left w:val="none" w:sz="0" w:space="0" w:color="auto"/>
        <w:bottom w:val="none" w:sz="0" w:space="0" w:color="auto"/>
        <w:right w:val="none" w:sz="0" w:space="0" w:color="auto"/>
      </w:divBdr>
    </w:div>
    <w:div w:id="359665861">
      <w:bodyDiv w:val="1"/>
      <w:marLeft w:val="0"/>
      <w:marRight w:val="0"/>
      <w:marTop w:val="0"/>
      <w:marBottom w:val="0"/>
      <w:divBdr>
        <w:top w:val="none" w:sz="0" w:space="0" w:color="auto"/>
        <w:left w:val="none" w:sz="0" w:space="0" w:color="auto"/>
        <w:bottom w:val="none" w:sz="0" w:space="0" w:color="auto"/>
        <w:right w:val="none" w:sz="0" w:space="0" w:color="auto"/>
      </w:divBdr>
    </w:div>
    <w:div w:id="360396972">
      <w:bodyDiv w:val="1"/>
      <w:marLeft w:val="0"/>
      <w:marRight w:val="0"/>
      <w:marTop w:val="0"/>
      <w:marBottom w:val="0"/>
      <w:divBdr>
        <w:top w:val="none" w:sz="0" w:space="0" w:color="auto"/>
        <w:left w:val="none" w:sz="0" w:space="0" w:color="auto"/>
        <w:bottom w:val="none" w:sz="0" w:space="0" w:color="auto"/>
        <w:right w:val="none" w:sz="0" w:space="0" w:color="auto"/>
      </w:divBdr>
    </w:div>
    <w:div w:id="363409645">
      <w:bodyDiv w:val="1"/>
      <w:marLeft w:val="0"/>
      <w:marRight w:val="0"/>
      <w:marTop w:val="0"/>
      <w:marBottom w:val="0"/>
      <w:divBdr>
        <w:top w:val="none" w:sz="0" w:space="0" w:color="auto"/>
        <w:left w:val="none" w:sz="0" w:space="0" w:color="auto"/>
        <w:bottom w:val="none" w:sz="0" w:space="0" w:color="auto"/>
        <w:right w:val="none" w:sz="0" w:space="0" w:color="auto"/>
      </w:divBdr>
    </w:div>
    <w:div w:id="369500630">
      <w:bodyDiv w:val="1"/>
      <w:marLeft w:val="0"/>
      <w:marRight w:val="0"/>
      <w:marTop w:val="0"/>
      <w:marBottom w:val="0"/>
      <w:divBdr>
        <w:top w:val="none" w:sz="0" w:space="0" w:color="auto"/>
        <w:left w:val="none" w:sz="0" w:space="0" w:color="auto"/>
        <w:bottom w:val="none" w:sz="0" w:space="0" w:color="auto"/>
        <w:right w:val="none" w:sz="0" w:space="0" w:color="auto"/>
      </w:divBdr>
    </w:div>
    <w:div w:id="410466480">
      <w:bodyDiv w:val="1"/>
      <w:marLeft w:val="0"/>
      <w:marRight w:val="0"/>
      <w:marTop w:val="0"/>
      <w:marBottom w:val="0"/>
      <w:divBdr>
        <w:top w:val="none" w:sz="0" w:space="0" w:color="auto"/>
        <w:left w:val="none" w:sz="0" w:space="0" w:color="auto"/>
        <w:bottom w:val="none" w:sz="0" w:space="0" w:color="auto"/>
        <w:right w:val="none" w:sz="0" w:space="0" w:color="auto"/>
      </w:divBdr>
    </w:div>
    <w:div w:id="411319945">
      <w:bodyDiv w:val="1"/>
      <w:marLeft w:val="0"/>
      <w:marRight w:val="0"/>
      <w:marTop w:val="0"/>
      <w:marBottom w:val="0"/>
      <w:divBdr>
        <w:top w:val="none" w:sz="0" w:space="0" w:color="auto"/>
        <w:left w:val="none" w:sz="0" w:space="0" w:color="auto"/>
        <w:bottom w:val="none" w:sz="0" w:space="0" w:color="auto"/>
        <w:right w:val="none" w:sz="0" w:space="0" w:color="auto"/>
      </w:divBdr>
    </w:div>
    <w:div w:id="438261314">
      <w:bodyDiv w:val="1"/>
      <w:marLeft w:val="0"/>
      <w:marRight w:val="0"/>
      <w:marTop w:val="0"/>
      <w:marBottom w:val="0"/>
      <w:divBdr>
        <w:top w:val="none" w:sz="0" w:space="0" w:color="auto"/>
        <w:left w:val="none" w:sz="0" w:space="0" w:color="auto"/>
        <w:bottom w:val="none" w:sz="0" w:space="0" w:color="auto"/>
        <w:right w:val="none" w:sz="0" w:space="0" w:color="auto"/>
      </w:divBdr>
    </w:div>
    <w:div w:id="445076034">
      <w:bodyDiv w:val="1"/>
      <w:marLeft w:val="0"/>
      <w:marRight w:val="0"/>
      <w:marTop w:val="0"/>
      <w:marBottom w:val="0"/>
      <w:divBdr>
        <w:top w:val="none" w:sz="0" w:space="0" w:color="auto"/>
        <w:left w:val="none" w:sz="0" w:space="0" w:color="auto"/>
        <w:bottom w:val="none" w:sz="0" w:space="0" w:color="auto"/>
        <w:right w:val="none" w:sz="0" w:space="0" w:color="auto"/>
      </w:divBdr>
    </w:div>
    <w:div w:id="451096736">
      <w:bodyDiv w:val="1"/>
      <w:marLeft w:val="0"/>
      <w:marRight w:val="0"/>
      <w:marTop w:val="0"/>
      <w:marBottom w:val="0"/>
      <w:divBdr>
        <w:top w:val="none" w:sz="0" w:space="0" w:color="auto"/>
        <w:left w:val="none" w:sz="0" w:space="0" w:color="auto"/>
        <w:bottom w:val="none" w:sz="0" w:space="0" w:color="auto"/>
        <w:right w:val="none" w:sz="0" w:space="0" w:color="auto"/>
      </w:divBdr>
    </w:div>
    <w:div w:id="458501426">
      <w:bodyDiv w:val="1"/>
      <w:marLeft w:val="0"/>
      <w:marRight w:val="0"/>
      <w:marTop w:val="0"/>
      <w:marBottom w:val="0"/>
      <w:divBdr>
        <w:top w:val="none" w:sz="0" w:space="0" w:color="auto"/>
        <w:left w:val="none" w:sz="0" w:space="0" w:color="auto"/>
        <w:bottom w:val="none" w:sz="0" w:space="0" w:color="auto"/>
        <w:right w:val="none" w:sz="0" w:space="0" w:color="auto"/>
      </w:divBdr>
    </w:div>
    <w:div w:id="458760906">
      <w:bodyDiv w:val="1"/>
      <w:marLeft w:val="0"/>
      <w:marRight w:val="0"/>
      <w:marTop w:val="0"/>
      <w:marBottom w:val="0"/>
      <w:divBdr>
        <w:top w:val="none" w:sz="0" w:space="0" w:color="auto"/>
        <w:left w:val="none" w:sz="0" w:space="0" w:color="auto"/>
        <w:bottom w:val="none" w:sz="0" w:space="0" w:color="auto"/>
        <w:right w:val="none" w:sz="0" w:space="0" w:color="auto"/>
      </w:divBdr>
    </w:div>
    <w:div w:id="471482060">
      <w:bodyDiv w:val="1"/>
      <w:marLeft w:val="0"/>
      <w:marRight w:val="0"/>
      <w:marTop w:val="0"/>
      <w:marBottom w:val="0"/>
      <w:divBdr>
        <w:top w:val="none" w:sz="0" w:space="0" w:color="auto"/>
        <w:left w:val="none" w:sz="0" w:space="0" w:color="auto"/>
        <w:bottom w:val="none" w:sz="0" w:space="0" w:color="auto"/>
        <w:right w:val="none" w:sz="0" w:space="0" w:color="auto"/>
      </w:divBdr>
    </w:div>
    <w:div w:id="475882773">
      <w:bodyDiv w:val="1"/>
      <w:marLeft w:val="0"/>
      <w:marRight w:val="0"/>
      <w:marTop w:val="0"/>
      <w:marBottom w:val="0"/>
      <w:divBdr>
        <w:top w:val="none" w:sz="0" w:space="0" w:color="auto"/>
        <w:left w:val="none" w:sz="0" w:space="0" w:color="auto"/>
        <w:bottom w:val="none" w:sz="0" w:space="0" w:color="auto"/>
        <w:right w:val="none" w:sz="0" w:space="0" w:color="auto"/>
      </w:divBdr>
    </w:div>
    <w:div w:id="477263713">
      <w:bodyDiv w:val="1"/>
      <w:marLeft w:val="0"/>
      <w:marRight w:val="0"/>
      <w:marTop w:val="0"/>
      <w:marBottom w:val="0"/>
      <w:divBdr>
        <w:top w:val="none" w:sz="0" w:space="0" w:color="auto"/>
        <w:left w:val="none" w:sz="0" w:space="0" w:color="auto"/>
        <w:bottom w:val="none" w:sz="0" w:space="0" w:color="auto"/>
        <w:right w:val="none" w:sz="0" w:space="0" w:color="auto"/>
      </w:divBdr>
    </w:div>
    <w:div w:id="478814375">
      <w:bodyDiv w:val="1"/>
      <w:marLeft w:val="0"/>
      <w:marRight w:val="0"/>
      <w:marTop w:val="0"/>
      <w:marBottom w:val="0"/>
      <w:divBdr>
        <w:top w:val="none" w:sz="0" w:space="0" w:color="auto"/>
        <w:left w:val="none" w:sz="0" w:space="0" w:color="auto"/>
        <w:bottom w:val="none" w:sz="0" w:space="0" w:color="auto"/>
        <w:right w:val="none" w:sz="0" w:space="0" w:color="auto"/>
      </w:divBdr>
    </w:div>
    <w:div w:id="483356817">
      <w:bodyDiv w:val="1"/>
      <w:marLeft w:val="0"/>
      <w:marRight w:val="0"/>
      <w:marTop w:val="0"/>
      <w:marBottom w:val="0"/>
      <w:divBdr>
        <w:top w:val="none" w:sz="0" w:space="0" w:color="auto"/>
        <w:left w:val="none" w:sz="0" w:space="0" w:color="auto"/>
        <w:bottom w:val="none" w:sz="0" w:space="0" w:color="auto"/>
        <w:right w:val="none" w:sz="0" w:space="0" w:color="auto"/>
      </w:divBdr>
    </w:div>
    <w:div w:id="497884601">
      <w:bodyDiv w:val="1"/>
      <w:marLeft w:val="0"/>
      <w:marRight w:val="0"/>
      <w:marTop w:val="0"/>
      <w:marBottom w:val="0"/>
      <w:divBdr>
        <w:top w:val="none" w:sz="0" w:space="0" w:color="auto"/>
        <w:left w:val="none" w:sz="0" w:space="0" w:color="auto"/>
        <w:bottom w:val="none" w:sz="0" w:space="0" w:color="auto"/>
        <w:right w:val="none" w:sz="0" w:space="0" w:color="auto"/>
      </w:divBdr>
    </w:div>
    <w:div w:id="498623536">
      <w:bodyDiv w:val="1"/>
      <w:marLeft w:val="0"/>
      <w:marRight w:val="0"/>
      <w:marTop w:val="0"/>
      <w:marBottom w:val="0"/>
      <w:divBdr>
        <w:top w:val="none" w:sz="0" w:space="0" w:color="auto"/>
        <w:left w:val="none" w:sz="0" w:space="0" w:color="auto"/>
        <w:bottom w:val="none" w:sz="0" w:space="0" w:color="auto"/>
        <w:right w:val="none" w:sz="0" w:space="0" w:color="auto"/>
      </w:divBdr>
      <w:divsChild>
        <w:div w:id="376318806">
          <w:marLeft w:val="0"/>
          <w:marRight w:val="0"/>
          <w:marTop w:val="0"/>
          <w:marBottom w:val="0"/>
          <w:divBdr>
            <w:top w:val="none" w:sz="0" w:space="0" w:color="auto"/>
            <w:left w:val="none" w:sz="0" w:space="0" w:color="auto"/>
            <w:bottom w:val="none" w:sz="0" w:space="0" w:color="auto"/>
            <w:right w:val="none" w:sz="0" w:space="0" w:color="auto"/>
          </w:divBdr>
        </w:div>
        <w:div w:id="502666586">
          <w:marLeft w:val="0"/>
          <w:marRight w:val="0"/>
          <w:marTop w:val="0"/>
          <w:marBottom w:val="0"/>
          <w:divBdr>
            <w:top w:val="none" w:sz="0" w:space="0" w:color="auto"/>
            <w:left w:val="none" w:sz="0" w:space="0" w:color="auto"/>
            <w:bottom w:val="none" w:sz="0" w:space="0" w:color="auto"/>
            <w:right w:val="none" w:sz="0" w:space="0" w:color="auto"/>
          </w:divBdr>
        </w:div>
        <w:div w:id="434523605">
          <w:marLeft w:val="0"/>
          <w:marRight w:val="0"/>
          <w:marTop w:val="0"/>
          <w:marBottom w:val="0"/>
          <w:divBdr>
            <w:top w:val="none" w:sz="0" w:space="0" w:color="auto"/>
            <w:left w:val="none" w:sz="0" w:space="0" w:color="auto"/>
            <w:bottom w:val="none" w:sz="0" w:space="0" w:color="auto"/>
            <w:right w:val="none" w:sz="0" w:space="0" w:color="auto"/>
          </w:divBdr>
        </w:div>
        <w:div w:id="281962063">
          <w:marLeft w:val="0"/>
          <w:marRight w:val="0"/>
          <w:marTop w:val="0"/>
          <w:marBottom w:val="0"/>
          <w:divBdr>
            <w:top w:val="none" w:sz="0" w:space="0" w:color="auto"/>
            <w:left w:val="none" w:sz="0" w:space="0" w:color="auto"/>
            <w:bottom w:val="none" w:sz="0" w:space="0" w:color="auto"/>
            <w:right w:val="none" w:sz="0" w:space="0" w:color="auto"/>
          </w:divBdr>
        </w:div>
        <w:div w:id="145123323">
          <w:marLeft w:val="0"/>
          <w:marRight w:val="0"/>
          <w:marTop w:val="0"/>
          <w:marBottom w:val="0"/>
          <w:divBdr>
            <w:top w:val="none" w:sz="0" w:space="0" w:color="auto"/>
            <w:left w:val="none" w:sz="0" w:space="0" w:color="auto"/>
            <w:bottom w:val="none" w:sz="0" w:space="0" w:color="auto"/>
            <w:right w:val="none" w:sz="0" w:space="0" w:color="auto"/>
          </w:divBdr>
        </w:div>
        <w:div w:id="888690835">
          <w:marLeft w:val="0"/>
          <w:marRight w:val="0"/>
          <w:marTop w:val="0"/>
          <w:marBottom w:val="0"/>
          <w:divBdr>
            <w:top w:val="none" w:sz="0" w:space="0" w:color="auto"/>
            <w:left w:val="none" w:sz="0" w:space="0" w:color="auto"/>
            <w:bottom w:val="none" w:sz="0" w:space="0" w:color="auto"/>
            <w:right w:val="none" w:sz="0" w:space="0" w:color="auto"/>
          </w:divBdr>
        </w:div>
      </w:divsChild>
    </w:div>
    <w:div w:id="515079214">
      <w:bodyDiv w:val="1"/>
      <w:marLeft w:val="0"/>
      <w:marRight w:val="0"/>
      <w:marTop w:val="0"/>
      <w:marBottom w:val="0"/>
      <w:divBdr>
        <w:top w:val="none" w:sz="0" w:space="0" w:color="auto"/>
        <w:left w:val="none" w:sz="0" w:space="0" w:color="auto"/>
        <w:bottom w:val="none" w:sz="0" w:space="0" w:color="auto"/>
        <w:right w:val="none" w:sz="0" w:space="0" w:color="auto"/>
      </w:divBdr>
    </w:div>
    <w:div w:id="523985167">
      <w:bodyDiv w:val="1"/>
      <w:marLeft w:val="0"/>
      <w:marRight w:val="0"/>
      <w:marTop w:val="0"/>
      <w:marBottom w:val="0"/>
      <w:divBdr>
        <w:top w:val="none" w:sz="0" w:space="0" w:color="auto"/>
        <w:left w:val="none" w:sz="0" w:space="0" w:color="auto"/>
        <w:bottom w:val="none" w:sz="0" w:space="0" w:color="auto"/>
        <w:right w:val="none" w:sz="0" w:space="0" w:color="auto"/>
      </w:divBdr>
    </w:div>
    <w:div w:id="532041821">
      <w:bodyDiv w:val="1"/>
      <w:marLeft w:val="0"/>
      <w:marRight w:val="0"/>
      <w:marTop w:val="0"/>
      <w:marBottom w:val="0"/>
      <w:divBdr>
        <w:top w:val="none" w:sz="0" w:space="0" w:color="auto"/>
        <w:left w:val="none" w:sz="0" w:space="0" w:color="auto"/>
        <w:bottom w:val="none" w:sz="0" w:space="0" w:color="auto"/>
        <w:right w:val="none" w:sz="0" w:space="0" w:color="auto"/>
      </w:divBdr>
    </w:div>
    <w:div w:id="532352069">
      <w:bodyDiv w:val="1"/>
      <w:marLeft w:val="0"/>
      <w:marRight w:val="0"/>
      <w:marTop w:val="0"/>
      <w:marBottom w:val="0"/>
      <w:divBdr>
        <w:top w:val="none" w:sz="0" w:space="0" w:color="auto"/>
        <w:left w:val="none" w:sz="0" w:space="0" w:color="auto"/>
        <w:bottom w:val="none" w:sz="0" w:space="0" w:color="auto"/>
        <w:right w:val="none" w:sz="0" w:space="0" w:color="auto"/>
      </w:divBdr>
    </w:div>
    <w:div w:id="541139814">
      <w:bodyDiv w:val="1"/>
      <w:marLeft w:val="0"/>
      <w:marRight w:val="0"/>
      <w:marTop w:val="0"/>
      <w:marBottom w:val="0"/>
      <w:divBdr>
        <w:top w:val="none" w:sz="0" w:space="0" w:color="auto"/>
        <w:left w:val="none" w:sz="0" w:space="0" w:color="auto"/>
        <w:bottom w:val="none" w:sz="0" w:space="0" w:color="auto"/>
        <w:right w:val="none" w:sz="0" w:space="0" w:color="auto"/>
      </w:divBdr>
    </w:div>
    <w:div w:id="550655707">
      <w:bodyDiv w:val="1"/>
      <w:marLeft w:val="0"/>
      <w:marRight w:val="0"/>
      <w:marTop w:val="0"/>
      <w:marBottom w:val="0"/>
      <w:divBdr>
        <w:top w:val="none" w:sz="0" w:space="0" w:color="auto"/>
        <w:left w:val="none" w:sz="0" w:space="0" w:color="auto"/>
        <w:bottom w:val="none" w:sz="0" w:space="0" w:color="auto"/>
        <w:right w:val="none" w:sz="0" w:space="0" w:color="auto"/>
      </w:divBdr>
    </w:div>
    <w:div w:id="558788477">
      <w:bodyDiv w:val="1"/>
      <w:marLeft w:val="0"/>
      <w:marRight w:val="0"/>
      <w:marTop w:val="0"/>
      <w:marBottom w:val="0"/>
      <w:divBdr>
        <w:top w:val="none" w:sz="0" w:space="0" w:color="auto"/>
        <w:left w:val="none" w:sz="0" w:space="0" w:color="auto"/>
        <w:bottom w:val="none" w:sz="0" w:space="0" w:color="auto"/>
        <w:right w:val="none" w:sz="0" w:space="0" w:color="auto"/>
      </w:divBdr>
    </w:div>
    <w:div w:id="563830996">
      <w:bodyDiv w:val="1"/>
      <w:marLeft w:val="0"/>
      <w:marRight w:val="0"/>
      <w:marTop w:val="0"/>
      <w:marBottom w:val="0"/>
      <w:divBdr>
        <w:top w:val="none" w:sz="0" w:space="0" w:color="auto"/>
        <w:left w:val="none" w:sz="0" w:space="0" w:color="auto"/>
        <w:bottom w:val="none" w:sz="0" w:space="0" w:color="auto"/>
        <w:right w:val="none" w:sz="0" w:space="0" w:color="auto"/>
      </w:divBdr>
    </w:div>
    <w:div w:id="571622692">
      <w:bodyDiv w:val="1"/>
      <w:marLeft w:val="0"/>
      <w:marRight w:val="0"/>
      <w:marTop w:val="0"/>
      <w:marBottom w:val="0"/>
      <w:divBdr>
        <w:top w:val="none" w:sz="0" w:space="0" w:color="auto"/>
        <w:left w:val="none" w:sz="0" w:space="0" w:color="auto"/>
        <w:bottom w:val="none" w:sz="0" w:space="0" w:color="auto"/>
        <w:right w:val="none" w:sz="0" w:space="0" w:color="auto"/>
      </w:divBdr>
    </w:div>
    <w:div w:id="599606093">
      <w:bodyDiv w:val="1"/>
      <w:marLeft w:val="0"/>
      <w:marRight w:val="0"/>
      <w:marTop w:val="0"/>
      <w:marBottom w:val="0"/>
      <w:divBdr>
        <w:top w:val="none" w:sz="0" w:space="0" w:color="auto"/>
        <w:left w:val="none" w:sz="0" w:space="0" w:color="auto"/>
        <w:bottom w:val="none" w:sz="0" w:space="0" w:color="auto"/>
        <w:right w:val="none" w:sz="0" w:space="0" w:color="auto"/>
      </w:divBdr>
    </w:div>
    <w:div w:id="604771239">
      <w:bodyDiv w:val="1"/>
      <w:marLeft w:val="0"/>
      <w:marRight w:val="0"/>
      <w:marTop w:val="0"/>
      <w:marBottom w:val="0"/>
      <w:divBdr>
        <w:top w:val="none" w:sz="0" w:space="0" w:color="auto"/>
        <w:left w:val="none" w:sz="0" w:space="0" w:color="auto"/>
        <w:bottom w:val="none" w:sz="0" w:space="0" w:color="auto"/>
        <w:right w:val="none" w:sz="0" w:space="0" w:color="auto"/>
      </w:divBdr>
    </w:div>
    <w:div w:id="609631123">
      <w:bodyDiv w:val="1"/>
      <w:marLeft w:val="0"/>
      <w:marRight w:val="0"/>
      <w:marTop w:val="0"/>
      <w:marBottom w:val="0"/>
      <w:divBdr>
        <w:top w:val="none" w:sz="0" w:space="0" w:color="auto"/>
        <w:left w:val="none" w:sz="0" w:space="0" w:color="auto"/>
        <w:bottom w:val="none" w:sz="0" w:space="0" w:color="auto"/>
        <w:right w:val="none" w:sz="0" w:space="0" w:color="auto"/>
      </w:divBdr>
    </w:div>
    <w:div w:id="617566079">
      <w:bodyDiv w:val="1"/>
      <w:marLeft w:val="0"/>
      <w:marRight w:val="0"/>
      <w:marTop w:val="0"/>
      <w:marBottom w:val="0"/>
      <w:divBdr>
        <w:top w:val="none" w:sz="0" w:space="0" w:color="auto"/>
        <w:left w:val="none" w:sz="0" w:space="0" w:color="auto"/>
        <w:bottom w:val="none" w:sz="0" w:space="0" w:color="auto"/>
        <w:right w:val="none" w:sz="0" w:space="0" w:color="auto"/>
      </w:divBdr>
    </w:div>
    <w:div w:id="620770595">
      <w:bodyDiv w:val="1"/>
      <w:marLeft w:val="0"/>
      <w:marRight w:val="0"/>
      <w:marTop w:val="0"/>
      <w:marBottom w:val="0"/>
      <w:divBdr>
        <w:top w:val="none" w:sz="0" w:space="0" w:color="auto"/>
        <w:left w:val="none" w:sz="0" w:space="0" w:color="auto"/>
        <w:bottom w:val="none" w:sz="0" w:space="0" w:color="auto"/>
        <w:right w:val="none" w:sz="0" w:space="0" w:color="auto"/>
      </w:divBdr>
    </w:div>
    <w:div w:id="625433147">
      <w:bodyDiv w:val="1"/>
      <w:marLeft w:val="0"/>
      <w:marRight w:val="0"/>
      <w:marTop w:val="0"/>
      <w:marBottom w:val="0"/>
      <w:divBdr>
        <w:top w:val="none" w:sz="0" w:space="0" w:color="auto"/>
        <w:left w:val="none" w:sz="0" w:space="0" w:color="auto"/>
        <w:bottom w:val="none" w:sz="0" w:space="0" w:color="auto"/>
        <w:right w:val="none" w:sz="0" w:space="0" w:color="auto"/>
      </w:divBdr>
    </w:div>
    <w:div w:id="635911219">
      <w:bodyDiv w:val="1"/>
      <w:marLeft w:val="0"/>
      <w:marRight w:val="0"/>
      <w:marTop w:val="0"/>
      <w:marBottom w:val="0"/>
      <w:divBdr>
        <w:top w:val="none" w:sz="0" w:space="0" w:color="auto"/>
        <w:left w:val="none" w:sz="0" w:space="0" w:color="auto"/>
        <w:bottom w:val="none" w:sz="0" w:space="0" w:color="auto"/>
        <w:right w:val="none" w:sz="0" w:space="0" w:color="auto"/>
      </w:divBdr>
    </w:div>
    <w:div w:id="642466057">
      <w:bodyDiv w:val="1"/>
      <w:marLeft w:val="0"/>
      <w:marRight w:val="0"/>
      <w:marTop w:val="0"/>
      <w:marBottom w:val="0"/>
      <w:divBdr>
        <w:top w:val="none" w:sz="0" w:space="0" w:color="auto"/>
        <w:left w:val="none" w:sz="0" w:space="0" w:color="auto"/>
        <w:bottom w:val="none" w:sz="0" w:space="0" w:color="auto"/>
        <w:right w:val="none" w:sz="0" w:space="0" w:color="auto"/>
      </w:divBdr>
    </w:div>
    <w:div w:id="642849862">
      <w:bodyDiv w:val="1"/>
      <w:marLeft w:val="0"/>
      <w:marRight w:val="0"/>
      <w:marTop w:val="0"/>
      <w:marBottom w:val="0"/>
      <w:divBdr>
        <w:top w:val="none" w:sz="0" w:space="0" w:color="auto"/>
        <w:left w:val="none" w:sz="0" w:space="0" w:color="auto"/>
        <w:bottom w:val="none" w:sz="0" w:space="0" w:color="auto"/>
        <w:right w:val="none" w:sz="0" w:space="0" w:color="auto"/>
      </w:divBdr>
    </w:div>
    <w:div w:id="652679479">
      <w:bodyDiv w:val="1"/>
      <w:marLeft w:val="0"/>
      <w:marRight w:val="0"/>
      <w:marTop w:val="0"/>
      <w:marBottom w:val="0"/>
      <w:divBdr>
        <w:top w:val="none" w:sz="0" w:space="0" w:color="auto"/>
        <w:left w:val="none" w:sz="0" w:space="0" w:color="auto"/>
        <w:bottom w:val="none" w:sz="0" w:space="0" w:color="auto"/>
        <w:right w:val="none" w:sz="0" w:space="0" w:color="auto"/>
      </w:divBdr>
    </w:div>
    <w:div w:id="657461804">
      <w:bodyDiv w:val="1"/>
      <w:marLeft w:val="0"/>
      <w:marRight w:val="0"/>
      <w:marTop w:val="0"/>
      <w:marBottom w:val="0"/>
      <w:divBdr>
        <w:top w:val="none" w:sz="0" w:space="0" w:color="auto"/>
        <w:left w:val="none" w:sz="0" w:space="0" w:color="auto"/>
        <w:bottom w:val="none" w:sz="0" w:space="0" w:color="auto"/>
        <w:right w:val="none" w:sz="0" w:space="0" w:color="auto"/>
      </w:divBdr>
    </w:div>
    <w:div w:id="660620624">
      <w:bodyDiv w:val="1"/>
      <w:marLeft w:val="0"/>
      <w:marRight w:val="0"/>
      <w:marTop w:val="0"/>
      <w:marBottom w:val="0"/>
      <w:divBdr>
        <w:top w:val="none" w:sz="0" w:space="0" w:color="auto"/>
        <w:left w:val="none" w:sz="0" w:space="0" w:color="auto"/>
        <w:bottom w:val="none" w:sz="0" w:space="0" w:color="auto"/>
        <w:right w:val="none" w:sz="0" w:space="0" w:color="auto"/>
      </w:divBdr>
    </w:div>
    <w:div w:id="686752722">
      <w:bodyDiv w:val="1"/>
      <w:marLeft w:val="0"/>
      <w:marRight w:val="0"/>
      <w:marTop w:val="0"/>
      <w:marBottom w:val="0"/>
      <w:divBdr>
        <w:top w:val="none" w:sz="0" w:space="0" w:color="auto"/>
        <w:left w:val="none" w:sz="0" w:space="0" w:color="auto"/>
        <w:bottom w:val="none" w:sz="0" w:space="0" w:color="auto"/>
        <w:right w:val="none" w:sz="0" w:space="0" w:color="auto"/>
      </w:divBdr>
    </w:div>
    <w:div w:id="687756555">
      <w:bodyDiv w:val="1"/>
      <w:marLeft w:val="0"/>
      <w:marRight w:val="0"/>
      <w:marTop w:val="0"/>
      <w:marBottom w:val="0"/>
      <w:divBdr>
        <w:top w:val="none" w:sz="0" w:space="0" w:color="auto"/>
        <w:left w:val="none" w:sz="0" w:space="0" w:color="auto"/>
        <w:bottom w:val="none" w:sz="0" w:space="0" w:color="auto"/>
        <w:right w:val="none" w:sz="0" w:space="0" w:color="auto"/>
      </w:divBdr>
    </w:div>
    <w:div w:id="711925424">
      <w:bodyDiv w:val="1"/>
      <w:marLeft w:val="0"/>
      <w:marRight w:val="0"/>
      <w:marTop w:val="0"/>
      <w:marBottom w:val="0"/>
      <w:divBdr>
        <w:top w:val="none" w:sz="0" w:space="0" w:color="auto"/>
        <w:left w:val="none" w:sz="0" w:space="0" w:color="auto"/>
        <w:bottom w:val="none" w:sz="0" w:space="0" w:color="auto"/>
        <w:right w:val="none" w:sz="0" w:space="0" w:color="auto"/>
      </w:divBdr>
    </w:div>
    <w:div w:id="715155636">
      <w:bodyDiv w:val="1"/>
      <w:marLeft w:val="0"/>
      <w:marRight w:val="0"/>
      <w:marTop w:val="0"/>
      <w:marBottom w:val="0"/>
      <w:divBdr>
        <w:top w:val="none" w:sz="0" w:space="0" w:color="auto"/>
        <w:left w:val="none" w:sz="0" w:space="0" w:color="auto"/>
        <w:bottom w:val="none" w:sz="0" w:space="0" w:color="auto"/>
        <w:right w:val="none" w:sz="0" w:space="0" w:color="auto"/>
      </w:divBdr>
    </w:div>
    <w:div w:id="716972504">
      <w:bodyDiv w:val="1"/>
      <w:marLeft w:val="0"/>
      <w:marRight w:val="0"/>
      <w:marTop w:val="0"/>
      <w:marBottom w:val="0"/>
      <w:divBdr>
        <w:top w:val="none" w:sz="0" w:space="0" w:color="auto"/>
        <w:left w:val="none" w:sz="0" w:space="0" w:color="auto"/>
        <w:bottom w:val="none" w:sz="0" w:space="0" w:color="auto"/>
        <w:right w:val="none" w:sz="0" w:space="0" w:color="auto"/>
      </w:divBdr>
    </w:div>
    <w:div w:id="721178284">
      <w:bodyDiv w:val="1"/>
      <w:marLeft w:val="0"/>
      <w:marRight w:val="0"/>
      <w:marTop w:val="0"/>
      <w:marBottom w:val="0"/>
      <w:divBdr>
        <w:top w:val="none" w:sz="0" w:space="0" w:color="auto"/>
        <w:left w:val="none" w:sz="0" w:space="0" w:color="auto"/>
        <w:bottom w:val="none" w:sz="0" w:space="0" w:color="auto"/>
        <w:right w:val="none" w:sz="0" w:space="0" w:color="auto"/>
      </w:divBdr>
    </w:div>
    <w:div w:id="733312435">
      <w:bodyDiv w:val="1"/>
      <w:marLeft w:val="0"/>
      <w:marRight w:val="0"/>
      <w:marTop w:val="0"/>
      <w:marBottom w:val="0"/>
      <w:divBdr>
        <w:top w:val="none" w:sz="0" w:space="0" w:color="auto"/>
        <w:left w:val="none" w:sz="0" w:space="0" w:color="auto"/>
        <w:bottom w:val="none" w:sz="0" w:space="0" w:color="auto"/>
        <w:right w:val="none" w:sz="0" w:space="0" w:color="auto"/>
      </w:divBdr>
    </w:div>
    <w:div w:id="751581906">
      <w:bodyDiv w:val="1"/>
      <w:marLeft w:val="0"/>
      <w:marRight w:val="0"/>
      <w:marTop w:val="0"/>
      <w:marBottom w:val="0"/>
      <w:divBdr>
        <w:top w:val="none" w:sz="0" w:space="0" w:color="auto"/>
        <w:left w:val="none" w:sz="0" w:space="0" w:color="auto"/>
        <w:bottom w:val="none" w:sz="0" w:space="0" w:color="auto"/>
        <w:right w:val="none" w:sz="0" w:space="0" w:color="auto"/>
      </w:divBdr>
    </w:div>
    <w:div w:id="759181648">
      <w:bodyDiv w:val="1"/>
      <w:marLeft w:val="0"/>
      <w:marRight w:val="0"/>
      <w:marTop w:val="0"/>
      <w:marBottom w:val="0"/>
      <w:divBdr>
        <w:top w:val="none" w:sz="0" w:space="0" w:color="auto"/>
        <w:left w:val="none" w:sz="0" w:space="0" w:color="auto"/>
        <w:bottom w:val="none" w:sz="0" w:space="0" w:color="auto"/>
        <w:right w:val="none" w:sz="0" w:space="0" w:color="auto"/>
      </w:divBdr>
    </w:div>
    <w:div w:id="770247312">
      <w:bodyDiv w:val="1"/>
      <w:marLeft w:val="0"/>
      <w:marRight w:val="0"/>
      <w:marTop w:val="0"/>
      <w:marBottom w:val="0"/>
      <w:divBdr>
        <w:top w:val="none" w:sz="0" w:space="0" w:color="auto"/>
        <w:left w:val="none" w:sz="0" w:space="0" w:color="auto"/>
        <w:bottom w:val="none" w:sz="0" w:space="0" w:color="auto"/>
        <w:right w:val="none" w:sz="0" w:space="0" w:color="auto"/>
      </w:divBdr>
    </w:div>
    <w:div w:id="777875629">
      <w:bodyDiv w:val="1"/>
      <w:marLeft w:val="0"/>
      <w:marRight w:val="0"/>
      <w:marTop w:val="0"/>
      <w:marBottom w:val="0"/>
      <w:divBdr>
        <w:top w:val="none" w:sz="0" w:space="0" w:color="auto"/>
        <w:left w:val="none" w:sz="0" w:space="0" w:color="auto"/>
        <w:bottom w:val="none" w:sz="0" w:space="0" w:color="auto"/>
        <w:right w:val="none" w:sz="0" w:space="0" w:color="auto"/>
      </w:divBdr>
    </w:div>
    <w:div w:id="787965641">
      <w:bodyDiv w:val="1"/>
      <w:marLeft w:val="0"/>
      <w:marRight w:val="0"/>
      <w:marTop w:val="0"/>
      <w:marBottom w:val="0"/>
      <w:divBdr>
        <w:top w:val="none" w:sz="0" w:space="0" w:color="auto"/>
        <w:left w:val="none" w:sz="0" w:space="0" w:color="auto"/>
        <w:bottom w:val="none" w:sz="0" w:space="0" w:color="auto"/>
        <w:right w:val="none" w:sz="0" w:space="0" w:color="auto"/>
      </w:divBdr>
    </w:div>
    <w:div w:id="806977089">
      <w:bodyDiv w:val="1"/>
      <w:marLeft w:val="0"/>
      <w:marRight w:val="0"/>
      <w:marTop w:val="0"/>
      <w:marBottom w:val="0"/>
      <w:divBdr>
        <w:top w:val="none" w:sz="0" w:space="0" w:color="auto"/>
        <w:left w:val="none" w:sz="0" w:space="0" w:color="auto"/>
        <w:bottom w:val="none" w:sz="0" w:space="0" w:color="auto"/>
        <w:right w:val="none" w:sz="0" w:space="0" w:color="auto"/>
      </w:divBdr>
    </w:div>
    <w:div w:id="809833304">
      <w:bodyDiv w:val="1"/>
      <w:marLeft w:val="0"/>
      <w:marRight w:val="0"/>
      <w:marTop w:val="0"/>
      <w:marBottom w:val="0"/>
      <w:divBdr>
        <w:top w:val="none" w:sz="0" w:space="0" w:color="auto"/>
        <w:left w:val="none" w:sz="0" w:space="0" w:color="auto"/>
        <w:bottom w:val="none" w:sz="0" w:space="0" w:color="auto"/>
        <w:right w:val="none" w:sz="0" w:space="0" w:color="auto"/>
      </w:divBdr>
    </w:div>
    <w:div w:id="810026974">
      <w:bodyDiv w:val="1"/>
      <w:marLeft w:val="0"/>
      <w:marRight w:val="0"/>
      <w:marTop w:val="0"/>
      <w:marBottom w:val="0"/>
      <w:divBdr>
        <w:top w:val="none" w:sz="0" w:space="0" w:color="auto"/>
        <w:left w:val="none" w:sz="0" w:space="0" w:color="auto"/>
        <w:bottom w:val="none" w:sz="0" w:space="0" w:color="auto"/>
        <w:right w:val="none" w:sz="0" w:space="0" w:color="auto"/>
      </w:divBdr>
    </w:div>
    <w:div w:id="814638014">
      <w:bodyDiv w:val="1"/>
      <w:marLeft w:val="0"/>
      <w:marRight w:val="0"/>
      <w:marTop w:val="0"/>
      <w:marBottom w:val="0"/>
      <w:divBdr>
        <w:top w:val="none" w:sz="0" w:space="0" w:color="auto"/>
        <w:left w:val="none" w:sz="0" w:space="0" w:color="auto"/>
        <w:bottom w:val="none" w:sz="0" w:space="0" w:color="auto"/>
        <w:right w:val="none" w:sz="0" w:space="0" w:color="auto"/>
      </w:divBdr>
    </w:div>
    <w:div w:id="815486580">
      <w:bodyDiv w:val="1"/>
      <w:marLeft w:val="0"/>
      <w:marRight w:val="0"/>
      <w:marTop w:val="0"/>
      <w:marBottom w:val="0"/>
      <w:divBdr>
        <w:top w:val="none" w:sz="0" w:space="0" w:color="auto"/>
        <w:left w:val="none" w:sz="0" w:space="0" w:color="auto"/>
        <w:bottom w:val="none" w:sz="0" w:space="0" w:color="auto"/>
        <w:right w:val="none" w:sz="0" w:space="0" w:color="auto"/>
      </w:divBdr>
    </w:div>
    <w:div w:id="830369294">
      <w:bodyDiv w:val="1"/>
      <w:marLeft w:val="0"/>
      <w:marRight w:val="0"/>
      <w:marTop w:val="0"/>
      <w:marBottom w:val="0"/>
      <w:divBdr>
        <w:top w:val="none" w:sz="0" w:space="0" w:color="auto"/>
        <w:left w:val="none" w:sz="0" w:space="0" w:color="auto"/>
        <w:bottom w:val="none" w:sz="0" w:space="0" w:color="auto"/>
        <w:right w:val="none" w:sz="0" w:space="0" w:color="auto"/>
      </w:divBdr>
    </w:div>
    <w:div w:id="848174349">
      <w:bodyDiv w:val="1"/>
      <w:marLeft w:val="0"/>
      <w:marRight w:val="0"/>
      <w:marTop w:val="0"/>
      <w:marBottom w:val="0"/>
      <w:divBdr>
        <w:top w:val="none" w:sz="0" w:space="0" w:color="auto"/>
        <w:left w:val="none" w:sz="0" w:space="0" w:color="auto"/>
        <w:bottom w:val="none" w:sz="0" w:space="0" w:color="auto"/>
        <w:right w:val="none" w:sz="0" w:space="0" w:color="auto"/>
      </w:divBdr>
    </w:div>
    <w:div w:id="859321858">
      <w:bodyDiv w:val="1"/>
      <w:marLeft w:val="0"/>
      <w:marRight w:val="0"/>
      <w:marTop w:val="0"/>
      <w:marBottom w:val="0"/>
      <w:divBdr>
        <w:top w:val="none" w:sz="0" w:space="0" w:color="auto"/>
        <w:left w:val="none" w:sz="0" w:space="0" w:color="auto"/>
        <w:bottom w:val="none" w:sz="0" w:space="0" w:color="auto"/>
        <w:right w:val="none" w:sz="0" w:space="0" w:color="auto"/>
      </w:divBdr>
    </w:div>
    <w:div w:id="861826122">
      <w:bodyDiv w:val="1"/>
      <w:marLeft w:val="0"/>
      <w:marRight w:val="0"/>
      <w:marTop w:val="0"/>
      <w:marBottom w:val="0"/>
      <w:divBdr>
        <w:top w:val="none" w:sz="0" w:space="0" w:color="auto"/>
        <w:left w:val="none" w:sz="0" w:space="0" w:color="auto"/>
        <w:bottom w:val="none" w:sz="0" w:space="0" w:color="auto"/>
        <w:right w:val="none" w:sz="0" w:space="0" w:color="auto"/>
      </w:divBdr>
    </w:div>
    <w:div w:id="868837149">
      <w:bodyDiv w:val="1"/>
      <w:marLeft w:val="0"/>
      <w:marRight w:val="0"/>
      <w:marTop w:val="0"/>
      <w:marBottom w:val="0"/>
      <w:divBdr>
        <w:top w:val="none" w:sz="0" w:space="0" w:color="auto"/>
        <w:left w:val="none" w:sz="0" w:space="0" w:color="auto"/>
        <w:bottom w:val="none" w:sz="0" w:space="0" w:color="auto"/>
        <w:right w:val="none" w:sz="0" w:space="0" w:color="auto"/>
      </w:divBdr>
    </w:div>
    <w:div w:id="877281835">
      <w:bodyDiv w:val="1"/>
      <w:marLeft w:val="0"/>
      <w:marRight w:val="0"/>
      <w:marTop w:val="0"/>
      <w:marBottom w:val="0"/>
      <w:divBdr>
        <w:top w:val="none" w:sz="0" w:space="0" w:color="auto"/>
        <w:left w:val="none" w:sz="0" w:space="0" w:color="auto"/>
        <w:bottom w:val="none" w:sz="0" w:space="0" w:color="auto"/>
        <w:right w:val="none" w:sz="0" w:space="0" w:color="auto"/>
      </w:divBdr>
    </w:div>
    <w:div w:id="892347760">
      <w:bodyDiv w:val="1"/>
      <w:marLeft w:val="0"/>
      <w:marRight w:val="0"/>
      <w:marTop w:val="0"/>
      <w:marBottom w:val="0"/>
      <w:divBdr>
        <w:top w:val="none" w:sz="0" w:space="0" w:color="auto"/>
        <w:left w:val="none" w:sz="0" w:space="0" w:color="auto"/>
        <w:bottom w:val="none" w:sz="0" w:space="0" w:color="auto"/>
        <w:right w:val="none" w:sz="0" w:space="0" w:color="auto"/>
      </w:divBdr>
    </w:div>
    <w:div w:id="907421346">
      <w:bodyDiv w:val="1"/>
      <w:marLeft w:val="0"/>
      <w:marRight w:val="0"/>
      <w:marTop w:val="0"/>
      <w:marBottom w:val="0"/>
      <w:divBdr>
        <w:top w:val="none" w:sz="0" w:space="0" w:color="auto"/>
        <w:left w:val="none" w:sz="0" w:space="0" w:color="auto"/>
        <w:bottom w:val="none" w:sz="0" w:space="0" w:color="auto"/>
        <w:right w:val="none" w:sz="0" w:space="0" w:color="auto"/>
      </w:divBdr>
    </w:div>
    <w:div w:id="921140751">
      <w:bodyDiv w:val="1"/>
      <w:marLeft w:val="0"/>
      <w:marRight w:val="0"/>
      <w:marTop w:val="0"/>
      <w:marBottom w:val="0"/>
      <w:divBdr>
        <w:top w:val="none" w:sz="0" w:space="0" w:color="auto"/>
        <w:left w:val="none" w:sz="0" w:space="0" w:color="auto"/>
        <w:bottom w:val="none" w:sz="0" w:space="0" w:color="auto"/>
        <w:right w:val="none" w:sz="0" w:space="0" w:color="auto"/>
      </w:divBdr>
    </w:div>
    <w:div w:id="924613924">
      <w:bodyDiv w:val="1"/>
      <w:marLeft w:val="0"/>
      <w:marRight w:val="0"/>
      <w:marTop w:val="0"/>
      <w:marBottom w:val="0"/>
      <w:divBdr>
        <w:top w:val="none" w:sz="0" w:space="0" w:color="auto"/>
        <w:left w:val="none" w:sz="0" w:space="0" w:color="auto"/>
        <w:bottom w:val="none" w:sz="0" w:space="0" w:color="auto"/>
        <w:right w:val="none" w:sz="0" w:space="0" w:color="auto"/>
      </w:divBdr>
    </w:div>
    <w:div w:id="927156794">
      <w:bodyDiv w:val="1"/>
      <w:marLeft w:val="0"/>
      <w:marRight w:val="0"/>
      <w:marTop w:val="0"/>
      <w:marBottom w:val="0"/>
      <w:divBdr>
        <w:top w:val="none" w:sz="0" w:space="0" w:color="auto"/>
        <w:left w:val="none" w:sz="0" w:space="0" w:color="auto"/>
        <w:bottom w:val="none" w:sz="0" w:space="0" w:color="auto"/>
        <w:right w:val="none" w:sz="0" w:space="0" w:color="auto"/>
      </w:divBdr>
    </w:div>
    <w:div w:id="962616150">
      <w:bodyDiv w:val="1"/>
      <w:marLeft w:val="0"/>
      <w:marRight w:val="0"/>
      <w:marTop w:val="0"/>
      <w:marBottom w:val="0"/>
      <w:divBdr>
        <w:top w:val="none" w:sz="0" w:space="0" w:color="auto"/>
        <w:left w:val="none" w:sz="0" w:space="0" w:color="auto"/>
        <w:bottom w:val="none" w:sz="0" w:space="0" w:color="auto"/>
        <w:right w:val="none" w:sz="0" w:space="0" w:color="auto"/>
      </w:divBdr>
    </w:div>
    <w:div w:id="963002185">
      <w:bodyDiv w:val="1"/>
      <w:marLeft w:val="0"/>
      <w:marRight w:val="0"/>
      <w:marTop w:val="0"/>
      <w:marBottom w:val="0"/>
      <w:divBdr>
        <w:top w:val="none" w:sz="0" w:space="0" w:color="auto"/>
        <w:left w:val="none" w:sz="0" w:space="0" w:color="auto"/>
        <w:bottom w:val="none" w:sz="0" w:space="0" w:color="auto"/>
        <w:right w:val="none" w:sz="0" w:space="0" w:color="auto"/>
      </w:divBdr>
    </w:div>
    <w:div w:id="972060995">
      <w:bodyDiv w:val="1"/>
      <w:marLeft w:val="0"/>
      <w:marRight w:val="0"/>
      <w:marTop w:val="0"/>
      <w:marBottom w:val="0"/>
      <w:divBdr>
        <w:top w:val="none" w:sz="0" w:space="0" w:color="auto"/>
        <w:left w:val="none" w:sz="0" w:space="0" w:color="auto"/>
        <w:bottom w:val="none" w:sz="0" w:space="0" w:color="auto"/>
        <w:right w:val="none" w:sz="0" w:space="0" w:color="auto"/>
      </w:divBdr>
    </w:div>
    <w:div w:id="974261387">
      <w:bodyDiv w:val="1"/>
      <w:marLeft w:val="0"/>
      <w:marRight w:val="0"/>
      <w:marTop w:val="0"/>
      <w:marBottom w:val="0"/>
      <w:divBdr>
        <w:top w:val="none" w:sz="0" w:space="0" w:color="auto"/>
        <w:left w:val="none" w:sz="0" w:space="0" w:color="auto"/>
        <w:bottom w:val="none" w:sz="0" w:space="0" w:color="auto"/>
        <w:right w:val="none" w:sz="0" w:space="0" w:color="auto"/>
      </w:divBdr>
    </w:div>
    <w:div w:id="978730628">
      <w:bodyDiv w:val="1"/>
      <w:marLeft w:val="0"/>
      <w:marRight w:val="0"/>
      <w:marTop w:val="0"/>
      <w:marBottom w:val="0"/>
      <w:divBdr>
        <w:top w:val="none" w:sz="0" w:space="0" w:color="auto"/>
        <w:left w:val="none" w:sz="0" w:space="0" w:color="auto"/>
        <w:bottom w:val="none" w:sz="0" w:space="0" w:color="auto"/>
        <w:right w:val="none" w:sz="0" w:space="0" w:color="auto"/>
      </w:divBdr>
    </w:div>
    <w:div w:id="979308889">
      <w:bodyDiv w:val="1"/>
      <w:marLeft w:val="0"/>
      <w:marRight w:val="0"/>
      <w:marTop w:val="0"/>
      <w:marBottom w:val="0"/>
      <w:divBdr>
        <w:top w:val="none" w:sz="0" w:space="0" w:color="auto"/>
        <w:left w:val="none" w:sz="0" w:space="0" w:color="auto"/>
        <w:bottom w:val="none" w:sz="0" w:space="0" w:color="auto"/>
        <w:right w:val="none" w:sz="0" w:space="0" w:color="auto"/>
      </w:divBdr>
    </w:div>
    <w:div w:id="984703423">
      <w:bodyDiv w:val="1"/>
      <w:marLeft w:val="0"/>
      <w:marRight w:val="0"/>
      <w:marTop w:val="0"/>
      <w:marBottom w:val="0"/>
      <w:divBdr>
        <w:top w:val="none" w:sz="0" w:space="0" w:color="auto"/>
        <w:left w:val="none" w:sz="0" w:space="0" w:color="auto"/>
        <w:bottom w:val="none" w:sz="0" w:space="0" w:color="auto"/>
        <w:right w:val="none" w:sz="0" w:space="0" w:color="auto"/>
      </w:divBdr>
    </w:div>
    <w:div w:id="990870922">
      <w:bodyDiv w:val="1"/>
      <w:marLeft w:val="0"/>
      <w:marRight w:val="0"/>
      <w:marTop w:val="0"/>
      <w:marBottom w:val="0"/>
      <w:divBdr>
        <w:top w:val="none" w:sz="0" w:space="0" w:color="auto"/>
        <w:left w:val="none" w:sz="0" w:space="0" w:color="auto"/>
        <w:bottom w:val="none" w:sz="0" w:space="0" w:color="auto"/>
        <w:right w:val="none" w:sz="0" w:space="0" w:color="auto"/>
      </w:divBdr>
    </w:div>
    <w:div w:id="991720448">
      <w:bodyDiv w:val="1"/>
      <w:marLeft w:val="0"/>
      <w:marRight w:val="0"/>
      <w:marTop w:val="0"/>
      <w:marBottom w:val="0"/>
      <w:divBdr>
        <w:top w:val="none" w:sz="0" w:space="0" w:color="auto"/>
        <w:left w:val="none" w:sz="0" w:space="0" w:color="auto"/>
        <w:bottom w:val="none" w:sz="0" w:space="0" w:color="auto"/>
        <w:right w:val="none" w:sz="0" w:space="0" w:color="auto"/>
      </w:divBdr>
    </w:div>
    <w:div w:id="993030952">
      <w:bodyDiv w:val="1"/>
      <w:marLeft w:val="0"/>
      <w:marRight w:val="0"/>
      <w:marTop w:val="0"/>
      <w:marBottom w:val="0"/>
      <w:divBdr>
        <w:top w:val="none" w:sz="0" w:space="0" w:color="auto"/>
        <w:left w:val="none" w:sz="0" w:space="0" w:color="auto"/>
        <w:bottom w:val="none" w:sz="0" w:space="0" w:color="auto"/>
        <w:right w:val="none" w:sz="0" w:space="0" w:color="auto"/>
      </w:divBdr>
    </w:div>
    <w:div w:id="993415720">
      <w:bodyDiv w:val="1"/>
      <w:marLeft w:val="0"/>
      <w:marRight w:val="0"/>
      <w:marTop w:val="0"/>
      <w:marBottom w:val="0"/>
      <w:divBdr>
        <w:top w:val="none" w:sz="0" w:space="0" w:color="auto"/>
        <w:left w:val="none" w:sz="0" w:space="0" w:color="auto"/>
        <w:bottom w:val="none" w:sz="0" w:space="0" w:color="auto"/>
        <w:right w:val="none" w:sz="0" w:space="0" w:color="auto"/>
      </w:divBdr>
    </w:div>
    <w:div w:id="997415172">
      <w:bodyDiv w:val="1"/>
      <w:marLeft w:val="0"/>
      <w:marRight w:val="0"/>
      <w:marTop w:val="0"/>
      <w:marBottom w:val="0"/>
      <w:divBdr>
        <w:top w:val="none" w:sz="0" w:space="0" w:color="auto"/>
        <w:left w:val="none" w:sz="0" w:space="0" w:color="auto"/>
        <w:bottom w:val="none" w:sz="0" w:space="0" w:color="auto"/>
        <w:right w:val="none" w:sz="0" w:space="0" w:color="auto"/>
      </w:divBdr>
    </w:div>
    <w:div w:id="1008365421">
      <w:bodyDiv w:val="1"/>
      <w:marLeft w:val="0"/>
      <w:marRight w:val="0"/>
      <w:marTop w:val="0"/>
      <w:marBottom w:val="0"/>
      <w:divBdr>
        <w:top w:val="none" w:sz="0" w:space="0" w:color="auto"/>
        <w:left w:val="none" w:sz="0" w:space="0" w:color="auto"/>
        <w:bottom w:val="none" w:sz="0" w:space="0" w:color="auto"/>
        <w:right w:val="none" w:sz="0" w:space="0" w:color="auto"/>
      </w:divBdr>
    </w:div>
    <w:div w:id="1042972523">
      <w:bodyDiv w:val="1"/>
      <w:marLeft w:val="0"/>
      <w:marRight w:val="0"/>
      <w:marTop w:val="0"/>
      <w:marBottom w:val="0"/>
      <w:divBdr>
        <w:top w:val="none" w:sz="0" w:space="0" w:color="auto"/>
        <w:left w:val="none" w:sz="0" w:space="0" w:color="auto"/>
        <w:bottom w:val="none" w:sz="0" w:space="0" w:color="auto"/>
        <w:right w:val="none" w:sz="0" w:space="0" w:color="auto"/>
      </w:divBdr>
    </w:div>
    <w:div w:id="1047074293">
      <w:bodyDiv w:val="1"/>
      <w:marLeft w:val="0"/>
      <w:marRight w:val="0"/>
      <w:marTop w:val="0"/>
      <w:marBottom w:val="0"/>
      <w:divBdr>
        <w:top w:val="none" w:sz="0" w:space="0" w:color="auto"/>
        <w:left w:val="none" w:sz="0" w:space="0" w:color="auto"/>
        <w:bottom w:val="none" w:sz="0" w:space="0" w:color="auto"/>
        <w:right w:val="none" w:sz="0" w:space="0" w:color="auto"/>
      </w:divBdr>
    </w:div>
    <w:div w:id="1051005026">
      <w:bodyDiv w:val="1"/>
      <w:marLeft w:val="0"/>
      <w:marRight w:val="0"/>
      <w:marTop w:val="0"/>
      <w:marBottom w:val="0"/>
      <w:divBdr>
        <w:top w:val="none" w:sz="0" w:space="0" w:color="auto"/>
        <w:left w:val="none" w:sz="0" w:space="0" w:color="auto"/>
        <w:bottom w:val="none" w:sz="0" w:space="0" w:color="auto"/>
        <w:right w:val="none" w:sz="0" w:space="0" w:color="auto"/>
      </w:divBdr>
    </w:div>
    <w:div w:id="1059744447">
      <w:bodyDiv w:val="1"/>
      <w:marLeft w:val="0"/>
      <w:marRight w:val="0"/>
      <w:marTop w:val="0"/>
      <w:marBottom w:val="0"/>
      <w:divBdr>
        <w:top w:val="none" w:sz="0" w:space="0" w:color="auto"/>
        <w:left w:val="none" w:sz="0" w:space="0" w:color="auto"/>
        <w:bottom w:val="none" w:sz="0" w:space="0" w:color="auto"/>
        <w:right w:val="none" w:sz="0" w:space="0" w:color="auto"/>
      </w:divBdr>
    </w:div>
    <w:div w:id="1075473460">
      <w:bodyDiv w:val="1"/>
      <w:marLeft w:val="0"/>
      <w:marRight w:val="0"/>
      <w:marTop w:val="0"/>
      <w:marBottom w:val="0"/>
      <w:divBdr>
        <w:top w:val="none" w:sz="0" w:space="0" w:color="auto"/>
        <w:left w:val="none" w:sz="0" w:space="0" w:color="auto"/>
        <w:bottom w:val="none" w:sz="0" w:space="0" w:color="auto"/>
        <w:right w:val="none" w:sz="0" w:space="0" w:color="auto"/>
      </w:divBdr>
    </w:div>
    <w:div w:id="1076589288">
      <w:bodyDiv w:val="1"/>
      <w:marLeft w:val="0"/>
      <w:marRight w:val="0"/>
      <w:marTop w:val="0"/>
      <w:marBottom w:val="0"/>
      <w:divBdr>
        <w:top w:val="none" w:sz="0" w:space="0" w:color="auto"/>
        <w:left w:val="none" w:sz="0" w:space="0" w:color="auto"/>
        <w:bottom w:val="none" w:sz="0" w:space="0" w:color="auto"/>
        <w:right w:val="none" w:sz="0" w:space="0" w:color="auto"/>
      </w:divBdr>
    </w:div>
    <w:div w:id="1093932858">
      <w:bodyDiv w:val="1"/>
      <w:marLeft w:val="0"/>
      <w:marRight w:val="0"/>
      <w:marTop w:val="0"/>
      <w:marBottom w:val="0"/>
      <w:divBdr>
        <w:top w:val="none" w:sz="0" w:space="0" w:color="auto"/>
        <w:left w:val="none" w:sz="0" w:space="0" w:color="auto"/>
        <w:bottom w:val="none" w:sz="0" w:space="0" w:color="auto"/>
        <w:right w:val="none" w:sz="0" w:space="0" w:color="auto"/>
      </w:divBdr>
    </w:div>
    <w:div w:id="1097285884">
      <w:bodyDiv w:val="1"/>
      <w:marLeft w:val="0"/>
      <w:marRight w:val="0"/>
      <w:marTop w:val="0"/>
      <w:marBottom w:val="0"/>
      <w:divBdr>
        <w:top w:val="none" w:sz="0" w:space="0" w:color="auto"/>
        <w:left w:val="none" w:sz="0" w:space="0" w:color="auto"/>
        <w:bottom w:val="none" w:sz="0" w:space="0" w:color="auto"/>
        <w:right w:val="none" w:sz="0" w:space="0" w:color="auto"/>
      </w:divBdr>
    </w:div>
    <w:div w:id="1103262481">
      <w:bodyDiv w:val="1"/>
      <w:marLeft w:val="0"/>
      <w:marRight w:val="0"/>
      <w:marTop w:val="0"/>
      <w:marBottom w:val="0"/>
      <w:divBdr>
        <w:top w:val="none" w:sz="0" w:space="0" w:color="auto"/>
        <w:left w:val="none" w:sz="0" w:space="0" w:color="auto"/>
        <w:bottom w:val="none" w:sz="0" w:space="0" w:color="auto"/>
        <w:right w:val="none" w:sz="0" w:space="0" w:color="auto"/>
      </w:divBdr>
    </w:div>
    <w:div w:id="1116482923">
      <w:bodyDiv w:val="1"/>
      <w:marLeft w:val="0"/>
      <w:marRight w:val="0"/>
      <w:marTop w:val="0"/>
      <w:marBottom w:val="0"/>
      <w:divBdr>
        <w:top w:val="none" w:sz="0" w:space="0" w:color="auto"/>
        <w:left w:val="none" w:sz="0" w:space="0" w:color="auto"/>
        <w:bottom w:val="none" w:sz="0" w:space="0" w:color="auto"/>
        <w:right w:val="none" w:sz="0" w:space="0" w:color="auto"/>
      </w:divBdr>
    </w:div>
    <w:div w:id="1118378156">
      <w:bodyDiv w:val="1"/>
      <w:marLeft w:val="0"/>
      <w:marRight w:val="0"/>
      <w:marTop w:val="0"/>
      <w:marBottom w:val="0"/>
      <w:divBdr>
        <w:top w:val="none" w:sz="0" w:space="0" w:color="auto"/>
        <w:left w:val="none" w:sz="0" w:space="0" w:color="auto"/>
        <w:bottom w:val="none" w:sz="0" w:space="0" w:color="auto"/>
        <w:right w:val="none" w:sz="0" w:space="0" w:color="auto"/>
      </w:divBdr>
    </w:div>
    <w:div w:id="1119690876">
      <w:bodyDiv w:val="1"/>
      <w:marLeft w:val="0"/>
      <w:marRight w:val="0"/>
      <w:marTop w:val="0"/>
      <w:marBottom w:val="0"/>
      <w:divBdr>
        <w:top w:val="none" w:sz="0" w:space="0" w:color="auto"/>
        <w:left w:val="none" w:sz="0" w:space="0" w:color="auto"/>
        <w:bottom w:val="none" w:sz="0" w:space="0" w:color="auto"/>
        <w:right w:val="none" w:sz="0" w:space="0" w:color="auto"/>
      </w:divBdr>
    </w:div>
    <w:div w:id="1121800379">
      <w:bodyDiv w:val="1"/>
      <w:marLeft w:val="0"/>
      <w:marRight w:val="0"/>
      <w:marTop w:val="0"/>
      <w:marBottom w:val="0"/>
      <w:divBdr>
        <w:top w:val="none" w:sz="0" w:space="0" w:color="auto"/>
        <w:left w:val="none" w:sz="0" w:space="0" w:color="auto"/>
        <w:bottom w:val="none" w:sz="0" w:space="0" w:color="auto"/>
        <w:right w:val="none" w:sz="0" w:space="0" w:color="auto"/>
      </w:divBdr>
    </w:div>
    <w:div w:id="1133596531">
      <w:bodyDiv w:val="1"/>
      <w:marLeft w:val="0"/>
      <w:marRight w:val="0"/>
      <w:marTop w:val="0"/>
      <w:marBottom w:val="0"/>
      <w:divBdr>
        <w:top w:val="none" w:sz="0" w:space="0" w:color="auto"/>
        <w:left w:val="none" w:sz="0" w:space="0" w:color="auto"/>
        <w:bottom w:val="none" w:sz="0" w:space="0" w:color="auto"/>
        <w:right w:val="none" w:sz="0" w:space="0" w:color="auto"/>
      </w:divBdr>
    </w:div>
    <w:div w:id="1139347044">
      <w:bodyDiv w:val="1"/>
      <w:marLeft w:val="0"/>
      <w:marRight w:val="0"/>
      <w:marTop w:val="0"/>
      <w:marBottom w:val="0"/>
      <w:divBdr>
        <w:top w:val="none" w:sz="0" w:space="0" w:color="auto"/>
        <w:left w:val="none" w:sz="0" w:space="0" w:color="auto"/>
        <w:bottom w:val="none" w:sz="0" w:space="0" w:color="auto"/>
        <w:right w:val="none" w:sz="0" w:space="0" w:color="auto"/>
      </w:divBdr>
    </w:div>
    <w:div w:id="1152870983">
      <w:bodyDiv w:val="1"/>
      <w:marLeft w:val="0"/>
      <w:marRight w:val="0"/>
      <w:marTop w:val="0"/>
      <w:marBottom w:val="0"/>
      <w:divBdr>
        <w:top w:val="none" w:sz="0" w:space="0" w:color="auto"/>
        <w:left w:val="none" w:sz="0" w:space="0" w:color="auto"/>
        <w:bottom w:val="none" w:sz="0" w:space="0" w:color="auto"/>
        <w:right w:val="none" w:sz="0" w:space="0" w:color="auto"/>
      </w:divBdr>
    </w:div>
    <w:div w:id="1160074552">
      <w:bodyDiv w:val="1"/>
      <w:marLeft w:val="0"/>
      <w:marRight w:val="0"/>
      <w:marTop w:val="0"/>
      <w:marBottom w:val="0"/>
      <w:divBdr>
        <w:top w:val="none" w:sz="0" w:space="0" w:color="auto"/>
        <w:left w:val="none" w:sz="0" w:space="0" w:color="auto"/>
        <w:bottom w:val="none" w:sz="0" w:space="0" w:color="auto"/>
        <w:right w:val="none" w:sz="0" w:space="0" w:color="auto"/>
      </w:divBdr>
    </w:div>
    <w:div w:id="1162966015">
      <w:bodyDiv w:val="1"/>
      <w:marLeft w:val="0"/>
      <w:marRight w:val="0"/>
      <w:marTop w:val="0"/>
      <w:marBottom w:val="0"/>
      <w:divBdr>
        <w:top w:val="none" w:sz="0" w:space="0" w:color="auto"/>
        <w:left w:val="none" w:sz="0" w:space="0" w:color="auto"/>
        <w:bottom w:val="none" w:sz="0" w:space="0" w:color="auto"/>
        <w:right w:val="none" w:sz="0" w:space="0" w:color="auto"/>
      </w:divBdr>
    </w:div>
    <w:div w:id="1164778991">
      <w:bodyDiv w:val="1"/>
      <w:marLeft w:val="0"/>
      <w:marRight w:val="0"/>
      <w:marTop w:val="0"/>
      <w:marBottom w:val="0"/>
      <w:divBdr>
        <w:top w:val="none" w:sz="0" w:space="0" w:color="auto"/>
        <w:left w:val="none" w:sz="0" w:space="0" w:color="auto"/>
        <w:bottom w:val="none" w:sz="0" w:space="0" w:color="auto"/>
        <w:right w:val="none" w:sz="0" w:space="0" w:color="auto"/>
      </w:divBdr>
    </w:div>
    <w:div w:id="1177235635">
      <w:bodyDiv w:val="1"/>
      <w:marLeft w:val="0"/>
      <w:marRight w:val="0"/>
      <w:marTop w:val="0"/>
      <w:marBottom w:val="0"/>
      <w:divBdr>
        <w:top w:val="none" w:sz="0" w:space="0" w:color="auto"/>
        <w:left w:val="none" w:sz="0" w:space="0" w:color="auto"/>
        <w:bottom w:val="none" w:sz="0" w:space="0" w:color="auto"/>
        <w:right w:val="none" w:sz="0" w:space="0" w:color="auto"/>
      </w:divBdr>
    </w:div>
    <w:div w:id="1193109902">
      <w:bodyDiv w:val="1"/>
      <w:marLeft w:val="0"/>
      <w:marRight w:val="0"/>
      <w:marTop w:val="0"/>
      <w:marBottom w:val="0"/>
      <w:divBdr>
        <w:top w:val="none" w:sz="0" w:space="0" w:color="auto"/>
        <w:left w:val="none" w:sz="0" w:space="0" w:color="auto"/>
        <w:bottom w:val="none" w:sz="0" w:space="0" w:color="auto"/>
        <w:right w:val="none" w:sz="0" w:space="0" w:color="auto"/>
      </w:divBdr>
    </w:div>
    <w:div w:id="1215851014">
      <w:bodyDiv w:val="1"/>
      <w:marLeft w:val="0"/>
      <w:marRight w:val="0"/>
      <w:marTop w:val="0"/>
      <w:marBottom w:val="0"/>
      <w:divBdr>
        <w:top w:val="none" w:sz="0" w:space="0" w:color="auto"/>
        <w:left w:val="none" w:sz="0" w:space="0" w:color="auto"/>
        <w:bottom w:val="none" w:sz="0" w:space="0" w:color="auto"/>
        <w:right w:val="none" w:sz="0" w:space="0" w:color="auto"/>
      </w:divBdr>
    </w:div>
    <w:div w:id="1225069228">
      <w:bodyDiv w:val="1"/>
      <w:marLeft w:val="0"/>
      <w:marRight w:val="0"/>
      <w:marTop w:val="0"/>
      <w:marBottom w:val="0"/>
      <w:divBdr>
        <w:top w:val="none" w:sz="0" w:space="0" w:color="auto"/>
        <w:left w:val="none" w:sz="0" w:space="0" w:color="auto"/>
        <w:bottom w:val="none" w:sz="0" w:space="0" w:color="auto"/>
        <w:right w:val="none" w:sz="0" w:space="0" w:color="auto"/>
      </w:divBdr>
    </w:div>
    <w:div w:id="1228608976">
      <w:bodyDiv w:val="1"/>
      <w:marLeft w:val="0"/>
      <w:marRight w:val="0"/>
      <w:marTop w:val="0"/>
      <w:marBottom w:val="0"/>
      <w:divBdr>
        <w:top w:val="none" w:sz="0" w:space="0" w:color="auto"/>
        <w:left w:val="none" w:sz="0" w:space="0" w:color="auto"/>
        <w:bottom w:val="none" w:sz="0" w:space="0" w:color="auto"/>
        <w:right w:val="none" w:sz="0" w:space="0" w:color="auto"/>
      </w:divBdr>
    </w:div>
    <w:div w:id="1230922245">
      <w:bodyDiv w:val="1"/>
      <w:marLeft w:val="0"/>
      <w:marRight w:val="0"/>
      <w:marTop w:val="0"/>
      <w:marBottom w:val="0"/>
      <w:divBdr>
        <w:top w:val="none" w:sz="0" w:space="0" w:color="auto"/>
        <w:left w:val="none" w:sz="0" w:space="0" w:color="auto"/>
        <w:bottom w:val="none" w:sz="0" w:space="0" w:color="auto"/>
        <w:right w:val="none" w:sz="0" w:space="0" w:color="auto"/>
      </w:divBdr>
    </w:div>
    <w:div w:id="1249071438">
      <w:bodyDiv w:val="1"/>
      <w:marLeft w:val="0"/>
      <w:marRight w:val="0"/>
      <w:marTop w:val="0"/>
      <w:marBottom w:val="0"/>
      <w:divBdr>
        <w:top w:val="none" w:sz="0" w:space="0" w:color="auto"/>
        <w:left w:val="none" w:sz="0" w:space="0" w:color="auto"/>
        <w:bottom w:val="none" w:sz="0" w:space="0" w:color="auto"/>
        <w:right w:val="none" w:sz="0" w:space="0" w:color="auto"/>
      </w:divBdr>
    </w:div>
    <w:div w:id="1249459888">
      <w:bodyDiv w:val="1"/>
      <w:marLeft w:val="0"/>
      <w:marRight w:val="0"/>
      <w:marTop w:val="0"/>
      <w:marBottom w:val="0"/>
      <w:divBdr>
        <w:top w:val="none" w:sz="0" w:space="0" w:color="auto"/>
        <w:left w:val="none" w:sz="0" w:space="0" w:color="auto"/>
        <w:bottom w:val="none" w:sz="0" w:space="0" w:color="auto"/>
        <w:right w:val="none" w:sz="0" w:space="0" w:color="auto"/>
      </w:divBdr>
    </w:div>
    <w:div w:id="1270164003">
      <w:bodyDiv w:val="1"/>
      <w:marLeft w:val="0"/>
      <w:marRight w:val="0"/>
      <w:marTop w:val="0"/>
      <w:marBottom w:val="0"/>
      <w:divBdr>
        <w:top w:val="none" w:sz="0" w:space="0" w:color="auto"/>
        <w:left w:val="none" w:sz="0" w:space="0" w:color="auto"/>
        <w:bottom w:val="none" w:sz="0" w:space="0" w:color="auto"/>
        <w:right w:val="none" w:sz="0" w:space="0" w:color="auto"/>
      </w:divBdr>
    </w:div>
    <w:div w:id="1276208212">
      <w:bodyDiv w:val="1"/>
      <w:marLeft w:val="0"/>
      <w:marRight w:val="0"/>
      <w:marTop w:val="0"/>
      <w:marBottom w:val="0"/>
      <w:divBdr>
        <w:top w:val="none" w:sz="0" w:space="0" w:color="auto"/>
        <w:left w:val="none" w:sz="0" w:space="0" w:color="auto"/>
        <w:bottom w:val="none" w:sz="0" w:space="0" w:color="auto"/>
        <w:right w:val="none" w:sz="0" w:space="0" w:color="auto"/>
      </w:divBdr>
    </w:div>
    <w:div w:id="1276332949">
      <w:bodyDiv w:val="1"/>
      <w:marLeft w:val="0"/>
      <w:marRight w:val="0"/>
      <w:marTop w:val="0"/>
      <w:marBottom w:val="0"/>
      <w:divBdr>
        <w:top w:val="none" w:sz="0" w:space="0" w:color="auto"/>
        <w:left w:val="none" w:sz="0" w:space="0" w:color="auto"/>
        <w:bottom w:val="none" w:sz="0" w:space="0" w:color="auto"/>
        <w:right w:val="none" w:sz="0" w:space="0" w:color="auto"/>
      </w:divBdr>
    </w:div>
    <w:div w:id="1279490204">
      <w:bodyDiv w:val="1"/>
      <w:marLeft w:val="0"/>
      <w:marRight w:val="0"/>
      <w:marTop w:val="0"/>
      <w:marBottom w:val="0"/>
      <w:divBdr>
        <w:top w:val="none" w:sz="0" w:space="0" w:color="auto"/>
        <w:left w:val="none" w:sz="0" w:space="0" w:color="auto"/>
        <w:bottom w:val="none" w:sz="0" w:space="0" w:color="auto"/>
        <w:right w:val="none" w:sz="0" w:space="0" w:color="auto"/>
      </w:divBdr>
    </w:div>
    <w:div w:id="1279491214">
      <w:bodyDiv w:val="1"/>
      <w:marLeft w:val="0"/>
      <w:marRight w:val="0"/>
      <w:marTop w:val="0"/>
      <w:marBottom w:val="0"/>
      <w:divBdr>
        <w:top w:val="none" w:sz="0" w:space="0" w:color="auto"/>
        <w:left w:val="none" w:sz="0" w:space="0" w:color="auto"/>
        <w:bottom w:val="none" w:sz="0" w:space="0" w:color="auto"/>
        <w:right w:val="none" w:sz="0" w:space="0" w:color="auto"/>
      </w:divBdr>
    </w:div>
    <w:div w:id="1284800308">
      <w:bodyDiv w:val="1"/>
      <w:marLeft w:val="0"/>
      <w:marRight w:val="0"/>
      <w:marTop w:val="0"/>
      <w:marBottom w:val="0"/>
      <w:divBdr>
        <w:top w:val="none" w:sz="0" w:space="0" w:color="auto"/>
        <w:left w:val="none" w:sz="0" w:space="0" w:color="auto"/>
        <w:bottom w:val="none" w:sz="0" w:space="0" w:color="auto"/>
        <w:right w:val="none" w:sz="0" w:space="0" w:color="auto"/>
      </w:divBdr>
    </w:div>
    <w:div w:id="1301228473">
      <w:bodyDiv w:val="1"/>
      <w:marLeft w:val="0"/>
      <w:marRight w:val="0"/>
      <w:marTop w:val="0"/>
      <w:marBottom w:val="0"/>
      <w:divBdr>
        <w:top w:val="none" w:sz="0" w:space="0" w:color="auto"/>
        <w:left w:val="none" w:sz="0" w:space="0" w:color="auto"/>
        <w:bottom w:val="none" w:sz="0" w:space="0" w:color="auto"/>
        <w:right w:val="none" w:sz="0" w:space="0" w:color="auto"/>
      </w:divBdr>
    </w:div>
    <w:div w:id="1303534361">
      <w:bodyDiv w:val="1"/>
      <w:marLeft w:val="0"/>
      <w:marRight w:val="0"/>
      <w:marTop w:val="0"/>
      <w:marBottom w:val="0"/>
      <w:divBdr>
        <w:top w:val="none" w:sz="0" w:space="0" w:color="auto"/>
        <w:left w:val="none" w:sz="0" w:space="0" w:color="auto"/>
        <w:bottom w:val="none" w:sz="0" w:space="0" w:color="auto"/>
        <w:right w:val="none" w:sz="0" w:space="0" w:color="auto"/>
      </w:divBdr>
    </w:div>
    <w:div w:id="1307859233">
      <w:bodyDiv w:val="1"/>
      <w:marLeft w:val="0"/>
      <w:marRight w:val="0"/>
      <w:marTop w:val="0"/>
      <w:marBottom w:val="0"/>
      <w:divBdr>
        <w:top w:val="none" w:sz="0" w:space="0" w:color="auto"/>
        <w:left w:val="none" w:sz="0" w:space="0" w:color="auto"/>
        <w:bottom w:val="none" w:sz="0" w:space="0" w:color="auto"/>
        <w:right w:val="none" w:sz="0" w:space="0" w:color="auto"/>
      </w:divBdr>
    </w:div>
    <w:div w:id="1331785661">
      <w:bodyDiv w:val="1"/>
      <w:marLeft w:val="0"/>
      <w:marRight w:val="0"/>
      <w:marTop w:val="0"/>
      <w:marBottom w:val="0"/>
      <w:divBdr>
        <w:top w:val="none" w:sz="0" w:space="0" w:color="auto"/>
        <w:left w:val="none" w:sz="0" w:space="0" w:color="auto"/>
        <w:bottom w:val="none" w:sz="0" w:space="0" w:color="auto"/>
        <w:right w:val="none" w:sz="0" w:space="0" w:color="auto"/>
      </w:divBdr>
    </w:div>
    <w:div w:id="1342397401">
      <w:bodyDiv w:val="1"/>
      <w:marLeft w:val="0"/>
      <w:marRight w:val="0"/>
      <w:marTop w:val="0"/>
      <w:marBottom w:val="0"/>
      <w:divBdr>
        <w:top w:val="none" w:sz="0" w:space="0" w:color="auto"/>
        <w:left w:val="none" w:sz="0" w:space="0" w:color="auto"/>
        <w:bottom w:val="none" w:sz="0" w:space="0" w:color="auto"/>
        <w:right w:val="none" w:sz="0" w:space="0" w:color="auto"/>
      </w:divBdr>
    </w:div>
    <w:div w:id="1346446561">
      <w:bodyDiv w:val="1"/>
      <w:marLeft w:val="0"/>
      <w:marRight w:val="0"/>
      <w:marTop w:val="0"/>
      <w:marBottom w:val="0"/>
      <w:divBdr>
        <w:top w:val="none" w:sz="0" w:space="0" w:color="auto"/>
        <w:left w:val="none" w:sz="0" w:space="0" w:color="auto"/>
        <w:bottom w:val="none" w:sz="0" w:space="0" w:color="auto"/>
        <w:right w:val="none" w:sz="0" w:space="0" w:color="auto"/>
      </w:divBdr>
    </w:div>
    <w:div w:id="1358971785">
      <w:bodyDiv w:val="1"/>
      <w:marLeft w:val="0"/>
      <w:marRight w:val="0"/>
      <w:marTop w:val="0"/>
      <w:marBottom w:val="0"/>
      <w:divBdr>
        <w:top w:val="none" w:sz="0" w:space="0" w:color="auto"/>
        <w:left w:val="none" w:sz="0" w:space="0" w:color="auto"/>
        <w:bottom w:val="none" w:sz="0" w:space="0" w:color="auto"/>
        <w:right w:val="none" w:sz="0" w:space="0" w:color="auto"/>
      </w:divBdr>
    </w:div>
    <w:div w:id="1359086727">
      <w:bodyDiv w:val="1"/>
      <w:marLeft w:val="0"/>
      <w:marRight w:val="0"/>
      <w:marTop w:val="0"/>
      <w:marBottom w:val="0"/>
      <w:divBdr>
        <w:top w:val="none" w:sz="0" w:space="0" w:color="auto"/>
        <w:left w:val="none" w:sz="0" w:space="0" w:color="auto"/>
        <w:bottom w:val="none" w:sz="0" w:space="0" w:color="auto"/>
        <w:right w:val="none" w:sz="0" w:space="0" w:color="auto"/>
      </w:divBdr>
    </w:div>
    <w:div w:id="1372149970">
      <w:bodyDiv w:val="1"/>
      <w:marLeft w:val="0"/>
      <w:marRight w:val="0"/>
      <w:marTop w:val="0"/>
      <w:marBottom w:val="0"/>
      <w:divBdr>
        <w:top w:val="none" w:sz="0" w:space="0" w:color="auto"/>
        <w:left w:val="none" w:sz="0" w:space="0" w:color="auto"/>
        <w:bottom w:val="none" w:sz="0" w:space="0" w:color="auto"/>
        <w:right w:val="none" w:sz="0" w:space="0" w:color="auto"/>
      </w:divBdr>
    </w:div>
    <w:div w:id="1388340503">
      <w:bodyDiv w:val="1"/>
      <w:marLeft w:val="0"/>
      <w:marRight w:val="0"/>
      <w:marTop w:val="0"/>
      <w:marBottom w:val="0"/>
      <w:divBdr>
        <w:top w:val="none" w:sz="0" w:space="0" w:color="auto"/>
        <w:left w:val="none" w:sz="0" w:space="0" w:color="auto"/>
        <w:bottom w:val="none" w:sz="0" w:space="0" w:color="auto"/>
        <w:right w:val="none" w:sz="0" w:space="0" w:color="auto"/>
      </w:divBdr>
    </w:div>
    <w:div w:id="1392852110">
      <w:bodyDiv w:val="1"/>
      <w:marLeft w:val="0"/>
      <w:marRight w:val="0"/>
      <w:marTop w:val="0"/>
      <w:marBottom w:val="0"/>
      <w:divBdr>
        <w:top w:val="none" w:sz="0" w:space="0" w:color="auto"/>
        <w:left w:val="none" w:sz="0" w:space="0" w:color="auto"/>
        <w:bottom w:val="none" w:sz="0" w:space="0" w:color="auto"/>
        <w:right w:val="none" w:sz="0" w:space="0" w:color="auto"/>
      </w:divBdr>
    </w:div>
    <w:div w:id="1405831988">
      <w:bodyDiv w:val="1"/>
      <w:marLeft w:val="0"/>
      <w:marRight w:val="0"/>
      <w:marTop w:val="0"/>
      <w:marBottom w:val="0"/>
      <w:divBdr>
        <w:top w:val="none" w:sz="0" w:space="0" w:color="auto"/>
        <w:left w:val="none" w:sz="0" w:space="0" w:color="auto"/>
        <w:bottom w:val="none" w:sz="0" w:space="0" w:color="auto"/>
        <w:right w:val="none" w:sz="0" w:space="0" w:color="auto"/>
      </w:divBdr>
    </w:div>
    <w:div w:id="1408839422">
      <w:bodyDiv w:val="1"/>
      <w:marLeft w:val="0"/>
      <w:marRight w:val="0"/>
      <w:marTop w:val="0"/>
      <w:marBottom w:val="0"/>
      <w:divBdr>
        <w:top w:val="none" w:sz="0" w:space="0" w:color="auto"/>
        <w:left w:val="none" w:sz="0" w:space="0" w:color="auto"/>
        <w:bottom w:val="none" w:sz="0" w:space="0" w:color="auto"/>
        <w:right w:val="none" w:sz="0" w:space="0" w:color="auto"/>
      </w:divBdr>
    </w:div>
    <w:div w:id="1416050423">
      <w:bodyDiv w:val="1"/>
      <w:marLeft w:val="0"/>
      <w:marRight w:val="0"/>
      <w:marTop w:val="0"/>
      <w:marBottom w:val="0"/>
      <w:divBdr>
        <w:top w:val="none" w:sz="0" w:space="0" w:color="auto"/>
        <w:left w:val="none" w:sz="0" w:space="0" w:color="auto"/>
        <w:bottom w:val="none" w:sz="0" w:space="0" w:color="auto"/>
        <w:right w:val="none" w:sz="0" w:space="0" w:color="auto"/>
      </w:divBdr>
    </w:div>
    <w:div w:id="1426422496">
      <w:bodyDiv w:val="1"/>
      <w:marLeft w:val="0"/>
      <w:marRight w:val="0"/>
      <w:marTop w:val="0"/>
      <w:marBottom w:val="0"/>
      <w:divBdr>
        <w:top w:val="none" w:sz="0" w:space="0" w:color="auto"/>
        <w:left w:val="none" w:sz="0" w:space="0" w:color="auto"/>
        <w:bottom w:val="none" w:sz="0" w:space="0" w:color="auto"/>
        <w:right w:val="none" w:sz="0" w:space="0" w:color="auto"/>
      </w:divBdr>
    </w:div>
    <w:div w:id="1429303042">
      <w:bodyDiv w:val="1"/>
      <w:marLeft w:val="0"/>
      <w:marRight w:val="0"/>
      <w:marTop w:val="0"/>
      <w:marBottom w:val="0"/>
      <w:divBdr>
        <w:top w:val="none" w:sz="0" w:space="0" w:color="auto"/>
        <w:left w:val="none" w:sz="0" w:space="0" w:color="auto"/>
        <w:bottom w:val="none" w:sz="0" w:space="0" w:color="auto"/>
        <w:right w:val="none" w:sz="0" w:space="0" w:color="auto"/>
      </w:divBdr>
    </w:div>
    <w:div w:id="1437021592">
      <w:bodyDiv w:val="1"/>
      <w:marLeft w:val="0"/>
      <w:marRight w:val="0"/>
      <w:marTop w:val="0"/>
      <w:marBottom w:val="0"/>
      <w:divBdr>
        <w:top w:val="none" w:sz="0" w:space="0" w:color="auto"/>
        <w:left w:val="none" w:sz="0" w:space="0" w:color="auto"/>
        <w:bottom w:val="none" w:sz="0" w:space="0" w:color="auto"/>
        <w:right w:val="none" w:sz="0" w:space="0" w:color="auto"/>
      </w:divBdr>
    </w:div>
    <w:div w:id="1438283702">
      <w:bodyDiv w:val="1"/>
      <w:marLeft w:val="0"/>
      <w:marRight w:val="0"/>
      <w:marTop w:val="0"/>
      <w:marBottom w:val="0"/>
      <w:divBdr>
        <w:top w:val="none" w:sz="0" w:space="0" w:color="auto"/>
        <w:left w:val="none" w:sz="0" w:space="0" w:color="auto"/>
        <w:bottom w:val="none" w:sz="0" w:space="0" w:color="auto"/>
        <w:right w:val="none" w:sz="0" w:space="0" w:color="auto"/>
      </w:divBdr>
    </w:div>
    <w:div w:id="1451244501">
      <w:bodyDiv w:val="1"/>
      <w:marLeft w:val="0"/>
      <w:marRight w:val="0"/>
      <w:marTop w:val="0"/>
      <w:marBottom w:val="0"/>
      <w:divBdr>
        <w:top w:val="none" w:sz="0" w:space="0" w:color="auto"/>
        <w:left w:val="none" w:sz="0" w:space="0" w:color="auto"/>
        <w:bottom w:val="none" w:sz="0" w:space="0" w:color="auto"/>
        <w:right w:val="none" w:sz="0" w:space="0" w:color="auto"/>
      </w:divBdr>
    </w:div>
    <w:div w:id="1458403474">
      <w:bodyDiv w:val="1"/>
      <w:marLeft w:val="0"/>
      <w:marRight w:val="0"/>
      <w:marTop w:val="0"/>
      <w:marBottom w:val="0"/>
      <w:divBdr>
        <w:top w:val="none" w:sz="0" w:space="0" w:color="auto"/>
        <w:left w:val="none" w:sz="0" w:space="0" w:color="auto"/>
        <w:bottom w:val="none" w:sz="0" w:space="0" w:color="auto"/>
        <w:right w:val="none" w:sz="0" w:space="0" w:color="auto"/>
      </w:divBdr>
    </w:div>
    <w:div w:id="1458835758">
      <w:bodyDiv w:val="1"/>
      <w:marLeft w:val="0"/>
      <w:marRight w:val="0"/>
      <w:marTop w:val="0"/>
      <w:marBottom w:val="0"/>
      <w:divBdr>
        <w:top w:val="none" w:sz="0" w:space="0" w:color="auto"/>
        <w:left w:val="none" w:sz="0" w:space="0" w:color="auto"/>
        <w:bottom w:val="none" w:sz="0" w:space="0" w:color="auto"/>
        <w:right w:val="none" w:sz="0" w:space="0" w:color="auto"/>
      </w:divBdr>
    </w:div>
    <w:div w:id="1460957657">
      <w:bodyDiv w:val="1"/>
      <w:marLeft w:val="0"/>
      <w:marRight w:val="0"/>
      <w:marTop w:val="0"/>
      <w:marBottom w:val="0"/>
      <w:divBdr>
        <w:top w:val="none" w:sz="0" w:space="0" w:color="auto"/>
        <w:left w:val="none" w:sz="0" w:space="0" w:color="auto"/>
        <w:bottom w:val="none" w:sz="0" w:space="0" w:color="auto"/>
        <w:right w:val="none" w:sz="0" w:space="0" w:color="auto"/>
      </w:divBdr>
    </w:div>
    <w:div w:id="1510562903">
      <w:bodyDiv w:val="1"/>
      <w:marLeft w:val="0"/>
      <w:marRight w:val="0"/>
      <w:marTop w:val="0"/>
      <w:marBottom w:val="0"/>
      <w:divBdr>
        <w:top w:val="none" w:sz="0" w:space="0" w:color="auto"/>
        <w:left w:val="none" w:sz="0" w:space="0" w:color="auto"/>
        <w:bottom w:val="none" w:sz="0" w:space="0" w:color="auto"/>
        <w:right w:val="none" w:sz="0" w:space="0" w:color="auto"/>
      </w:divBdr>
    </w:div>
    <w:div w:id="1512335181">
      <w:bodyDiv w:val="1"/>
      <w:marLeft w:val="0"/>
      <w:marRight w:val="0"/>
      <w:marTop w:val="0"/>
      <w:marBottom w:val="0"/>
      <w:divBdr>
        <w:top w:val="none" w:sz="0" w:space="0" w:color="auto"/>
        <w:left w:val="none" w:sz="0" w:space="0" w:color="auto"/>
        <w:bottom w:val="none" w:sz="0" w:space="0" w:color="auto"/>
        <w:right w:val="none" w:sz="0" w:space="0" w:color="auto"/>
      </w:divBdr>
    </w:div>
    <w:div w:id="1512792853">
      <w:bodyDiv w:val="1"/>
      <w:marLeft w:val="0"/>
      <w:marRight w:val="0"/>
      <w:marTop w:val="0"/>
      <w:marBottom w:val="0"/>
      <w:divBdr>
        <w:top w:val="none" w:sz="0" w:space="0" w:color="auto"/>
        <w:left w:val="none" w:sz="0" w:space="0" w:color="auto"/>
        <w:bottom w:val="none" w:sz="0" w:space="0" w:color="auto"/>
        <w:right w:val="none" w:sz="0" w:space="0" w:color="auto"/>
      </w:divBdr>
    </w:div>
    <w:div w:id="1539708171">
      <w:bodyDiv w:val="1"/>
      <w:marLeft w:val="0"/>
      <w:marRight w:val="0"/>
      <w:marTop w:val="0"/>
      <w:marBottom w:val="0"/>
      <w:divBdr>
        <w:top w:val="none" w:sz="0" w:space="0" w:color="auto"/>
        <w:left w:val="none" w:sz="0" w:space="0" w:color="auto"/>
        <w:bottom w:val="none" w:sz="0" w:space="0" w:color="auto"/>
        <w:right w:val="none" w:sz="0" w:space="0" w:color="auto"/>
      </w:divBdr>
    </w:div>
    <w:div w:id="1567568452">
      <w:bodyDiv w:val="1"/>
      <w:marLeft w:val="0"/>
      <w:marRight w:val="0"/>
      <w:marTop w:val="0"/>
      <w:marBottom w:val="0"/>
      <w:divBdr>
        <w:top w:val="none" w:sz="0" w:space="0" w:color="auto"/>
        <w:left w:val="none" w:sz="0" w:space="0" w:color="auto"/>
        <w:bottom w:val="none" w:sz="0" w:space="0" w:color="auto"/>
        <w:right w:val="none" w:sz="0" w:space="0" w:color="auto"/>
      </w:divBdr>
    </w:div>
    <w:div w:id="1575891455">
      <w:bodyDiv w:val="1"/>
      <w:marLeft w:val="0"/>
      <w:marRight w:val="0"/>
      <w:marTop w:val="0"/>
      <w:marBottom w:val="0"/>
      <w:divBdr>
        <w:top w:val="none" w:sz="0" w:space="0" w:color="auto"/>
        <w:left w:val="none" w:sz="0" w:space="0" w:color="auto"/>
        <w:bottom w:val="none" w:sz="0" w:space="0" w:color="auto"/>
        <w:right w:val="none" w:sz="0" w:space="0" w:color="auto"/>
      </w:divBdr>
    </w:div>
    <w:div w:id="1576015871">
      <w:bodyDiv w:val="1"/>
      <w:marLeft w:val="0"/>
      <w:marRight w:val="0"/>
      <w:marTop w:val="0"/>
      <w:marBottom w:val="0"/>
      <w:divBdr>
        <w:top w:val="none" w:sz="0" w:space="0" w:color="auto"/>
        <w:left w:val="none" w:sz="0" w:space="0" w:color="auto"/>
        <w:bottom w:val="none" w:sz="0" w:space="0" w:color="auto"/>
        <w:right w:val="none" w:sz="0" w:space="0" w:color="auto"/>
      </w:divBdr>
    </w:div>
    <w:div w:id="1577595369">
      <w:bodyDiv w:val="1"/>
      <w:marLeft w:val="0"/>
      <w:marRight w:val="0"/>
      <w:marTop w:val="0"/>
      <w:marBottom w:val="0"/>
      <w:divBdr>
        <w:top w:val="none" w:sz="0" w:space="0" w:color="auto"/>
        <w:left w:val="none" w:sz="0" w:space="0" w:color="auto"/>
        <w:bottom w:val="none" w:sz="0" w:space="0" w:color="auto"/>
        <w:right w:val="none" w:sz="0" w:space="0" w:color="auto"/>
      </w:divBdr>
    </w:div>
    <w:div w:id="1582256388">
      <w:bodyDiv w:val="1"/>
      <w:marLeft w:val="0"/>
      <w:marRight w:val="0"/>
      <w:marTop w:val="0"/>
      <w:marBottom w:val="0"/>
      <w:divBdr>
        <w:top w:val="none" w:sz="0" w:space="0" w:color="auto"/>
        <w:left w:val="none" w:sz="0" w:space="0" w:color="auto"/>
        <w:bottom w:val="none" w:sz="0" w:space="0" w:color="auto"/>
        <w:right w:val="none" w:sz="0" w:space="0" w:color="auto"/>
      </w:divBdr>
    </w:div>
    <w:div w:id="1590581317">
      <w:bodyDiv w:val="1"/>
      <w:marLeft w:val="0"/>
      <w:marRight w:val="0"/>
      <w:marTop w:val="0"/>
      <w:marBottom w:val="0"/>
      <w:divBdr>
        <w:top w:val="none" w:sz="0" w:space="0" w:color="auto"/>
        <w:left w:val="none" w:sz="0" w:space="0" w:color="auto"/>
        <w:bottom w:val="none" w:sz="0" w:space="0" w:color="auto"/>
        <w:right w:val="none" w:sz="0" w:space="0" w:color="auto"/>
      </w:divBdr>
    </w:div>
    <w:div w:id="1597516632">
      <w:bodyDiv w:val="1"/>
      <w:marLeft w:val="0"/>
      <w:marRight w:val="0"/>
      <w:marTop w:val="0"/>
      <w:marBottom w:val="0"/>
      <w:divBdr>
        <w:top w:val="none" w:sz="0" w:space="0" w:color="auto"/>
        <w:left w:val="none" w:sz="0" w:space="0" w:color="auto"/>
        <w:bottom w:val="none" w:sz="0" w:space="0" w:color="auto"/>
        <w:right w:val="none" w:sz="0" w:space="0" w:color="auto"/>
      </w:divBdr>
    </w:div>
    <w:div w:id="1616716460">
      <w:bodyDiv w:val="1"/>
      <w:marLeft w:val="0"/>
      <w:marRight w:val="0"/>
      <w:marTop w:val="0"/>
      <w:marBottom w:val="0"/>
      <w:divBdr>
        <w:top w:val="none" w:sz="0" w:space="0" w:color="auto"/>
        <w:left w:val="none" w:sz="0" w:space="0" w:color="auto"/>
        <w:bottom w:val="none" w:sz="0" w:space="0" w:color="auto"/>
        <w:right w:val="none" w:sz="0" w:space="0" w:color="auto"/>
      </w:divBdr>
    </w:div>
    <w:div w:id="1620140112">
      <w:bodyDiv w:val="1"/>
      <w:marLeft w:val="0"/>
      <w:marRight w:val="0"/>
      <w:marTop w:val="0"/>
      <w:marBottom w:val="0"/>
      <w:divBdr>
        <w:top w:val="none" w:sz="0" w:space="0" w:color="auto"/>
        <w:left w:val="none" w:sz="0" w:space="0" w:color="auto"/>
        <w:bottom w:val="none" w:sz="0" w:space="0" w:color="auto"/>
        <w:right w:val="none" w:sz="0" w:space="0" w:color="auto"/>
      </w:divBdr>
    </w:div>
    <w:div w:id="1628316762">
      <w:bodyDiv w:val="1"/>
      <w:marLeft w:val="0"/>
      <w:marRight w:val="0"/>
      <w:marTop w:val="0"/>
      <w:marBottom w:val="0"/>
      <w:divBdr>
        <w:top w:val="none" w:sz="0" w:space="0" w:color="auto"/>
        <w:left w:val="none" w:sz="0" w:space="0" w:color="auto"/>
        <w:bottom w:val="none" w:sz="0" w:space="0" w:color="auto"/>
        <w:right w:val="none" w:sz="0" w:space="0" w:color="auto"/>
      </w:divBdr>
    </w:div>
    <w:div w:id="1664162429">
      <w:bodyDiv w:val="1"/>
      <w:marLeft w:val="0"/>
      <w:marRight w:val="0"/>
      <w:marTop w:val="0"/>
      <w:marBottom w:val="0"/>
      <w:divBdr>
        <w:top w:val="none" w:sz="0" w:space="0" w:color="auto"/>
        <w:left w:val="none" w:sz="0" w:space="0" w:color="auto"/>
        <w:bottom w:val="none" w:sz="0" w:space="0" w:color="auto"/>
        <w:right w:val="none" w:sz="0" w:space="0" w:color="auto"/>
      </w:divBdr>
    </w:div>
    <w:div w:id="1665472111">
      <w:bodyDiv w:val="1"/>
      <w:marLeft w:val="0"/>
      <w:marRight w:val="0"/>
      <w:marTop w:val="0"/>
      <w:marBottom w:val="0"/>
      <w:divBdr>
        <w:top w:val="none" w:sz="0" w:space="0" w:color="auto"/>
        <w:left w:val="none" w:sz="0" w:space="0" w:color="auto"/>
        <w:bottom w:val="none" w:sz="0" w:space="0" w:color="auto"/>
        <w:right w:val="none" w:sz="0" w:space="0" w:color="auto"/>
      </w:divBdr>
    </w:div>
    <w:div w:id="1673144462">
      <w:bodyDiv w:val="1"/>
      <w:marLeft w:val="0"/>
      <w:marRight w:val="0"/>
      <w:marTop w:val="0"/>
      <w:marBottom w:val="0"/>
      <w:divBdr>
        <w:top w:val="none" w:sz="0" w:space="0" w:color="auto"/>
        <w:left w:val="none" w:sz="0" w:space="0" w:color="auto"/>
        <w:bottom w:val="none" w:sz="0" w:space="0" w:color="auto"/>
        <w:right w:val="none" w:sz="0" w:space="0" w:color="auto"/>
      </w:divBdr>
    </w:div>
    <w:div w:id="1688752426">
      <w:bodyDiv w:val="1"/>
      <w:marLeft w:val="0"/>
      <w:marRight w:val="0"/>
      <w:marTop w:val="0"/>
      <w:marBottom w:val="0"/>
      <w:divBdr>
        <w:top w:val="none" w:sz="0" w:space="0" w:color="auto"/>
        <w:left w:val="none" w:sz="0" w:space="0" w:color="auto"/>
        <w:bottom w:val="none" w:sz="0" w:space="0" w:color="auto"/>
        <w:right w:val="none" w:sz="0" w:space="0" w:color="auto"/>
      </w:divBdr>
    </w:div>
    <w:div w:id="1690906866">
      <w:bodyDiv w:val="1"/>
      <w:marLeft w:val="0"/>
      <w:marRight w:val="0"/>
      <w:marTop w:val="0"/>
      <w:marBottom w:val="0"/>
      <w:divBdr>
        <w:top w:val="none" w:sz="0" w:space="0" w:color="auto"/>
        <w:left w:val="none" w:sz="0" w:space="0" w:color="auto"/>
        <w:bottom w:val="none" w:sz="0" w:space="0" w:color="auto"/>
        <w:right w:val="none" w:sz="0" w:space="0" w:color="auto"/>
      </w:divBdr>
    </w:div>
    <w:div w:id="1691490354">
      <w:bodyDiv w:val="1"/>
      <w:marLeft w:val="0"/>
      <w:marRight w:val="0"/>
      <w:marTop w:val="0"/>
      <w:marBottom w:val="0"/>
      <w:divBdr>
        <w:top w:val="none" w:sz="0" w:space="0" w:color="auto"/>
        <w:left w:val="none" w:sz="0" w:space="0" w:color="auto"/>
        <w:bottom w:val="none" w:sz="0" w:space="0" w:color="auto"/>
        <w:right w:val="none" w:sz="0" w:space="0" w:color="auto"/>
      </w:divBdr>
    </w:div>
    <w:div w:id="1704860851">
      <w:bodyDiv w:val="1"/>
      <w:marLeft w:val="0"/>
      <w:marRight w:val="0"/>
      <w:marTop w:val="0"/>
      <w:marBottom w:val="0"/>
      <w:divBdr>
        <w:top w:val="none" w:sz="0" w:space="0" w:color="auto"/>
        <w:left w:val="none" w:sz="0" w:space="0" w:color="auto"/>
        <w:bottom w:val="none" w:sz="0" w:space="0" w:color="auto"/>
        <w:right w:val="none" w:sz="0" w:space="0" w:color="auto"/>
      </w:divBdr>
    </w:div>
    <w:div w:id="1713190617">
      <w:bodyDiv w:val="1"/>
      <w:marLeft w:val="0"/>
      <w:marRight w:val="0"/>
      <w:marTop w:val="0"/>
      <w:marBottom w:val="0"/>
      <w:divBdr>
        <w:top w:val="none" w:sz="0" w:space="0" w:color="auto"/>
        <w:left w:val="none" w:sz="0" w:space="0" w:color="auto"/>
        <w:bottom w:val="none" w:sz="0" w:space="0" w:color="auto"/>
        <w:right w:val="none" w:sz="0" w:space="0" w:color="auto"/>
      </w:divBdr>
    </w:div>
    <w:div w:id="1713726968">
      <w:bodyDiv w:val="1"/>
      <w:marLeft w:val="0"/>
      <w:marRight w:val="0"/>
      <w:marTop w:val="0"/>
      <w:marBottom w:val="0"/>
      <w:divBdr>
        <w:top w:val="none" w:sz="0" w:space="0" w:color="auto"/>
        <w:left w:val="none" w:sz="0" w:space="0" w:color="auto"/>
        <w:bottom w:val="none" w:sz="0" w:space="0" w:color="auto"/>
        <w:right w:val="none" w:sz="0" w:space="0" w:color="auto"/>
      </w:divBdr>
    </w:div>
    <w:div w:id="1728066636">
      <w:bodyDiv w:val="1"/>
      <w:marLeft w:val="0"/>
      <w:marRight w:val="0"/>
      <w:marTop w:val="0"/>
      <w:marBottom w:val="0"/>
      <w:divBdr>
        <w:top w:val="none" w:sz="0" w:space="0" w:color="auto"/>
        <w:left w:val="none" w:sz="0" w:space="0" w:color="auto"/>
        <w:bottom w:val="none" w:sz="0" w:space="0" w:color="auto"/>
        <w:right w:val="none" w:sz="0" w:space="0" w:color="auto"/>
      </w:divBdr>
    </w:div>
    <w:div w:id="1745906068">
      <w:bodyDiv w:val="1"/>
      <w:marLeft w:val="0"/>
      <w:marRight w:val="0"/>
      <w:marTop w:val="0"/>
      <w:marBottom w:val="0"/>
      <w:divBdr>
        <w:top w:val="none" w:sz="0" w:space="0" w:color="auto"/>
        <w:left w:val="none" w:sz="0" w:space="0" w:color="auto"/>
        <w:bottom w:val="none" w:sz="0" w:space="0" w:color="auto"/>
        <w:right w:val="none" w:sz="0" w:space="0" w:color="auto"/>
      </w:divBdr>
    </w:div>
    <w:div w:id="1753549956">
      <w:bodyDiv w:val="1"/>
      <w:marLeft w:val="0"/>
      <w:marRight w:val="0"/>
      <w:marTop w:val="0"/>
      <w:marBottom w:val="0"/>
      <w:divBdr>
        <w:top w:val="none" w:sz="0" w:space="0" w:color="auto"/>
        <w:left w:val="none" w:sz="0" w:space="0" w:color="auto"/>
        <w:bottom w:val="none" w:sz="0" w:space="0" w:color="auto"/>
        <w:right w:val="none" w:sz="0" w:space="0" w:color="auto"/>
      </w:divBdr>
    </w:div>
    <w:div w:id="1757437590">
      <w:bodyDiv w:val="1"/>
      <w:marLeft w:val="0"/>
      <w:marRight w:val="0"/>
      <w:marTop w:val="0"/>
      <w:marBottom w:val="0"/>
      <w:divBdr>
        <w:top w:val="none" w:sz="0" w:space="0" w:color="auto"/>
        <w:left w:val="none" w:sz="0" w:space="0" w:color="auto"/>
        <w:bottom w:val="none" w:sz="0" w:space="0" w:color="auto"/>
        <w:right w:val="none" w:sz="0" w:space="0" w:color="auto"/>
      </w:divBdr>
    </w:div>
    <w:div w:id="1759792826">
      <w:bodyDiv w:val="1"/>
      <w:marLeft w:val="0"/>
      <w:marRight w:val="0"/>
      <w:marTop w:val="0"/>
      <w:marBottom w:val="0"/>
      <w:divBdr>
        <w:top w:val="none" w:sz="0" w:space="0" w:color="auto"/>
        <w:left w:val="none" w:sz="0" w:space="0" w:color="auto"/>
        <w:bottom w:val="none" w:sz="0" w:space="0" w:color="auto"/>
        <w:right w:val="none" w:sz="0" w:space="0" w:color="auto"/>
      </w:divBdr>
    </w:div>
    <w:div w:id="1774327365">
      <w:bodyDiv w:val="1"/>
      <w:marLeft w:val="0"/>
      <w:marRight w:val="0"/>
      <w:marTop w:val="0"/>
      <w:marBottom w:val="0"/>
      <w:divBdr>
        <w:top w:val="none" w:sz="0" w:space="0" w:color="auto"/>
        <w:left w:val="none" w:sz="0" w:space="0" w:color="auto"/>
        <w:bottom w:val="none" w:sz="0" w:space="0" w:color="auto"/>
        <w:right w:val="none" w:sz="0" w:space="0" w:color="auto"/>
      </w:divBdr>
    </w:div>
    <w:div w:id="1789932624">
      <w:bodyDiv w:val="1"/>
      <w:marLeft w:val="0"/>
      <w:marRight w:val="0"/>
      <w:marTop w:val="0"/>
      <w:marBottom w:val="0"/>
      <w:divBdr>
        <w:top w:val="none" w:sz="0" w:space="0" w:color="auto"/>
        <w:left w:val="none" w:sz="0" w:space="0" w:color="auto"/>
        <w:bottom w:val="none" w:sz="0" w:space="0" w:color="auto"/>
        <w:right w:val="none" w:sz="0" w:space="0" w:color="auto"/>
      </w:divBdr>
    </w:div>
    <w:div w:id="1802848385">
      <w:bodyDiv w:val="1"/>
      <w:marLeft w:val="0"/>
      <w:marRight w:val="0"/>
      <w:marTop w:val="0"/>
      <w:marBottom w:val="0"/>
      <w:divBdr>
        <w:top w:val="none" w:sz="0" w:space="0" w:color="auto"/>
        <w:left w:val="none" w:sz="0" w:space="0" w:color="auto"/>
        <w:bottom w:val="none" w:sz="0" w:space="0" w:color="auto"/>
        <w:right w:val="none" w:sz="0" w:space="0" w:color="auto"/>
      </w:divBdr>
    </w:div>
    <w:div w:id="1804614599">
      <w:bodyDiv w:val="1"/>
      <w:marLeft w:val="0"/>
      <w:marRight w:val="0"/>
      <w:marTop w:val="0"/>
      <w:marBottom w:val="0"/>
      <w:divBdr>
        <w:top w:val="none" w:sz="0" w:space="0" w:color="auto"/>
        <w:left w:val="none" w:sz="0" w:space="0" w:color="auto"/>
        <w:bottom w:val="none" w:sz="0" w:space="0" w:color="auto"/>
        <w:right w:val="none" w:sz="0" w:space="0" w:color="auto"/>
      </w:divBdr>
    </w:div>
    <w:div w:id="1805269605">
      <w:bodyDiv w:val="1"/>
      <w:marLeft w:val="0"/>
      <w:marRight w:val="0"/>
      <w:marTop w:val="0"/>
      <w:marBottom w:val="0"/>
      <w:divBdr>
        <w:top w:val="none" w:sz="0" w:space="0" w:color="auto"/>
        <w:left w:val="none" w:sz="0" w:space="0" w:color="auto"/>
        <w:bottom w:val="none" w:sz="0" w:space="0" w:color="auto"/>
        <w:right w:val="none" w:sz="0" w:space="0" w:color="auto"/>
      </w:divBdr>
    </w:div>
    <w:div w:id="1821538438">
      <w:bodyDiv w:val="1"/>
      <w:marLeft w:val="0"/>
      <w:marRight w:val="0"/>
      <w:marTop w:val="0"/>
      <w:marBottom w:val="0"/>
      <w:divBdr>
        <w:top w:val="none" w:sz="0" w:space="0" w:color="auto"/>
        <w:left w:val="none" w:sz="0" w:space="0" w:color="auto"/>
        <w:bottom w:val="none" w:sz="0" w:space="0" w:color="auto"/>
        <w:right w:val="none" w:sz="0" w:space="0" w:color="auto"/>
      </w:divBdr>
    </w:div>
    <w:div w:id="1835484345">
      <w:bodyDiv w:val="1"/>
      <w:marLeft w:val="0"/>
      <w:marRight w:val="0"/>
      <w:marTop w:val="0"/>
      <w:marBottom w:val="0"/>
      <w:divBdr>
        <w:top w:val="none" w:sz="0" w:space="0" w:color="auto"/>
        <w:left w:val="none" w:sz="0" w:space="0" w:color="auto"/>
        <w:bottom w:val="none" w:sz="0" w:space="0" w:color="auto"/>
        <w:right w:val="none" w:sz="0" w:space="0" w:color="auto"/>
      </w:divBdr>
    </w:div>
    <w:div w:id="1840533527">
      <w:bodyDiv w:val="1"/>
      <w:marLeft w:val="0"/>
      <w:marRight w:val="0"/>
      <w:marTop w:val="0"/>
      <w:marBottom w:val="0"/>
      <w:divBdr>
        <w:top w:val="none" w:sz="0" w:space="0" w:color="auto"/>
        <w:left w:val="none" w:sz="0" w:space="0" w:color="auto"/>
        <w:bottom w:val="none" w:sz="0" w:space="0" w:color="auto"/>
        <w:right w:val="none" w:sz="0" w:space="0" w:color="auto"/>
      </w:divBdr>
    </w:div>
    <w:div w:id="1843616258">
      <w:bodyDiv w:val="1"/>
      <w:marLeft w:val="0"/>
      <w:marRight w:val="0"/>
      <w:marTop w:val="0"/>
      <w:marBottom w:val="0"/>
      <w:divBdr>
        <w:top w:val="none" w:sz="0" w:space="0" w:color="auto"/>
        <w:left w:val="none" w:sz="0" w:space="0" w:color="auto"/>
        <w:bottom w:val="none" w:sz="0" w:space="0" w:color="auto"/>
        <w:right w:val="none" w:sz="0" w:space="0" w:color="auto"/>
      </w:divBdr>
    </w:div>
    <w:div w:id="1874346384">
      <w:bodyDiv w:val="1"/>
      <w:marLeft w:val="0"/>
      <w:marRight w:val="0"/>
      <w:marTop w:val="0"/>
      <w:marBottom w:val="0"/>
      <w:divBdr>
        <w:top w:val="none" w:sz="0" w:space="0" w:color="auto"/>
        <w:left w:val="none" w:sz="0" w:space="0" w:color="auto"/>
        <w:bottom w:val="none" w:sz="0" w:space="0" w:color="auto"/>
        <w:right w:val="none" w:sz="0" w:space="0" w:color="auto"/>
      </w:divBdr>
    </w:div>
    <w:div w:id="1875118629">
      <w:bodyDiv w:val="1"/>
      <w:marLeft w:val="0"/>
      <w:marRight w:val="0"/>
      <w:marTop w:val="0"/>
      <w:marBottom w:val="0"/>
      <w:divBdr>
        <w:top w:val="none" w:sz="0" w:space="0" w:color="auto"/>
        <w:left w:val="none" w:sz="0" w:space="0" w:color="auto"/>
        <w:bottom w:val="none" w:sz="0" w:space="0" w:color="auto"/>
        <w:right w:val="none" w:sz="0" w:space="0" w:color="auto"/>
      </w:divBdr>
    </w:div>
    <w:div w:id="1889996999">
      <w:bodyDiv w:val="1"/>
      <w:marLeft w:val="0"/>
      <w:marRight w:val="0"/>
      <w:marTop w:val="0"/>
      <w:marBottom w:val="0"/>
      <w:divBdr>
        <w:top w:val="none" w:sz="0" w:space="0" w:color="auto"/>
        <w:left w:val="none" w:sz="0" w:space="0" w:color="auto"/>
        <w:bottom w:val="none" w:sz="0" w:space="0" w:color="auto"/>
        <w:right w:val="none" w:sz="0" w:space="0" w:color="auto"/>
      </w:divBdr>
    </w:div>
    <w:div w:id="1914465230">
      <w:bodyDiv w:val="1"/>
      <w:marLeft w:val="0"/>
      <w:marRight w:val="0"/>
      <w:marTop w:val="0"/>
      <w:marBottom w:val="0"/>
      <w:divBdr>
        <w:top w:val="none" w:sz="0" w:space="0" w:color="auto"/>
        <w:left w:val="none" w:sz="0" w:space="0" w:color="auto"/>
        <w:bottom w:val="none" w:sz="0" w:space="0" w:color="auto"/>
        <w:right w:val="none" w:sz="0" w:space="0" w:color="auto"/>
      </w:divBdr>
    </w:div>
    <w:div w:id="1929921950">
      <w:bodyDiv w:val="1"/>
      <w:marLeft w:val="0"/>
      <w:marRight w:val="0"/>
      <w:marTop w:val="0"/>
      <w:marBottom w:val="0"/>
      <w:divBdr>
        <w:top w:val="none" w:sz="0" w:space="0" w:color="auto"/>
        <w:left w:val="none" w:sz="0" w:space="0" w:color="auto"/>
        <w:bottom w:val="none" w:sz="0" w:space="0" w:color="auto"/>
        <w:right w:val="none" w:sz="0" w:space="0" w:color="auto"/>
      </w:divBdr>
    </w:div>
    <w:div w:id="1929928131">
      <w:bodyDiv w:val="1"/>
      <w:marLeft w:val="0"/>
      <w:marRight w:val="0"/>
      <w:marTop w:val="0"/>
      <w:marBottom w:val="0"/>
      <w:divBdr>
        <w:top w:val="none" w:sz="0" w:space="0" w:color="auto"/>
        <w:left w:val="none" w:sz="0" w:space="0" w:color="auto"/>
        <w:bottom w:val="none" w:sz="0" w:space="0" w:color="auto"/>
        <w:right w:val="none" w:sz="0" w:space="0" w:color="auto"/>
      </w:divBdr>
    </w:div>
    <w:div w:id="1937445018">
      <w:bodyDiv w:val="1"/>
      <w:marLeft w:val="0"/>
      <w:marRight w:val="0"/>
      <w:marTop w:val="0"/>
      <w:marBottom w:val="0"/>
      <w:divBdr>
        <w:top w:val="none" w:sz="0" w:space="0" w:color="auto"/>
        <w:left w:val="none" w:sz="0" w:space="0" w:color="auto"/>
        <w:bottom w:val="none" w:sz="0" w:space="0" w:color="auto"/>
        <w:right w:val="none" w:sz="0" w:space="0" w:color="auto"/>
      </w:divBdr>
    </w:div>
    <w:div w:id="1940092837">
      <w:bodyDiv w:val="1"/>
      <w:marLeft w:val="0"/>
      <w:marRight w:val="0"/>
      <w:marTop w:val="0"/>
      <w:marBottom w:val="0"/>
      <w:divBdr>
        <w:top w:val="none" w:sz="0" w:space="0" w:color="auto"/>
        <w:left w:val="none" w:sz="0" w:space="0" w:color="auto"/>
        <w:bottom w:val="none" w:sz="0" w:space="0" w:color="auto"/>
        <w:right w:val="none" w:sz="0" w:space="0" w:color="auto"/>
      </w:divBdr>
    </w:div>
    <w:div w:id="1947349870">
      <w:bodyDiv w:val="1"/>
      <w:marLeft w:val="0"/>
      <w:marRight w:val="0"/>
      <w:marTop w:val="0"/>
      <w:marBottom w:val="0"/>
      <w:divBdr>
        <w:top w:val="none" w:sz="0" w:space="0" w:color="auto"/>
        <w:left w:val="none" w:sz="0" w:space="0" w:color="auto"/>
        <w:bottom w:val="none" w:sz="0" w:space="0" w:color="auto"/>
        <w:right w:val="none" w:sz="0" w:space="0" w:color="auto"/>
      </w:divBdr>
    </w:div>
    <w:div w:id="1955209994">
      <w:bodyDiv w:val="1"/>
      <w:marLeft w:val="0"/>
      <w:marRight w:val="0"/>
      <w:marTop w:val="0"/>
      <w:marBottom w:val="0"/>
      <w:divBdr>
        <w:top w:val="none" w:sz="0" w:space="0" w:color="auto"/>
        <w:left w:val="none" w:sz="0" w:space="0" w:color="auto"/>
        <w:bottom w:val="none" w:sz="0" w:space="0" w:color="auto"/>
        <w:right w:val="none" w:sz="0" w:space="0" w:color="auto"/>
      </w:divBdr>
    </w:div>
    <w:div w:id="1961720327">
      <w:bodyDiv w:val="1"/>
      <w:marLeft w:val="0"/>
      <w:marRight w:val="0"/>
      <w:marTop w:val="0"/>
      <w:marBottom w:val="0"/>
      <w:divBdr>
        <w:top w:val="none" w:sz="0" w:space="0" w:color="auto"/>
        <w:left w:val="none" w:sz="0" w:space="0" w:color="auto"/>
        <w:bottom w:val="none" w:sz="0" w:space="0" w:color="auto"/>
        <w:right w:val="none" w:sz="0" w:space="0" w:color="auto"/>
      </w:divBdr>
    </w:div>
    <w:div w:id="1963068685">
      <w:bodyDiv w:val="1"/>
      <w:marLeft w:val="0"/>
      <w:marRight w:val="0"/>
      <w:marTop w:val="0"/>
      <w:marBottom w:val="0"/>
      <w:divBdr>
        <w:top w:val="none" w:sz="0" w:space="0" w:color="auto"/>
        <w:left w:val="none" w:sz="0" w:space="0" w:color="auto"/>
        <w:bottom w:val="none" w:sz="0" w:space="0" w:color="auto"/>
        <w:right w:val="none" w:sz="0" w:space="0" w:color="auto"/>
      </w:divBdr>
    </w:div>
    <w:div w:id="1975023054">
      <w:bodyDiv w:val="1"/>
      <w:marLeft w:val="0"/>
      <w:marRight w:val="0"/>
      <w:marTop w:val="0"/>
      <w:marBottom w:val="0"/>
      <w:divBdr>
        <w:top w:val="none" w:sz="0" w:space="0" w:color="auto"/>
        <w:left w:val="none" w:sz="0" w:space="0" w:color="auto"/>
        <w:bottom w:val="none" w:sz="0" w:space="0" w:color="auto"/>
        <w:right w:val="none" w:sz="0" w:space="0" w:color="auto"/>
      </w:divBdr>
    </w:div>
    <w:div w:id="1979677217">
      <w:bodyDiv w:val="1"/>
      <w:marLeft w:val="0"/>
      <w:marRight w:val="0"/>
      <w:marTop w:val="0"/>
      <w:marBottom w:val="0"/>
      <w:divBdr>
        <w:top w:val="none" w:sz="0" w:space="0" w:color="auto"/>
        <w:left w:val="none" w:sz="0" w:space="0" w:color="auto"/>
        <w:bottom w:val="none" w:sz="0" w:space="0" w:color="auto"/>
        <w:right w:val="none" w:sz="0" w:space="0" w:color="auto"/>
      </w:divBdr>
    </w:div>
    <w:div w:id="1993173253">
      <w:bodyDiv w:val="1"/>
      <w:marLeft w:val="0"/>
      <w:marRight w:val="0"/>
      <w:marTop w:val="0"/>
      <w:marBottom w:val="0"/>
      <w:divBdr>
        <w:top w:val="none" w:sz="0" w:space="0" w:color="auto"/>
        <w:left w:val="none" w:sz="0" w:space="0" w:color="auto"/>
        <w:bottom w:val="none" w:sz="0" w:space="0" w:color="auto"/>
        <w:right w:val="none" w:sz="0" w:space="0" w:color="auto"/>
      </w:divBdr>
    </w:div>
    <w:div w:id="1997225818">
      <w:bodyDiv w:val="1"/>
      <w:marLeft w:val="0"/>
      <w:marRight w:val="0"/>
      <w:marTop w:val="0"/>
      <w:marBottom w:val="0"/>
      <w:divBdr>
        <w:top w:val="none" w:sz="0" w:space="0" w:color="auto"/>
        <w:left w:val="none" w:sz="0" w:space="0" w:color="auto"/>
        <w:bottom w:val="none" w:sz="0" w:space="0" w:color="auto"/>
        <w:right w:val="none" w:sz="0" w:space="0" w:color="auto"/>
      </w:divBdr>
    </w:div>
    <w:div w:id="2003502837">
      <w:bodyDiv w:val="1"/>
      <w:marLeft w:val="0"/>
      <w:marRight w:val="0"/>
      <w:marTop w:val="0"/>
      <w:marBottom w:val="0"/>
      <w:divBdr>
        <w:top w:val="none" w:sz="0" w:space="0" w:color="auto"/>
        <w:left w:val="none" w:sz="0" w:space="0" w:color="auto"/>
        <w:bottom w:val="none" w:sz="0" w:space="0" w:color="auto"/>
        <w:right w:val="none" w:sz="0" w:space="0" w:color="auto"/>
      </w:divBdr>
    </w:div>
    <w:div w:id="2047900291">
      <w:bodyDiv w:val="1"/>
      <w:marLeft w:val="0"/>
      <w:marRight w:val="0"/>
      <w:marTop w:val="0"/>
      <w:marBottom w:val="0"/>
      <w:divBdr>
        <w:top w:val="none" w:sz="0" w:space="0" w:color="auto"/>
        <w:left w:val="none" w:sz="0" w:space="0" w:color="auto"/>
        <w:bottom w:val="none" w:sz="0" w:space="0" w:color="auto"/>
        <w:right w:val="none" w:sz="0" w:space="0" w:color="auto"/>
      </w:divBdr>
    </w:div>
    <w:div w:id="2054192883">
      <w:bodyDiv w:val="1"/>
      <w:marLeft w:val="0"/>
      <w:marRight w:val="0"/>
      <w:marTop w:val="0"/>
      <w:marBottom w:val="0"/>
      <w:divBdr>
        <w:top w:val="none" w:sz="0" w:space="0" w:color="auto"/>
        <w:left w:val="none" w:sz="0" w:space="0" w:color="auto"/>
        <w:bottom w:val="none" w:sz="0" w:space="0" w:color="auto"/>
        <w:right w:val="none" w:sz="0" w:space="0" w:color="auto"/>
      </w:divBdr>
    </w:div>
    <w:div w:id="2054228037">
      <w:bodyDiv w:val="1"/>
      <w:marLeft w:val="0"/>
      <w:marRight w:val="0"/>
      <w:marTop w:val="0"/>
      <w:marBottom w:val="0"/>
      <w:divBdr>
        <w:top w:val="none" w:sz="0" w:space="0" w:color="auto"/>
        <w:left w:val="none" w:sz="0" w:space="0" w:color="auto"/>
        <w:bottom w:val="none" w:sz="0" w:space="0" w:color="auto"/>
        <w:right w:val="none" w:sz="0" w:space="0" w:color="auto"/>
      </w:divBdr>
    </w:div>
    <w:div w:id="2061006977">
      <w:bodyDiv w:val="1"/>
      <w:marLeft w:val="0"/>
      <w:marRight w:val="0"/>
      <w:marTop w:val="0"/>
      <w:marBottom w:val="0"/>
      <w:divBdr>
        <w:top w:val="none" w:sz="0" w:space="0" w:color="auto"/>
        <w:left w:val="none" w:sz="0" w:space="0" w:color="auto"/>
        <w:bottom w:val="none" w:sz="0" w:space="0" w:color="auto"/>
        <w:right w:val="none" w:sz="0" w:space="0" w:color="auto"/>
      </w:divBdr>
    </w:div>
    <w:div w:id="2070567699">
      <w:bodyDiv w:val="1"/>
      <w:marLeft w:val="0"/>
      <w:marRight w:val="0"/>
      <w:marTop w:val="0"/>
      <w:marBottom w:val="0"/>
      <w:divBdr>
        <w:top w:val="none" w:sz="0" w:space="0" w:color="auto"/>
        <w:left w:val="none" w:sz="0" w:space="0" w:color="auto"/>
        <w:bottom w:val="none" w:sz="0" w:space="0" w:color="auto"/>
        <w:right w:val="none" w:sz="0" w:space="0" w:color="auto"/>
      </w:divBdr>
    </w:div>
    <w:div w:id="2085444074">
      <w:bodyDiv w:val="1"/>
      <w:marLeft w:val="0"/>
      <w:marRight w:val="0"/>
      <w:marTop w:val="0"/>
      <w:marBottom w:val="0"/>
      <w:divBdr>
        <w:top w:val="none" w:sz="0" w:space="0" w:color="auto"/>
        <w:left w:val="none" w:sz="0" w:space="0" w:color="auto"/>
        <w:bottom w:val="none" w:sz="0" w:space="0" w:color="auto"/>
        <w:right w:val="none" w:sz="0" w:space="0" w:color="auto"/>
      </w:divBdr>
    </w:div>
    <w:div w:id="2087603584">
      <w:bodyDiv w:val="1"/>
      <w:marLeft w:val="0"/>
      <w:marRight w:val="0"/>
      <w:marTop w:val="0"/>
      <w:marBottom w:val="0"/>
      <w:divBdr>
        <w:top w:val="none" w:sz="0" w:space="0" w:color="auto"/>
        <w:left w:val="none" w:sz="0" w:space="0" w:color="auto"/>
        <w:bottom w:val="none" w:sz="0" w:space="0" w:color="auto"/>
        <w:right w:val="none" w:sz="0" w:space="0" w:color="auto"/>
      </w:divBdr>
    </w:div>
    <w:div w:id="2099597236">
      <w:bodyDiv w:val="1"/>
      <w:marLeft w:val="0"/>
      <w:marRight w:val="0"/>
      <w:marTop w:val="0"/>
      <w:marBottom w:val="0"/>
      <w:divBdr>
        <w:top w:val="none" w:sz="0" w:space="0" w:color="auto"/>
        <w:left w:val="none" w:sz="0" w:space="0" w:color="auto"/>
        <w:bottom w:val="none" w:sz="0" w:space="0" w:color="auto"/>
        <w:right w:val="none" w:sz="0" w:space="0" w:color="auto"/>
      </w:divBdr>
    </w:div>
    <w:div w:id="2115323233">
      <w:bodyDiv w:val="1"/>
      <w:marLeft w:val="0"/>
      <w:marRight w:val="0"/>
      <w:marTop w:val="0"/>
      <w:marBottom w:val="0"/>
      <w:divBdr>
        <w:top w:val="none" w:sz="0" w:space="0" w:color="auto"/>
        <w:left w:val="none" w:sz="0" w:space="0" w:color="auto"/>
        <w:bottom w:val="none" w:sz="0" w:space="0" w:color="auto"/>
        <w:right w:val="none" w:sz="0" w:space="0" w:color="auto"/>
      </w:divBdr>
    </w:div>
    <w:div w:id="2119913211">
      <w:bodyDiv w:val="1"/>
      <w:marLeft w:val="0"/>
      <w:marRight w:val="0"/>
      <w:marTop w:val="0"/>
      <w:marBottom w:val="0"/>
      <w:divBdr>
        <w:top w:val="none" w:sz="0" w:space="0" w:color="auto"/>
        <w:left w:val="none" w:sz="0" w:space="0" w:color="auto"/>
        <w:bottom w:val="none" w:sz="0" w:space="0" w:color="auto"/>
        <w:right w:val="none" w:sz="0" w:space="0" w:color="auto"/>
      </w:divBdr>
    </w:div>
    <w:div w:id="2127314428">
      <w:bodyDiv w:val="1"/>
      <w:marLeft w:val="0"/>
      <w:marRight w:val="0"/>
      <w:marTop w:val="0"/>
      <w:marBottom w:val="0"/>
      <w:divBdr>
        <w:top w:val="none" w:sz="0" w:space="0" w:color="auto"/>
        <w:left w:val="none" w:sz="0" w:space="0" w:color="auto"/>
        <w:bottom w:val="none" w:sz="0" w:space="0" w:color="auto"/>
        <w:right w:val="none" w:sz="0" w:space="0" w:color="auto"/>
      </w:divBdr>
    </w:div>
    <w:div w:id="2132749918">
      <w:bodyDiv w:val="1"/>
      <w:marLeft w:val="0"/>
      <w:marRight w:val="0"/>
      <w:marTop w:val="0"/>
      <w:marBottom w:val="0"/>
      <w:divBdr>
        <w:top w:val="none" w:sz="0" w:space="0" w:color="auto"/>
        <w:left w:val="none" w:sz="0" w:space="0" w:color="auto"/>
        <w:bottom w:val="none" w:sz="0" w:space="0" w:color="auto"/>
        <w:right w:val="none" w:sz="0" w:space="0" w:color="auto"/>
      </w:divBdr>
    </w:div>
    <w:div w:id="2133595733">
      <w:bodyDiv w:val="1"/>
      <w:marLeft w:val="0"/>
      <w:marRight w:val="0"/>
      <w:marTop w:val="0"/>
      <w:marBottom w:val="0"/>
      <w:divBdr>
        <w:top w:val="none" w:sz="0" w:space="0" w:color="auto"/>
        <w:left w:val="none" w:sz="0" w:space="0" w:color="auto"/>
        <w:bottom w:val="none" w:sz="0" w:space="0" w:color="auto"/>
        <w:right w:val="none" w:sz="0" w:space="0" w:color="auto"/>
      </w:divBdr>
    </w:div>
    <w:div w:id="2134638773">
      <w:bodyDiv w:val="1"/>
      <w:marLeft w:val="0"/>
      <w:marRight w:val="0"/>
      <w:marTop w:val="0"/>
      <w:marBottom w:val="0"/>
      <w:divBdr>
        <w:top w:val="none" w:sz="0" w:space="0" w:color="auto"/>
        <w:left w:val="none" w:sz="0" w:space="0" w:color="auto"/>
        <w:bottom w:val="none" w:sz="0" w:space="0" w:color="auto"/>
        <w:right w:val="none" w:sz="0" w:space="0" w:color="auto"/>
      </w:divBdr>
    </w:div>
    <w:div w:id="2138717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21.xml"/><Relationship Id="rId47" Type="http://schemas.openxmlformats.org/officeDocument/2006/relationships/footer" Target="footer22.xml"/><Relationship Id="rId48" Type="http://schemas.openxmlformats.org/officeDocument/2006/relationships/footer" Target="footer23.xml"/><Relationship Id="rId49" Type="http://schemas.openxmlformats.org/officeDocument/2006/relationships/footer" Target="footer24.xml"/><Relationship Id="rId20" Type="http://schemas.openxmlformats.org/officeDocument/2006/relationships/footer" Target="footer7.xml"/><Relationship Id="rId21" Type="http://schemas.openxmlformats.org/officeDocument/2006/relationships/footer" Target="footer8.xml"/><Relationship Id="rId22" Type="http://schemas.openxmlformats.org/officeDocument/2006/relationships/footer" Target="footer9.xml"/><Relationship Id="rId23" Type="http://schemas.openxmlformats.org/officeDocument/2006/relationships/footer" Target="footer10.xml"/><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footer" Target="footer11.xml"/><Relationship Id="rId28" Type="http://schemas.openxmlformats.org/officeDocument/2006/relationships/footer" Target="footer12.xml"/><Relationship Id="rId29" Type="http://schemas.openxmlformats.org/officeDocument/2006/relationships/image" Target="media/image9.png"/><Relationship Id="rId50" Type="http://schemas.openxmlformats.org/officeDocument/2006/relationships/fontTable" Target="fontTable.xml"/><Relationship Id="rId51" Type="http://schemas.openxmlformats.org/officeDocument/2006/relationships/theme" Target="theme/theme1.xml"/><Relationship Id="rId52"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footer" Target="footer13.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14.xml"/><Relationship Id="rId34" Type="http://schemas.openxmlformats.org/officeDocument/2006/relationships/footer" Target="footer15.xml"/><Relationship Id="rId35" Type="http://schemas.openxmlformats.org/officeDocument/2006/relationships/footer" Target="footer16.xml"/><Relationship Id="rId36" Type="http://schemas.openxmlformats.org/officeDocument/2006/relationships/footer" Target="footer17.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3.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header" Target="header3.xml"/><Relationship Id="rId17" Type="http://schemas.openxmlformats.org/officeDocument/2006/relationships/footer" Target="footer4.xml"/><Relationship Id="rId18" Type="http://schemas.openxmlformats.org/officeDocument/2006/relationships/footer" Target="footer5.xml"/><Relationship Id="rId19" Type="http://schemas.openxmlformats.org/officeDocument/2006/relationships/footer" Target="footer6.xml"/><Relationship Id="rId37" Type="http://schemas.openxmlformats.org/officeDocument/2006/relationships/footer" Target="footer18.xml"/><Relationship Id="rId38" Type="http://schemas.openxmlformats.org/officeDocument/2006/relationships/image" Target="media/image12.wmf"/><Relationship Id="rId39" Type="http://schemas.openxmlformats.org/officeDocument/2006/relationships/oleObject" Target="embeddings/Microsoft_Equation1.bin"/><Relationship Id="rId40" Type="http://schemas.openxmlformats.org/officeDocument/2006/relationships/image" Target="media/image13.wmf"/><Relationship Id="rId41" Type="http://schemas.openxmlformats.org/officeDocument/2006/relationships/oleObject" Target="embeddings/Microsoft_Equation2.bin"/><Relationship Id="rId42" Type="http://schemas.openxmlformats.org/officeDocument/2006/relationships/image" Target="media/image14.png"/><Relationship Id="rId43" Type="http://schemas.openxmlformats.org/officeDocument/2006/relationships/image" Target="media/image15.png"/><Relationship Id="rId44" Type="http://schemas.openxmlformats.org/officeDocument/2006/relationships/footer" Target="footer19.xml"/><Relationship Id="rId45" Type="http://schemas.openxmlformats.org/officeDocument/2006/relationships/footer" Target="footer20.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notes.xml.rels><?xml version="1.0" encoding="UTF-8" standalone="yes"?>
<Relationships xmlns="http://schemas.openxmlformats.org/package/2006/relationships"><Relationship Id="rId3" Type="http://schemas.openxmlformats.org/officeDocument/2006/relationships/hyperlink" Target="http://www.calmac.org/events/EvaluatorsProtocols_Final_AdoptedviaRuling_06-19-2006.pdf" TargetMode="External"/><Relationship Id="rId4" Type="http://schemas.openxmlformats.org/officeDocument/2006/relationships/hyperlink" Target="http://www.ctenergyinfo.com/sites/default/files/2012%20CT%20Program%20Savings%20Documentation%20FINAL.pdf" TargetMode="External"/><Relationship Id="rId5" Type="http://schemas.openxmlformats.org/officeDocument/2006/relationships/hyperlink" Target="https://www1.eere.energy.gov/wip/pdfs/53827-8.pdf" TargetMode="External"/><Relationship Id="rId6" Type="http://schemas.openxmlformats.org/officeDocument/2006/relationships/hyperlink" Target="http://www1.eere.energy.gov/office_eere/de_ump_protocols.html" TargetMode="External"/><Relationship Id="rId1" Type="http://schemas.openxmlformats.org/officeDocument/2006/relationships/hyperlink" Target="https://www1.eere.energy.gov/wip/pdfs/53827-8.pdf" TargetMode="External"/><Relationship Id="rId2" Type="http://schemas.openxmlformats.org/officeDocument/2006/relationships/hyperlink" Target="http://www.nrel.gov/docs/fy02osti/31505.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header3.xml.rels><?xml version="1.0" encoding="UTF-8" standalone="yes"?>
<Relationships xmlns="http://schemas.openxmlformats.org/package/2006/relationships"><Relationship Id="rId1" Type="http://schemas.openxmlformats.org/officeDocument/2006/relationships/image" Target="media/image5.tiff"/></Relationships>
</file>

<file path=word/theme/theme1.xml><?xml version="1.0" encoding="utf-8"?>
<a:theme xmlns:a="http://schemas.openxmlformats.org/drawingml/2006/main" name="Office Theme">
  <a:themeElements>
    <a:clrScheme name="Cadmus">
      <a:dk1>
        <a:sysClr val="windowText" lastClr="000000"/>
      </a:dk1>
      <a:lt1>
        <a:sysClr val="window" lastClr="FFFFFF"/>
      </a:lt1>
      <a:dk2>
        <a:srgbClr val="1F497D"/>
      </a:dk2>
      <a:lt2>
        <a:srgbClr val="EEECE1"/>
      </a:lt2>
      <a:accent1>
        <a:srgbClr val="4F81BD"/>
      </a:accent1>
      <a:accent2>
        <a:srgbClr val="898A17"/>
      </a:accent2>
      <a:accent3>
        <a:srgbClr val="4891CE"/>
      </a:accent3>
      <a:accent4>
        <a:srgbClr val="005DAA"/>
      </a:accent4>
      <a:accent5>
        <a:srgbClr val="6DB125"/>
      </a:accent5>
      <a:accent6>
        <a:srgbClr val="C0D59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83F6F-E687-E240-8584-627D665B7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108</Pages>
  <Words>31594</Words>
  <Characters>180089</Characters>
  <Application>Microsoft Macintosh Word</Application>
  <DocSecurity>4</DocSecurity>
  <Lines>1500</Lines>
  <Paragraphs>422</Paragraphs>
  <ScaleCrop>false</ScaleCrop>
  <HeadingPairs>
    <vt:vector size="2" baseType="variant">
      <vt:variant>
        <vt:lpstr>Title</vt:lpstr>
      </vt:variant>
      <vt:variant>
        <vt:i4>1</vt:i4>
      </vt:variant>
    </vt:vector>
  </HeadingPairs>
  <TitlesOfParts>
    <vt:vector size="1" baseType="lpstr">
      <vt:lpstr/>
    </vt:vector>
  </TitlesOfParts>
  <Company>CadmusGroup Inc</Company>
  <LinksUpToDate>false</LinksUpToDate>
  <CharactersWithSpaces>211261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Fischer</dc:creator>
  <cp:lastModifiedBy>Craig Diamond</cp:lastModifiedBy>
  <cp:revision>2</cp:revision>
  <cp:lastPrinted>2014-06-05T12:43:00Z</cp:lastPrinted>
  <dcterms:created xsi:type="dcterms:W3CDTF">2014-06-08T20:18:00Z</dcterms:created>
  <dcterms:modified xsi:type="dcterms:W3CDTF">2014-06-08T20:18:00Z</dcterms:modified>
</cp:coreProperties>
</file>